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86BBE" w14:textId="17CC0737" w:rsidR="000E7CE6" w:rsidRDefault="000E7CE6" w:rsidP="000E7CE6">
      <w:pPr>
        <w:pStyle w:val="Prrafodelista"/>
        <w:spacing w:before="100" w:beforeAutospacing="1" w:after="100" w:afterAutospacing="1" w:line="276" w:lineRule="auto"/>
        <w:jc w:val="center"/>
        <w:rPr>
          <w:rFonts w:eastAsia="Times New Roman" w:cstheme="minorHAnsi"/>
          <w:b/>
          <w:bCs/>
          <w:color w:val="4472C4" w:themeColor="accent1"/>
          <w:sz w:val="44"/>
          <w:szCs w:val="44"/>
          <w:lang w:eastAsia="es-ES_tradnl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theme="minorHAnsi"/>
          <w:b/>
          <w:bCs/>
          <w:color w:val="4472C4" w:themeColor="accent1"/>
          <w:sz w:val="44"/>
          <w:szCs w:val="44"/>
          <w:lang w:eastAsia="es-ES_tradnl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PRESTAMOS SEQUIA JCYL</w:t>
      </w:r>
    </w:p>
    <w:p w14:paraId="162A536F" w14:textId="76FD60F7" w:rsidR="000E7CE6" w:rsidRDefault="000E7CE6" w:rsidP="000E7CE6">
      <w:pPr>
        <w:pStyle w:val="Prrafodelista"/>
        <w:spacing w:before="100" w:beforeAutospacing="1" w:after="100" w:afterAutospacing="1" w:line="276" w:lineRule="auto"/>
        <w:jc w:val="center"/>
        <w:rPr>
          <w:rFonts w:eastAsia="Times New Roman" w:cstheme="minorHAnsi"/>
          <w:b/>
          <w:bCs/>
          <w:color w:val="4472C4" w:themeColor="accent1"/>
          <w:sz w:val="44"/>
          <w:szCs w:val="44"/>
          <w:lang w:eastAsia="es-ES_tradnl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theme="minorHAnsi"/>
          <w:b/>
          <w:bCs/>
          <w:color w:val="4472C4" w:themeColor="accent1"/>
          <w:sz w:val="44"/>
          <w:szCs w:val="44"/>
          <w:lang w:eastAsia="es-ES_tradnl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>
        <w:rPr>
          <w:rFonts w:eastAsia="Times New Roman" w:cstheme="minorHAnsi"/>
          <w:b/>
          <w:bCs/>
          <w:color w:val="4472C4" w:themeColor="accent1"/>
          <w:sz w:val="44"/>
          <w:szCs w:val="44"/>
          <w:lang w:eastAsia="es-ES_tradnl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>
        <w:rPr>
          <w:rFonts w:eastAsia="Times New Roman" w:cstheme="minorHAnsi"/>
          <w:b/>
          <w:bCs/>
          <w:color w:val="4472C4" w:themeColor="accent1"/>
          <w:sz w:val="44"/>
          <w:szCs w:val="44"/>
          <w:lang w:eastAsia="es-ES_tradnl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-agosto-2023</w:t>
      </w:r>
    </w:p>
    <w:p w14:paraId="70CF8317" w14:textId="77777777" w:rsidR="000E7CE6" w:rsidRDefault="000E7CE6" w:rsidP="000E7CE6">
      <w:pPr>
        <w:pStyle w:val="Prrafodelista"/>
        <w:spacing w:before="100" w:beforeAutospacing="1" w:after="100" w:afterAutospacing="1" w:line="276" w:lineRule="auto"/>
        <w:jc w:val="center"/>
        <w:rPr>
          <w:rFonts w:eastAsia="Times New Roman" w:cstheme="minorHAnsi"/>
          <w:b/>
          <w:bCs/>
          <w:color w:val="4472C4" w:themeColor="accent1"/>
          <w:sz w:val="44"/>
          <w:szCs w:val="44"/>
          <w:lang w:eastAsia="es-ES_tradnl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aconcuadrcula"/>
        <w:tblW w:w="0" w:type="auto"/>
        <w:shd w:val="clear" w:color="auto" w:fill="70AD47" w:themeFill="accent6"/>
        <w:tblLook w:val="04A0" w:firstRow="1" w:lastRow="0" w:firstColumn="1" w:lastColumn="0" w:noHBand="0" w:noVBand="1"/>
      </w:tblPr>
      <w:tblGrid>
        <w:gridCol w:w="8427"/>
      </w:tblGrid>
      <w:tr w:rsidR="000E7CE6" w:rsidRPr="00271A4A" w14:paraId="64EEA1CB" w14:textId="77777777" w:rsidTr="00E45675">
        <w:trPr>
          <w:trHeight w:val="331"/>
        </w:trPr>
        <w:tc>
          <w:tcPr>
            <w:tcW w:w="8427" w:type="dxa"/>
            <w:shd w:val="clear" w:color="auto" w:fill="70AD47" w:themeFill="accent6"/>
          </w:tcPr>
          <w:p w14:paraId="63E50B47" w14:textId="297FFDAC" w:rsidR="000E7CE6" w:rsidRPr="000E7CE6" w:rsidRDefault="000E7CE6" w:rsidP="00E45675">
            <w:pPr>
              <w:spacing w:before="100" w:beforeAutospacing="1" w:after="100" w:afterAutospacing="1" w:line="276" w:lineRule="auto"/>
              <w:jc w:val="both"/>
              <w:rPr>
                <w:rFonts w:eastAsia="Times New Roman" w:cstheme="minorHAnsi"/>
                <w:b/>
                <w:bCs/>
                <w:u w:val="single"/>
                <w:lang w:eastAsia="es-ES_tradnl"/>
              </w:rPr>
            </w:pPr>
            <w:r w:rsidRPr="000E7CE6">
              <w:rPr>
                <w:rFonts w:eastAsia="Times New Roman" w:cstheme="minorHAnsi"/>
                <w:b/>
                <w:bCs/>
                <w:u w:val="single"/>
                <w:lang w:eastAsia="es-ES_tradnl"/>
              </w:rPr>
              <w:t>RESUMEN BASES REGULADORAS PRESTAMOS SEQUIA JCYL</w:t>
            </w:r>
          </w:p>
        </w:tc>
      </w:tr>
    </w:tbl>
    <w:p w14:paraId="31C1E461" w14:textId="77777777" w:rsidR="000E7CE6" w:rsidRDefault="000E7CE6" w:rsidP="000E7CE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CIDFont+F4" w:hAnsi="CIDFont+F4" w:cs="CIDFont+F4"/>
          <w:sz w:val="23"/>
          <w:szCs w:val="23"/>
          <w14:ligatures w14:val="standardContextual"/>
        </w:rPr>
      </w:pPr>
    </w:p>
    <w:p w14:paraId="40B70E27" w14:textId="05983108" w:rsidR="000E7CE6" w:rsidRPr="000E7CE6" w:rsidRDefault="000E7CE6" w:rsidP="000E7CE6">
      <w:pPr>
        <w:jc w:val="both"/>
      </w:pPr>
      <w:r w:rsidRPr="000E7CE6">
        <w:t xml:space="preserve">Se establecen las normas para la concesión de subvenciones destinadas a bonificar los intereses de los préstamos preferenciales que suscriban los titulares de explotaciones agrarias de </w:t>
      </w:r>
      <w:proofErr w:type="spellStart"/>
      <w:r w:rsidRPr="000E7CE6">
        <w:t>CyL</w:t>
      </w:r>
      <w:proofErr w:type="spellEnd"/>
      <w:r w:rsidRPr="000E7CE6">
        <w:t>, afectados por la sequía en la campaña 22-23 y se establece el procedimiento para el reconocimiento previo del derecho a la suscripción de los préstamos preferenciales bonificados para la posterior concesión de las subvenciones que se convoquen.</w:t>
      </w:r>
    </w:p>
    <w:p w14:paraId="49A6D019" w14:textId="77777777" w:rsidR="000E7CE6" w:rsidRPr="000E7CE6" w:rsidRDefault="000E7CE6" w:rsidP="000E7CE6">
      <w:pPr>
        <w:jc w:val="both"/>
      </w:pPr>
      <w:r w:rsidRPr="000E7CE6">
        <w:t xml:space="preserve">Podrán ser beneficiarios las personas físicas, explotaciones T.C., personas jurídicas y entidades sin personalidad jurídica (C.B. y sociedades civiles) que sean titulares de explotaciones agrarias inscritas en </w:t>
      </w:r>
      <w:proofErr w:type="spellStart"/>
      <w:r w:rsidRPr="000E7CE6">
        <w:t>Reacyl</w:t>
      </w:r>
      <w:proofErr w:type="spellEnd"/>
      <w:r w:rsidRPr="000E7CE6">
        <w:t xml:space="preserve"> y cumplan dos requisitos:</w:t>
      </w:r>
    </w:p>
    <w:p w14:paraId="1F8A386F" w14:textId="77777777" w:rsidR="000E7CE6" w:rsidRPr="000E7CE6" w:rsidRDefault="000E7CE6" w:rsidP="000E7CE6">
      <w:pPr>
        <w:numPr>
          <w:ilvl w:val="0"/>
          <w:numId w:val="1"/>
        </w:numPr>
        <w:jc w:val="both"/>
      </w:pPr>
      <w:r w:rsidRPr="000E7CE6">
        <w:t>Obtener el reconocimiento del derecho a la suscripción de un préstamo preferencial bonificado</w:t>
      </w:r>
    </w:p>
    <w:p w14:paraId="14A3BCA4" w14:textId="77777777" w:rsidR="000E7CE6" w:rsidRPr="000E7CE6" w:rsidRDefault="000E7CE6" w:rsidP="000E7CE6">
      <w:pPr>
        <w:numPr>
          <w:ilvl w:val="0"/>
          <w:numId w:val="1"/>
        </w:numPr>
        <w:jc w:val="both"/>
      </w:pPr>
      <w:r w:rsidRPr="000E7CE6">
        <w:t xml:space="preserve">Formalizar el préstamo con alguna de las entidades financieras colaboradoras </w:t>
      </w:r>
    </w:p>
    <w:p w14:paraId="68888989" w14:textId="77777777" w:rsidR="000E7CE6" w:rsidRPr="000E7CE6" w:rsidRDefault="000E7CE6" w:rsidP="000E7CE6">
      <w:pPr>
        <w:jc w:val="both"/>
      </w:pPr>
      <w:r w:rsidRPr="000E7CE6">
        <w:t>Se considerará:</w:t>
      </w:r>
    </w:p>
    <w:p w14:paraId="5911422E" w14:textId="77777777" w:rsidR="000E7CE6" w:rsidRPr="000E7CE6" w:rsidRDefault="000E7CE6" w:rsidP="000E7CE6">
      <w:pPr>
        <w:numPr>
          <w:ilvl w:val="0"/>
          <w:numId w:val="1"/>
        </w:numPr>
        <w:jc w:val="both"/>
      </w:pPr>
      <w:r w:rsidRPr="000E7CE6">
        <w:t>Actividad subvencionable la formalización de un préstamo preferencial bonificado formalizado con las entidades financieras que se adhieran al procedimiento.</w:t>
      </w:r>
    </w:p>
    <w:p w14:paraId="0624D0C1" w14:textId="77777777" w:rsidR="000E7CE6" w:rsidRPr="000E7CE6" w:rsidRDefault="000E7CE6" w:rsidP="000E7CE6">
      <w:pPr>
        <w:numPr>
          <w:ilvl w:val="0"/>
          <w:numId w:val="1"/>
        </w:numPr>
        <w:jc w:val="both"/>
      </w:pPr>
      <w:r w:rsidRPr="000E7CE6">
        <w:t xml:space="preserve">Gasto subvencionable los intereses de los préstamos preferenciales bonificados que suscriban los titulares de explotaciones agrarias ubicadas en </w:t>
      </w:r>
      <w:proofErr w:type="spellStart"/>
      <w:r w:rsidRPr="000E7CE6">
        <w:t>CyL</w:t>
      </w:r>
      <w:proofErr w:type="spellEnd"/>
      <w:r w:rsidRPr="000E7CE6">
        <w:t>.</w:t>
      </w:r>
    </w:p>
    <w:p w14:paraId="4D69411F" w14:textId="77777777" w:rsidR="000E7CE6" w:rsidRPr="000E7CE6" w:rsidRDefault="000E7CE6" w:rsidP="000E7CE6">
      <w:pPr>
        <w:jc w:val="both"/>
      </w:pPr>
      <w:r w:rsidRPr="000E7CE6">
        <w:t>En la correspondiente convocatoria se indicará la cuantía total máxima de las subvenciones convocadas.</w:t>
      </w:r>
    </w:p>
    <w:p w14:paraId="59F42744" w14:textId="77777777" w:rsidR="000E7CE6" w:rsidRPr="000E7CE6" w:rsidRDefault="000E7CE6" w:rsidP="000E7CE6">
      <w:pPr>
        <w:jc w:val="both"/>
      </w:pPr>
      <w:r w:rsidRPr="000E7CE6">
        <w:t>La Consejería tomará el «Valor de la Producción Estándar» de cada explotación como criterio de valoración para la determinación del importe máximo de préstamo permitido (importe mínimo 6.000€ y máximo de 60.000€ por explotación). Asimismo, financiará la bonificación del 100% de los intereses de los préstamos preferenciales a 5 años, con un primer año de carencia voluntario y 4 de amortización constantes con un tipo variable. En el supuesto de que el solicitante sea titular de explotación agraria y no tenga la condición de agricultor profesional, la bonificación será como máximo del 40 %.</w:t>
      </w:r>
    </w:p>
    <w:p w14:paraId="71EE6CDA" w14:textId="77777777" w:rsidR="00471E16" w:rsidRDefault="00471E16" w:rsidP="000E7CE6">
      <w:pPr>
        <w:jc w:val="both"/>
      </w:pPr>
    </w:p>
    <w:sectPr w:rsidR="00471E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7135F8"/>
    <w:multiLevelType w:val="hybridMultilevel"/>
    <w:tmpl w:val="C012E7A8"/>
    <w:lvl w:ilvl="0" w:tplc="9848915A">
      <w:numFmt w:val="bullet"/>
      <w:lvlText w:val="-"/>
      <w:lvlJc w:val="left"/>
      <w:pPr>
        <w:ind w:left="1776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119734822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CE6"/>
    <w:rsid w:val="000E7CE6"/>
    <w:rsid w:val="00471E16"/>
    <w:rsid w:val="00A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8CA07"/>
  <w15:chartTrackingRefBased/>
  <w15:docId w15:val="{D7CA6C8F-2789-475B-A8A8-AD761A905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7CE6"/>
    <w:pPr>
      <w:ind w:left="720"/>
      <w:contextualSpacing/>
    </w:pPr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0E7CE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0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MARIANO OLEA</dc:creator>
  <cp:keywords/>
  <dc:description/>
  <cp:lastModifiedBy>MARIANO OLEA</cp:lastModifiedBy>
  <cp:revision>1</cp:revision>
  <cp:lastPrinted>2023-08-25T07:04:00Z</cp:lastPrinted>
  <dcterms:created xsi:type="dcterms:W3CDTF">2023-08-25T06:59:00Z</dcterms:created>
  <dcterms:modified xsi:type="dcterms:W3CDTF">2023-08-25T07:04:00Z</dcterms:modified>
</cp:coreProperties>
</file>