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AB1A2" w14:textId="77777777" w:rsidR="00847D5E" w:rsidRPr="00C6165A" w:rsidRDefault="00847D5E" w:rsidP="009C44CB">
      <w:pPr>
        <w:rPr>
          <w:b/>
        </w:rPr>
      </w:pPr>
      <w:bookmarkStart w:id="0" w:name="_Hlk27481622"/>
      <w:bookmarkEnd w:id="0"/>
    </w:p>
    <w:p w14:paraId="312D87D7" w14:textId="77777777" w:rsidR="00847D5E" w:rsidRPr="00C6165A" w:rsidRDefault="00847D5E" w:rsidP="009C44CB">
      <w:pPr>
        <w:rPr>
          <w:b/>
        </w:rPr>
      </w:pPr>
    </w:p>
    <w:p w14:paraId="3AC123D7" w14:textId="77777777" w:rsidR="00847D5E" w:rsidRPr="00C6165A" w:rsidRDefault="00847D5E" w:rsidP="009C44CB">
      <w:pPr>
        <w:rPr>
          <w:b/>
        </w:rPr>
      </w:pPr>
    </w:p>
    <w:p w14:paraId="1E88B5B1" w14:textId="77777777" w:rsidR="00847D5E" w:rsidRPr="00C6165A" w:rsidRDefault="00847D5E" w:rsidP="009C44CB">
      <w:pPr>
        <w:rPr>
          <w:b/>
        </w:rPr>
      </w:pPr>
    </w:p>
    <w:p w14:paraId="7DAEFED2" w14:textId="77777777" w:rsidR="00847D5E" w:rsidRPr="00C6165A" w:rsidRDefault="00847D5E" w:rsidP="009C44CB">
      <w:pPr>
        <w:rPr>
          <w:b/>
        </w:rPr>
      </w:pPr>
    </w:p>
    <w:p w14:paraId="3D72AEFB" w14:textId="77777777" w:rsidR="00847D5E" w:rsidRPr="00C6165A" w:rsidRDefault="00847D5E" w:rsidP="009C44CB">
      <w:pPr>
        <w:rPr>
          <w:b/>
        </w:rPr>
      </w:pPr>
      <w:bookmarkStart w:id="1" w:name="_GoBack"/>
      <w:bookmarkEnd w:id="1"/>
    </w:p>
    <w:p w14:paraId="73AFB437" w14:textId="702782C7" w:rsidR="00847D5E" w:rsidRPr="00C6165A" w:rsidRDefault="00847D5E" w:rsidP="009C44CB">
      <w:pPr>
        <w:jc w:val="center"/>
        <w:rPr>
          <w:b/>
        </w:rPr>
      </w:pPr>
    </w:p>
    <w:p w14:paraId="36A18470" w14:textId="50212A67" w:rsidR="00847D5E" w:rsidRPr="00C6165A" w:rsidRDefault="00E75BC5" w:rsidP="00E75BC5">
      <w:pPr>
        <w:jc w:val="center"/>
        <w:rPr>
          <w:b/>
        </w:rPr>
      </w:pPr>
      <w:r>
        <w:rPr>
          <w:noProof/>
        </w:rPr>
        <w:drawing>
          <wp:inline distT="0" distB="0" distL="0" distR="0" wp14:anchorId="536FD102" wp14:editId="5543C8A9">
            <wp:extent cx="4552950" cy="1423600"/>
            <wp:effectExtent l="0" t="0" r="0" b="5715"/>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193" cy="1435558"/>
                    </a:xfrm>
                    <a:prstGeom prst="rect">
                      <a:avLst/>
                    </a:prstGeom>
                    <a:noFill/>
                    <a:ln>
                      <a:noFill/>
                    </a:ln>
                  </pic:spPr>
                </pic:pic>
              </a:graphicData>
            </a:graphic>
          </wp:inline>
        </w:drawing>
      </w:r>
    </w:p>
    <w:p w14:paraId="6D628A3C" w14:textId="77777777" w:rsidR="00847D5E" w:rsidRPr="00C6165A" w:rsidRDefault="00847D5E" w:rsidP="009C44CB">
      <w:pPr>
        <w:rPr>
          <w:b/>
        </w:rPr>
      </w:pPr>
    </w:p>
    <w:p w14:paraId="785E1FEC" w14:textId="77777777" w:rsidR="00595E58" w:rsidRPr="00C6165A" w:rsidRDefault="00595E58" w:rsidP="009C44CB">
      <w:pPr>
        <w:rPr>
          <w:b/>
        </w:rPr>
      </w:pPr>
    </w:p>
    <w:p w14:paraId="4DFB91F3" w14:textId="77777777" w:rsidR="00847D5E" w:rsidRPr="00C6165A" w:rsidRDefault="00847D5E" w:rsidP="009C44CB">
      <w:pPr>
        <w:rPr>
          <w:b/>
        </w:rPr>
      </w:pPr>
    </w:p>
    <w:p w14:paraId="471B02CD" w14:textId="77777777" w:rsidR="00847D5E" w:rsidRPr="00C6165A" w:rsidRDefault="00847D5E" w:rsidP="009C44CB">
      <w:pPr>
        <w:rPr>
          <w:b/>
        </w:rPr>
      </w:pPr>
    </w:p>
    <w:p w14:paraId="72473F0C" w14:textId="77777777" w:rsidR="00847D5E" w:rsidRPr="00C6165A" w:rsidRDefault="00847D5E" w:rsidP="00E75BC5">
      <w:pPr>
        <w:spacing w:line="276" w:lineRule="auto"/>
        <w:jc w:val="center"/>
        <w:rPr>
          <w:b/>
          <w:sz w:val="48"/>
          <w:szCs w:val="48"/>
        </w:rPr>
      </w:pPr>
      <w:r w:rsidRPr="00C6165A">
        <w:rPr>
          <w:b/>
          <w:sz w:val="48"/>
          <w:szCs w:val="48"/>
        </w:rPr>
        <w:t xml:space="preserve">BALANCE DE </w:t>
      </w:r>
    </w:p>
    <w:p w14:paraId="7427511C" w14:textId="2475D9A8" w:rsidR="00847D5E" w:rsidRPr="00C6165A" w:rsidRDefault="00847D5E" w:rsidP="00E75BC5">
      <w:pPr>
        <w:spacing w:line="276" w:lineRule="auto"/>
        <w:jc w:val="center"/>
        <w:rPr>
          <w:b/>
          <w:sz w:val="48"/>
          <w:szCs w:val="48"/>
        </w:rPr>
      </w:pPr>
      <w:r w:rsidRPr="00C6165A">
        <w:rPr>
          <w:b/>
          <w:sz w:val="48"/>
          <w:szCs w:val="48"/>
        </w:rPr>
        <w:t xml:space="preserve">LA AGRICULTURA Y GANADERÍA DE CASTILLA Y LEÓN </w:t>
      </w:r>
    </w:p>
    <w:p w14:paraId="235FA525" w14:textId="7E430E4E" w:rsidR="00847D5E" w:rsidRPr="00C6165A" w:rsidRDefault="00847D5E" w:rsidP="00E75BC5">
      <w:pPr>
        <w:tabs>
          <w:tab w:val="left" w:pos="1167"/>
          <w:tab w:val="center" w:pos="4252"/>
        </w:tabs>
        <w:spacing w:line="276" w:lineRule="auto"/>
        <w:jc w:val="center"/>
        <w:rPr>
          <w:b/>
          <w:sz w:val="48"/>
          <w:szCs w:val="48"/>
        </w:rPr>
      </w:pPr>
      <w:r w:rsidRPr="00C6165A">
        <w:rPr>
          <w:b/>
          <w:sz w:val="48"/>
          <w:szCs w:val="48"/>
        </w:rPr>
        <w:t xml:space="preserve">EN EL AÑO </w:t>
      </w:r>
      <w:r w:rsidR="0011367F" w:rsidRPr="00C6165A">
        <w:rPr>
          <w:b/>
          <w:sz w:val="48"/>
          <w:szCs w:val="48"/>
        </w:rPr>
        <w:t>202</w:t>
      </w:r>
      <w:r w:rsidR="00C12643" w:rsidRPr="00C6165A">
        <w:rPr>
          <w:b/>
          <w:sz w:val="48"/>
          <w:szCs w:val="48"/>
        </w:rPr>
        <w:t>2</w:t>
      </w:r>
    </w:p>
    <w:p w14:paraId="274F4D97" w14:textId="77777777" w:rsidR="00847D5E" w:rsidRPr="00C6165A" w:rsidRDefault="00847D5E" w:rsidP="009C44CB">
      <w:pPr>
        <w:rPr>
          <w:b/>
        </w:rPr>
      </w:pPr>
    </w:p>
    <w:p w14:paraId="286068D5" w14:textId="77777777" w:rsidR="00847D5E" w:rsidRPr="00C6165A" w:rsidRDefault="00847D5E" w:rsidP="009C44CB">
      <w:pPr>
        <w:rPr>
          <w:b/>
        </w:rPr>
      </w:pPr>
    </w:p>
    <w:p w14:paraId="15A27817" w14:textId="77777777" w:rsidR="00847D5E" w:rsidRPr="00C6165A" w:rsidRDefault="00847D5E" w:rsidP="009C44CB">
      <w:pPr>
        <w:rPr>
          <w:b/>
        </w:rPr>
      </w:pPr>
    </w:p>
    <w:p w14:paraId="14E5D37D" w14:textId="77777777" w:rsidR="00847D5E" w:rsidRPr="00C6165A" w:rsidRDefault="00847D5E" w:rsidP="009C44CB">
      <w:pPr>
        <w:rPr>
          <w:b/>
        </w:rPr>
      </w:pPr>
    </w:p>
    <w:p w14:paraId="4FEF20AD" w14:textId="77777777" w:rsidR="00847D5E" w:rsidRPr="00C6165A" w:rsidRDefault="00847D5E" w:rsidP="009C44CB">
      <w:pPr>
        <w:rPr>
          <w:b/>
        </w:rPr>
      </w:pPr>
    </w:p>
    <w:p w14:paraId="23C56484" w14:textId="66E45DA9" w:rsidR="00847D5E" w:rsidRPr="00C6165A" w:rsidRDefault="00847D5E" w:rsidP="009C44CB">
      <w:pPr>
        <w:rPr>
          <w:b/>
        </w:rPr>
      </w:pPr>
    </w:p>
    <w:p w14:paraId="61E9FDBA" w14:textId="68B7A089" w:rsidR="00A35A55" w:rsidRPr="00C6165A" w:rsidRDefault="00A35A55" w:rsidP="009C44CB">
      <w:pPr>
        <w:rPr>
          <w:b/>
        </w:rPr>
      </w:pPr>
    </w:p>
    <w:p w14:paraId="67968B0C" w14:textId="15613F0D" w:rsidR="00A35A55" w:rsidRPr="00C6165A" w:rsidRDefault="00A35A55" w:rsidP="009C44CB">
      <w:pPr>
        <w:rPr>
          <w:b/>
        </w:rPr>
      </w:pPr>
    </w:p>
    <w:p w14:paraId="4EBC9A95" w14:textId="34831D32" w:rsidR="00A35A55" w:rsidRPr="00C6165A" w:rsidRDefault="00A35A55" w:rsidP="009C44CB">
      <w:pPr>
        <w:rPr>
          <w:b/>
        </w:rPr>
      </w:pPr>
    </w:p>
    <w:p w14:paraId="2503E38D" w14:textId="213D70A4" w:rsidR="00A35A55" w:rsidRPr="00C6165A" w:rsidRDefault="00A35A55" w:rsidP="009C44CB">
      <w:pPr>
        <w:rPr>
          <w:b/>
        </w:rPr>
      </w:pPr>
    </w:p>
    <w:p w14:paraId="66ADE35C" w14:textId="77777777" w:rsidR="00847D5E" w:rsidRPr="00C6165A" w:rsidRDefault="00847D5E" w:rsidP="009C44CB">
      <w:pPr>
        <w:rPr>
          <w:b/>
        </w:rPr>
      </w:pPr>
    </w:p>
    <w:p w14:paraId="37F81E3C" w14:textId="77777777" w:rsidR="00847D5E" w:rsidRPr="00C6165A" w:rsidRDefault="00847D5E" w:rsidP="009C44CB">
      <w:pPr>
        <w:rPr>
          <w:b/>
        </w:rPr>
      </w:pPr>
    </w:p>
    <w:p w14:paraId="44ACA728" w14:textId="56E8B656" w:rsidR="00847D5E" w:rsidRPr="00C6165A" w:rsidRDefault="00847D5E" w:rsidP="009C44CB">
      <w:pPr>
        <w:jc w:val="right"/>
        <w:rPr>
          <w:b/>
        </w:rPr>
      </w:pPr>
      <w:r w:rsidRPr="00C6165A">
        <w:rPr>
          <w:b/>
        </w:rPr>
        <w:t>Valladolid,</w:t>
      </w:r>
      <w:r w:rsidR="006B6CD6" w:rsidRPr="00C6165A">
        <w:rPr>
          <w:b/>
        </w:rPr>
        <w:t xml:space="preserve"> </w:t>
      </w:r>
      <w:r w:rsidR="006B6CD6" w:rsidRPr="00181390">
        <w:rPr>
          <w:b/>
        </w:rPr>
        <w:t>diciembre de</w:t>
      </w:r>
      <w:r w:rsidR="006B6CD6" w:rsidRPr="00C6165A">
        <w:rPr>
          <w:b/>
        </w:rPr>
        <w:t xml:space="preserve"> 202</w:t>
      </w:r>
      <w:r w:rsidR="00C12643" w:rsidRPr="00C6165A">
        <w:rPr>
          <w:b/>
        </w:rPr>
        <w:t>2</w:t>
      </w:r>
    </w:p>
    <w:p w14:paraId="2E958EB0" w14:textId="77777777" w:rsidR="00847D5E" w:rsidRPr="00C6165A" w:rsidRDefault="00847D5E" w:rsidP="009C44CB">
      <w:pPr>
        <w:rPr>
          <w:b/>
        </w:rPr>
      </w:pPr>
    </w:p>
    <w:p w14:paraId="3A8FB1A8" w14:textId="77777777" w:rsidR="00847D5E" w:rsidRPr="00C6165A" w:rsidRDefault="00847D5E" w:rsidP="009C44CB">
      <w:pPr>
        <w:jc w:val="right"/>
        <w:rPr>
          <w:b/>
        </w:rPr>
      </w:pPr>
      <w:r w:rsidRPr="00C6165A">
        <w:rPr>
          <w:b/>
          <w:bCs/>
        </w:rPr>
        <w:t>Servicios Técnicos de ASAJA de Castilla y León</w:t>
      </w:r>
    </w:p>
    <w:p w14:paraId="359F4AF4" w14:textId="77777777" w:rsidR="00847D5E" w:rsidRPr="00C6165A" w:rsidRDefault="00847D5E" w:rsidP="009C44CB">
      <w:pPr>
        <w:rPr>
          <w:b/>
        </w:rPr>
      </w:pPr>
    </w:p>
    <w:p w14:paraId="3B0B5313" w14:textId="77777777" w:rsidR="00847D5E" w:rsidRPr="00C6165A" w:rsidRDefault="00847D5E" w:rsidP="009C44CB">
      <w:pPr>
        <w:rPr>
          <w:b/>
        </w:rPr>
      </w:pPr>
    </w:p>
    <w:p w14:paraId="3C7ED0FA" w14:textId="77777777" w:rsidR="00847D5E" w:rsidRPr="00C6165A" w:rsidRDefault="00847D5E" w:rsidP="009C44CB">
      <w:pPr>
        <w:rPr>
          <w:b/>
        </w:rPr>
      </w:pPr>
    </w:p>
    <w:p w14:paraId="6823CED3" w14:textId="77777777" w:rsidR="00847D5E" w:rsidRPr="00C6165A" w:rsidRDefault="00847D5E" w:rsidP="009C44CB">
      <w:pPr>
        <w:jc w:val="center"/>
        <w:rPr>
          <w:b/>
        </w:rPr>
      </w:pPr>
    </w:p>
    <w:p w14:paraId="40C263D9" w14:textId="77777777" w:rsidR="000F009D" w:rsidRPr="00C6165A" w:rsidRDefault="000F009D">
      <w:pPr>
        <w:sectPr w:rsidR="000F009D" w:rsidRPr="00C6165A" w:rsidSect="000F009D">
          <w:footerReference w:type="even" r:id="rId9"/>
          <w:footerReference w:type="default" r:id="rId10"/>
          <w:pgSz w:w="11906" w:h="16838"/>
          <w:pgMar w:top="1417" w:right="1701" w:bottom="1417" w:left="1701" w:header="708" w:footer="708" w:gutter="0"/>
          <w:pgNumType w:start="1"/>
          <w:cols w:space="708"/>
          <w:docGrid w:linePitch="360"/>
        </w:sectPr>
      </w:pPr>
    </w:p>
    <w:p w14:paraId="6BAD8E01" w14:textId="77777777" w:rsidR="007460F3" w:rsidRDefault="007460F3" w:rsidP="00AA49C3">
      <w:pPr>
        <w:jc w:val="center"/>
        <w:rPr>
          <w:b/>
        </w:rPr>
      </w:pPr>
      <w:bookmarkStart w:id="2" w:name="cultivos_herbaceos"/>
      <w:bookmarkEnd w:id="2"/>
    </w:p>
    <w:p w14:paraId="1EC526DB" w14:textId="0CDF402C" w:rsidR="002A07E2" w:rsidRPr="00C6165A" w:rsidRDefault="002A07E2" w:rsidP="00AA49C3">
      <w:pPr>
        <w:jc w:val="center"/>
        <w:rPr>
          <w:b/>
        </w:rPr>
      </w:pPr>
      <w:r w:rsidRPr="00C6165A">
        <w:rPr>
          <w:b/>
        </w:rPr>
        <w:t>INTRODUCCIÓN</w:t>
      </w:r>
    </w:p>
    <w:p w14:paraId="506CE10E" w14:textId="77777777" w:rsidR="002A07E2" w:rsidRPr="00C6165A" w:rsidRDefault="002A07E2" w:rsidP="002A07E2"/>
    <w:p w14:paraId="39F193B2" w14:textId="77777777" w:rsidR="009539CF" w:rsidRDefault="009539CF" w:rsidP="009539CF">
      <w:r>
        <w:t xml:space="preserve">Desde el punto de vista productivo, el año 2022 ha sido desfavorable climatológicamente hablando, lo que, sumado a los ajustes que se han visto obligados a hacer profesionales del campo para reducir unos gastos disparados desde la guerra en Ucrania, explica que haya habido reducciones tanto en las producciones agrícolas (cereal, maíz, remolacha) como también en alguna de las ganaderas, como la leche. </w:t>
      </w:r>
    </w:p>
    <w:p w14:paraId="5973F7FA" w14:textId="77777777" w:rsidR="009539CF" w:rsidRDefault="009539CF" w:rsidP="009539CF">
      <w:pPr>
        <w:spacing w:before="240"/>
      </w:pPr>
      <w:r>
        <w:t xml:space="preserve">En ganadería, la progresiva reducción del número de explotaciones, junto a la de la propia cabaña para aligerar los costes de alimentación en las que siguen en activo, prueba que ni siquiera la subida de los precios pagados por leche y carne compensan, y que las explotaciones siguen teniendo muy complicado alcanzar una rentabilidad. </w:t>
      </w:r>
    </w:p>
    <w:p w14:paraId="72BDD428" w14:textId="03BBDF58" w:rsidR="009539CF" w:rsidRDefault="009539CF" w:rsidP="009539CF">
      <w:pPr>
        <w:spacing w:after="240"/>
      </w:pPr>
      <w:r>
        <w:t>En agricultura, las producciones han sido en general pobres, y las llamativas cotizaciones alcanzadas en algunos momentos por el cereal apenas han llegado a los bolsillos de los agricultores.</w:t>
      </w:r>
    </w:p>
    <w:p w14:paraId="77810A4C" w14:textId="77777777" w:rsidR="009539CF" w:rsidRDefault="009539CF" w:rsidP="009539CF">
      <w:r>
        <w:t>Todo esto choca con los datos del IPC, con subidas importantes en muchos alimentos, desde el azúcar, legumbres, huevos, leche, cereales, patatas, carne de ave y de vacuno… que han impactado en el bolsillo del consumidor sin que el agricultor y ganadero haya experimentado una subida significativa de su margen de beneficio, que queda en otros escalones de la Cadena Alimentaria, como ha denunciado repetidamente ASAJA.</w:t>
      </w:r>
    </w:p>
    <w:p w14:paraId="296599AD" w14:textId="6D596315" w:rsidR="00DD3729" w:rsidRDefault="009539CF" w:rsidP="009539CF">
      <w:r>
        <w:t xml:space="preserve">Con estas condiciones, la primera estimación de renta agraria que avanzó el Ministerio de Agricultura el último mes del año marca ya un importante retroceso. El aumento de los precios cobrados por las producciones agrícolas y ganaderas es mucho menor que el desproporcionado incremento de los </w:t>
      </w:r>
      <w:r w:rsidR="00DD3729">
        <w:t>c</w:t>
      </w:r>
      <w:r w:rsidRPr="009539CF">
        <w:t>ostes de producción del sector</w:t>
      </w:r>
      <w:r w:rsidR="00DD3729">
        <w:t xml:space="preserve">, que no es capaz de </w:t>
      </w:r>
      <w:r w:rsidRPr="009539CF">
        <w:t>compensa</w:t>
      </w:r>
      <w:r w:rsidR="00DD3729">
        <w:t>rlos y retrocede un 5,5% sobre el año anterior.</w:t>
      </w:r>
    </w:p>
    <w:p w14:paraId="2C750AE9" w14:textId="39C547C2" w:rsidR="009539CF" w:rsidRDefault="009539CF" w:rsidP="009539CF">
      <w:r>
        <w:t>Así las cosas, este 2022 se agudiza como nunca la sensación del campo de que se trabaja a pérdidas o con suerte para mantener la rueda de la producción, lejos de un horizonte de estabilidad y rentabilidad que garantice el futuro.</w:t>
      </w:r>
    </w:p>
    <w:p w14:paraId="10574F6D" w14:textId="21304584" w:rsidR="002A07E2" w:rsidRDefault="009539CF" w:rsidP="009539CF">
      <w:r>
        <w:t>El panorama es aún más complejo si se tiene en cuenta la inminente entrada en vigor de la nueva PAC, así como multitud de reglamentos y normativa, burocracia, en definitiva, que cada vez complica más la labor de los agricultores y ganaderos y que va en muchos casos en contra de la lógica de la producción de alimentos y a favor de causas políticas e ideológicas que hoy están en boga.</w:t>
      </w:r>
    </w:p>
    <w:p w14:paraId="394D13ED" w14:textId="5D02374C" w:rsidR="00594B72" w:rsidRDefault="00594B72" w:rsidP="002A07E2"/>
    <w:p w14:paraId="39105466" w14:textId="42829536" w:rsidR="00594B72" w:rsidRDefault="00594B72" w:rsidP="002A07E2"/>
    <w:p w14:paraId="47B62BE0" w14:textId="53E7AD9F" w:rsidR="00594B72" w:rsidRDefault="00594B72" w:rsidP="002A07E2"/>
    <w:p w14:paraId="79FC9057" w14:textId="693A42CD" w:rsidR="009539CF" w:rsidRDefault="009539CF" w:rsidP="002A07E2"/>
    <w:p w14:paraId="7B21B392" w14:textId="56F2E6F7" w:rsidR="009539CF" w:rsidRDefault="009539CF" w:rsidP="002A07E2"/>
    <w:p w14:paraId="3F93868B" w14:textId="199D6328" w:rsidR="009539CF" w:rsidRDefault="009539CF" w:rsidP="002A07E2"/>
    <w:p w14:paraId="45F1B525" w14:textId="64BF2E72" w:rsidR="009539CF" w:rsidRDefault="009539CF" w:rsidP="002A07E2"/>
    <w:p w14:paraId="1565BBBC" w14:textId="7ADFD97C" w:rsidR="009539CF" w:rsidRDefault="009539CF" w:rsidP="002A07E2"/>
    <w:p w14:paraId="78A7611B" w14:textId="48453AC6" w:rsidR="009539CF" w:rsidRDefault="009539CF" w:rsidP="002A07E2"/>
    <w:p w14:paraId="22ECA269" w14:textId="6B1F5FDF" w:rsidR="009539CF" w:rsidRDefault="009539CF" w:rsidP="002A07E2"/>
    <w:p w14:paraId="6B78D630" w14:textId="77777777" w:rsidR="009539CF" w:rsidRDefault="009539CF" w:rsidP="002A07E2"/>
    <w:p w14:paraId="7C7D4496" w14:textId="008EB9AE" w:rsidR="00AA49C3" w:rsidRPr="00C6165A" w:rsidRDefault="00AA49C3" w:rsidP="00AA49C3">
      <w:pPr>
        <w:jc w:val="center"/>
        <w:rPr>
          <w:b/>
        </w:rPr>
      </w:pPr>
      <w:r w:rsidRPr="00C6165A">
        <w:rPr>
          <w:b/>
        </w:rPr>
        <w:t>SUBSECTOR AGRÍCOLA</w:t>
      </w:r>
    </w:p>
    <w:p w14:paraId="6CBD16A4" w14:textId="77777777" w:rsidR="00595E58" w:rsidRPr="00C6165A" w:rsidRDefault="00595E58" w:rsidP="00AA49C3">
      <w:pPr>
        <w:jc w:val="center"/>
        <w:rPr>
          <w:b/>
        </w:rPr>
      </w:pPr>
    </w:p>
    <w:p w14:paraId="4C758BA4" w14:textId="77777777" w:rsidR="00BF66C5" w:rsidRPr="00C6165A" w:rsidRDefault="00BF66C5" w:rsidP="00AA49C3">
      <w:pPr>
        <w:rPr>
          <w:b/>
        </w:rPr>
      </w:pPr>
    </w:p>
    <w:p w14:paraId="6C60998B" w14:textId="44C81FB7" w:rsidR="00AA49C3" w:rsidRPr="00C6165A" w:rsidRDefault="00AA49C3" w:rsidP="00AA49C3">
      <w:pPr>
        <w:rPr>
          <w:b/>
        </w:rPr>
      </w:pPr>
      <w:r w:rsidRPr="00C6165A">
        <w:rPr>
          <w:b/>
        </w:rPr>
        <w:t>Cereales de invierno</w:t>
      </w:r>
    </w:p>
    <w:p w14:paraId="50EF57A4" w14:textId="77777777" w:rsidR="00AA49C3" w:rsidRPr="00C6165A" w:rsidRDefault="00AA49C3" w:rsidP="00AA49C3"/>
    <w:p w14:paraId="39AC7703" w14:textId="4DB22B03" w:rsidR="00AA49C3" w:rsidRPr="00C6165A" w:rsidRDefault="00AA49C3" w:rsidP="00AA49C3">
      <w:r w:rsidRPr="00C6165A">
        <w:t xml:space="preserve">La superficie total de cereales de invierno cultivada fue de </w:t>
      </w:r>
      <w:r w:rsidR="00C12643" w:rsidRPr="00C6165A">
        <w:t>1.825.583</w:t>
      </w:r>
      <w:r w:rsidR="00924270" w:rsidRPr="00C6165A">
        <w:t xml:space="preserve"> </w:t>
      </w:r>
      <w:r w:rsidRPr="00C6165A">
        <w:t xml:space="preserve">hectáreas, un </w:t>
      </w:r>
      <w:r w:rsidR="00C12643" w:rsidRPr="00C6165A">
        <w:t>5,4</w:t>
      </w:r>
      <w:r w:rsidR="00A87D1E" w:rsidRPr="00C6165A">
        <w:t>%</w:t>
      </w:r>
      <w:r w:rsidRPr="00C6165A">
        <w:t xml:space="preserve"> </w:t>
      </w:r>
      <w:r w:rsidR="00C12643" w:rsidRPr="00C6165A">
        <w:t>inferior a la del año 2021</w:t>
      </w:r>
      <w:r w:rsidR="005301A2" w:rsidRPr="00C6165A">
        <w:t>.</w:t>
      </w:r>
      <w:r w:rsidRPr="00C6165A">
        <w:t xml:space="preserve"> </w:t>
      </w:r>
      <w:r w:rsidR="00C12643" w:rsidRPr="00C6165A">
        <w:t xml:space="preserve">Aun habiendo una reducción generalizada de las superficies, se observa un </w:t>
      </w:r>
      <w:r w:rsidR="00CD4559" w:rsidRPr="00C6165A">
        <w:t xml:space="preserve">incremento </w:t>
      </w:r>
      <w:r w:rsidR="00C12643" w:rsidRPr="00C6165A">
        <w:t>en la siembra</w:t>
      </w:r>
      <w:r w:rsidR="00CD4559" w:rsidRPr="00C6165A">
        <w:t xml:space="preserve"> de </w:t>
      </w:r>
      <w:r w:rsidR="00924270" w:rsidRPr="00C6165A">
        <w:t xml:space="preserve">trigo </w:t>
      </w:r>
      <w:r w:rsidR="00C12643" w:rsidRPr="00C6165A">
        <w:t>duro</w:t>
      </w:r>
      <w:r w:rsidR="00924270" w:rsidRPr="00C6165A">
        <w:t xml:space="preserve"> y triticale</w:t>
      </w:r>
      <w:r w:rsidR="00C12643" w:rsidRPr="00C6165A">
        <w:t xml:space="preserve"> en un 1,03% y 5,38% respectivamente</w:t>
      </w:r>
      <w:r w:rsidR="00CD4559" w:rsidRPr="00C6165A">
        <w:t xml:space="preserve">. </w:t>
      </w:r>
      <w:r w:rsidR="005301A2" w:rsidRPr="00C6165A">
        <w:t xml:space="preserve">La </w:t>
      </w:r>
      <w:r w:rsidRPr="00C6165A">
        <w:t>producción</w:t>
      </w:r>
      <w:r w:rsidR="005301A2" w:rsidRPr="00C6165A">
        <w:t xml:space="preserve"> obtenida</w:t>
      </w:r>
      <w:r w:rsidRPr="00C6165A">
        <w:t xml:space="preserve">, según los últimos datos oficiales, </w:t>
      </w:r>
      <w:r w:rsidR="005301A2" w:rsidRPr="00C6165A">
        <w:t>fueron</w:t>
      </w:r>
      <w:r w:rsidRPr="00C6165A">
        <w:t xml:space="preserve"> </w:t>
      </w:r>
      <w:r w:rsidR="00C12643" w:rsidRPr="00C6165A">
        <w:t>5.169.795</w:t>
      </w:r>
      <w:r w:rsidR="00924270" w:rsidRPr="00C6165A">
        <w:t xml:space="preserve"> </w:t>
      </w:r>
      <w:r w:rsidRPr="00C6165A">
        <w:t xml:space="preserve">toneladas, que representa </w:t>
      </w:r>
      <w:r w:rsidR="00154C4C" w:rsidRPr="00C6165A">
        <w:t xml:space="preserve">un </w:t>
      </w:r>
      <w:r w:rsidR="00A6140B" w:rsidRPr="00C6165A">
        <w:t xml:space="preserve">descenso del </w:t>
      </w:r>
      <w:r w:rsidR="00C12643" w:rsidRPr="00C6165A">
        <w:t>32,18</w:t>
      </w:r>
      <w:r w:rsidR="00A87D1E" w:rsidRPr="00C6165A">
        <w:t>%</w:t>
      </w:r>
      <w:r w:rsidR="005C3228" w:rsidRPr="00C6165A">
        <w:t xml:space="preserve"> respecto a</w:t>
      </w:r>
      <w:r w:rsidRPr="00C6165A">
        <w:t xml:space="preserve"> la campaña anterior y </w:t>
      </w:r>
      <w:r w:rsidR="00A6140B" w:rsidRPr="00C6165A">
        <w:t xml:space="preserve">un </w:t>
      </w:r>
      <w:r w:rsidR="003119C8" w:rsidRPr="00C6165A">
        <w:t>10,49</w:t>
      </w:r>
      <w:r w:rsidR="00A87D1E" w:rsidRPr="00C6165A">
        <w:t>%</w:t>
      </w:r>
      <w:r w:rsidRPr="00C6165A">
        <w:t xml:space="preserve"> </w:t>
      </w:r>
      <w:r w:rsidR="003119C8" w:rsidRPr="00C6165A">
        <w:t>inferio</w:t>
      </w:r>
      <w:r w:rsidR="00CD4559" w:rsidRPr="00C6165A">
        <w:t>r</w:t>
      </w:r>
      <w:r w:rsidR="00A42F42" w:rsidRPr="00C6165A">
        <w:t xml:space="preserve"> a</w:t>
      </w:r>
      <w:r w:rsidRPr="00C6165A">
        <w:t xml:space="preserve"> la media de los últimos diez años. Por cultivos, la superficie y producción, así como la variación con respecto a la campaña anterior, se pueden ver en la siguiente tabla:</w:t>
      </w:r>
    </w:p>
    <w:p w14:paraId="285E7F50" w14:textId="77777777" w:rsidR="00AA49C3" w:rsidRPr="00C6165A" w:rsidRDefault="00AA49C3" w:rsidP="00AA49C3"/>
    <w:tbl>
      <w:tblPr>
        <w:tblW w:w="5000" w:type="pct"/>
        <w:tblCellMar>
          <w:left w:w="70" w:type="dxa"/>
          <w:right w:w="70" w:type="dxa"/>
        </w:tblCellMar>
        <w:tblLook w:val="04A0" w:firstRow="1" w:lastRow="0" w:firstColumn="1" w:lastColumn="0" w:noHBand="0" w:noVBand="1"/>
      </w:tblPr>
      <w:tblGrid>
        <w:gridCol w:w="1607"/>
        <w:gridCol w:w="1047"/>
        <w:gridCol w:w="1187"/>
        <w:gridCol w:w="1114"/>
        <w:gridCol w:w="1216"/>
        <w:gridCol w:w="1198"/>
        <w:gridCol w:w="1125"/>
      </w:tblGrid>
      <w:tr w:rsidR="00C6165A" w:rsidRPr="00C6165A" w14:paraId="56316A32" w14:textId="77777777" w:rsidTr="00A35A55">
        <w:trPr>
          <w:trHeight w:val="300"/>
        </w:trPr>
        <w:tc>
          <w:tcPr>
            <w:tcW w:w="956" w:type="pct"/>
            <w:tcBorders>
              <w:right w:val="single" w:sz="8" w:space="0" w:color="auto"/>
            </w:tcBorders>
            <w:shd w:val="clear" w:color="auto" w:fill="auto"/>
            <w:noWrap/>
            <w:vAlign w:val="bottom"/>
            <w:hideMark/>
          </w:tcPr>
          <w:p w14:paraId="479BC7D5" w14:textId="77777777" w:rsidR="003119C8" w:rsidRPr="00C6165A" w:rsidRDefault="003119C8" w:rsidP="003119C8">
            <w:pPr>
              <w:jc w:val="left"/>
              <w:rPr>
                <w:sz w:val="20"/>
                <w:szCs w:val="20"/>
                <w:lang w:eastAsia="es-ES"/>
              </w:rPr>
            </w:pPr>
            <w:r w:rsidRPr="00C6165A">
              <w:rPr>
                <w:sz w:val="20"/>
                <w:szCs w:val="20"/>
                <w:lang w:eastAsia="es-ES"/>
              </w:rPr>
              <w:t> </w:t>
            </w:r>
          </w:p>
        </w:tc>
        <w:tc>
          <w:tcPr>
            <w:tcW w:w="1963"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3E4E02F5" w14:textId="77777777" w:rsidR="003119C8" w:rsidRPr="00C6165A" w:rsidRDefault="003119C8" w:rsidP="003119C8">
            <w:pPr>
              <w:jc w:val="center"/>
              <w:rPr>
                <w:b/>
                <w:bCs/>
                <w:sz w:val="20"/>
                <w:szCs w:val="20"/>
                <w:lang w:eastAsia="es-ES"/>
              </w:rPr>
            </w:pPr>
            <w:r w:rsidRPr="00C6165A">
              <w:rPr>
                <w:b/>
                <w:bCs/>
                <w:sz w:val="20"/>
                <w:szCs w:val="20"/>
                <w:lang w:eastAsia="es-ES"/>
              </w:rPr>
              <w:t>Superficie (ha)</w:t>
            </w:r>
          </w:p>
        </w:tc>
        <w:tc>
          <w:tcPr>
            <w:tcW w:w="2081"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51D43CE8" w14:textId="77777777" w:rsidR="003119C8" w:rsidRPr="00C6165A" w:rsidRDefault="003119C8" w:rsidP="003119C8">
            <w:pPr>
              <w:jc w:val="center"/>
              <w:rPr>
                <w:b/>
                <w:bCs/>
                <w:sz w:val="20"/>
                <w:szCs w:val="20"/>
                <w:lang w:eastAsia="es-ES"/>
              </w:rPr>
            </w:pPr>
            <w:r w:rsidRPr="00C6165A">
              <w:rPr>
                <w:b/>
                <w:bCs/>
                <w:sz w:val="20"/>
                <w:szCs w:val="20"/>
                <w:lang w:eastAsia="es-ES"/>
              </w:rPr>
              <w:t>Producción (t)</w:t>
            </w:r>
          </w:p>
        </w:tc>
      </w:tr>
      <w:tr w:rsidR="00C6165A" w:rsidRPr="00C6165A" w14:paraId="12CC8FB9" w14:textId="77777777" w:rsidTr="00A35A55">
        <w:trPr>
          <w:trHeight w:val="300"/>
        </w:trPr>
        <w:tc>
          <w:tcPr>
            <w:tcW w:w="956" w:type="pct"/>
            <w:tcBorders>
              <w:bottom w:val="single" w:sz="8" w:space="0" w:color="auto"/>
              <w:right w:val="single" w:sz="8" w:space="0" w:color="auto"/>
            </w:tcBorders>
            <w:shd w:val="clear" w:color="auto" w:fill="auto"/>
            <w:noWrap/>
            <w:vAlign w:val="bottom"/>
            <w:hideMark/>
          </w:tcPr>
          <w:p w14:paraId="40C3D8CE" w14:textId="77777777" w:rsidR="003119C8" w:rsidRPr="00C6165A" w:rsidRDefault="003119C8" w:rsidP="003119C8">
            <w:pPr>
              <w:jc w:val="left"/>
              <w:rPr>
                <w:sz w:val="20"/>
                <w:szCs w:val="20"/>
                <w:lang w:eastAsia="es-ES"/>
              </w:rPr>
            </w:pPr>
            <w:r w:rsidRPr="00C6165A">
              <w:rPr>
                <w:sz w:val="20"/>
                <w:szCs w:val="20"/>
                <w:lang w:eastAsia="es-ES"/>
              </w:rPr>
              <w:t> </w:t>
            </w:r>
          </w:p>
        </w:tc>
        <w:tc>
          <w:tcPr>
            <w:tcW w:w="612" w:type="pct"/>
            <w:tcBorders>
              <w:top w:val="nil"/>
              <w:left w:val="nil"/>
              <w:bottom w:val="single" w:sz="8" w:space="0" w:color="auto"/>
              <w:right w:val="single" w:sz="8" w:space="0" w:color="auto"/>
            </w:tcBorders>
            <w:shd w:val="clear" w:color="auto" w:fill="auto"/>
            <w:noWrap/>
            <w:vAlign w:val="center"/>
            <w:hideMark/>
          </w:tcPr>
          <w:p w14:paraId="34612C1B" w14:textId="77777777" w:rsidR="003119C8" w:rsidRPr="00C6165A" w:rsidRDefault="003119C8" w:rsidP="003119C8">
            <w:pPr>
              <w:jc w:val="center"/>
              <w:rPr>
                <w:b/>
                <w:bCs/>
                <w:sz w:val="20"/>
                <w:szCs w:val="20"/>
                <w:lang w:eastAsia="es-ES"/>
              </w:rPr>
            </w:pPr>
            <w:r w:rsidRPr="00C6165A">
              <w:rPr>
                <w:b/>
                <w:bCs/>
                <w:sz w:val="20"/>
                <w:szCs w:val="20"/>
                <w:lang w:eastAsia="es-ES"/>
              </w:rPr>
              <w:t>2021</w:t>
            </w:r>
          </w:p>
        </w:tc>
        <w:tc>
          <w:tcPr>
            <w:tcW w:w="698" w:type="pct"/>
            <w:tcBorders>
              <w:top w:val="nil"/>
              <w:left w:val="nil"/>
              <w:bottom w:val="single" w:sz="8" w:space="0" w:color="auto"/>
              <w:right w:val="single" w:sz="8" w:space="0" w:color="auto"/>
            </w:tcBorders>
            <w:shd w:val="clear" w:color="auto" w:fill="auto"/>
            <w:noWrap/>
            <w:vAlign w:val="center"/>
            <w:hideMark/>
          </w:tcPr>
          <w:p w14:paraId="0EE5D669" w14:textId="77777777" w:rsidR="003119C8" w:rsidRPr="00C6165A" w:rsidRDefault="003119C8" w:rsidP="003119C8">
            <w:pPr>
              <w:jc w:val="center"/>
              <w:rPr>
                <w:b/>
                <w:bCs/>
                <w:sz w:val="20"/>
                <w:szCs w:val="20"/>
                <w:lang w:eastAsia="es-ES"/>
              </w:rPr>
            </w:pPr>
            <w:r w:rsidRPr="00C6165A">
              <w:rPr>
                <w:b/>
                <w:bCs/>
                <w:sz w:val="20"/>
                <w:szCs w:val="20"/>
                <w:lang w:eastAsia="es-ES"/>
              </w:rPr>
              <w:t>2022</w:t>
            </w:r>
          </w:p>
        </w:tc>
        <w:tc>
          <w:tcPr>
            <w:tcW w:w="653" w:type="pct"/>
            <w:tcBorders>
              <w:top w:val="nil"/>
              <w:left w:val="nil"/>
              <w:bottom w:val="single" w:sz="8" w:space="0" w:color="auto"/>
              <w:right w:val="single" w:sz="8" w:space="0" w:color="auto"/>
            </w:tcBorders>
            <w:shd w:val="clear" w:color="auto" w:fill="auto"/>
            <w:noWrap/>
            <w:vAlign w:val="center"/>
            <w:hideMark/>
          </w:tcPr>
          <w:p w14:paraId="225F4261" w14:textId="77777777" w:rsidR="003119C8" w:rsidRPr="00C6165A" w:rsidRDefault="003119C8" w:rsidP="003119C8">
            <w:pPr>
              <w:jc w:val="center"/>
              <w:rPr>
                <w:b/>
                <w:bCs/>
                <w:sz w:val="20"/>
                <w:szCs w:val="20"/>
                <w:lang w:eastAsia="es-ES"/>
              </w:rPr>
            </w:pPr>
            <w:r w:rsidRPr="00C6165A">
              <w:rPr>
                <w:b/>
                <w:bCs/>
                <w:sz w:val="20"/>
                <w:szCs w:val="20"/>
                <w:lang w:eastAsia="es-ES"/>
              </w:rPr>
              <w:t>Variación (%)</w:t>
            </w:r>
          </w:p>
        </w:tc>
        <w:tc>
          <w:tcPr>
            <w:tcW w:w="716" w:type="pct"/>
            <w:tcBorders>
              <w:top w:val="nil"/>
              <w:left w:val="nil"/>
              <w:bottom w:val="single" w:sz="8" w:space="0" w:color="auto"/>
              <w:right w:val="single" w:sz="8" w:space="0" w:color="auto"/>
            </w:tcBorders>
            <w:shd w:val="clear" w:color="auto" w:fill="auto"/>
            <w:noWrap/>
            <w:vAlign w:val="center"/>
            <w:hideMark/>
          </w:tcPr>
          <w:p w14:paraId="3B823A9C" w14:textId="77777777" w:rsidR="003119C8" w:rsidRPr="00C6165A" w:rsidRDefault="003119C8" w:rsidP="003119C8">
            <w:pPr>
              <w:jc w:val="center"/>
              <w:rPr>
                <w:b/>
                <w:bCs/>
                <w:sz w:val="20"/>
                <w:szCs w:val="20"/>
                <w:lang w:eastAsia="es-ES"/>
              </w:rPr>
            </w:pPr>
            <w:r w:rsidRPr="00C6165A">
              <w:rPr>
                <w:b/>
                <w:bCs/>
                <w:sz w:val="20"/>
                <w:szCs w:val="20"/>
                <w:lang w:eastAsia="es-ES"/>
              </w:rPr>
              <w:t>2021</w:t>
            </w:r>
          </w:p>
        </w:tc>
        <w:tc>
          <w:tcPr>
            <w:tcW w:w="705" w:type="pct"/>
            <w:tcBorders>
              <w:top w:val="nil"/>
              <w:left w:val="nil"/>
              <w:bottom w:val="single" w:sz="8" w:space="0" w:color="auto"/>
              <w:right w:val="single" w:sz="8" w:space="0" w:color="auto"/>
            </w:tcBorders>
            <w:shd w:val="clear" w:color="auto" w:fill="auto"/>
            <w:noWrap/>
            <w:vAlign w:val="center"/>
            <w:hideMark/>
          </w:tcPr>
          <w:p w14:paraId="0E0F556E" w14:textId="77777777" w:rsidR="003119C8" w:rsidRPr="00C6165A" w:rsidRDefault="003119C8" w:rsidP="003119C8">
            <w:pPr>
              <w:jc w:val="center"/>
              <w:rPr>
                <w:b/>
                <w:bCs/>
                <w:sz w:val="20"/>
                <w:szCs w:val="20"/>
                <w:lang w:eastAsia="es-ES"/>
              </w:rPr>
            </w:pPr>
            <w:r w:rsidRPr="00C6165A">
              <w:rPr>
                <w:b/>
                <w:bCs/>
                <w:sz w:val="20"/>
                <w:szCs w:val="20"/>
                <w:lang w:eastAsia="es-ES"/>
              </w:rPr>
              <w:t>2022</w:t>
            </w:r>
          </w:p>
        </w:tc>
        <w:tc>
          <w:tcPr>
            <w:tcW w:w="661" w:type="pct"/>
            <w:tcBorders>
              <w:top w:val="nil"/>
              <w:left w:val="nil"/>
              <w:bottom w:val="single" w:sz="8" w:space="0" w:color="auto"/>
              <w:right w:val="single" w:sz="8" w:space="0" w:color="auto"/>
            </w:tcBorders>
            <w:shd w:val="clear" w:color="auto" w:fill="auto"/>
            <w:noWrap/>
            <w:vAlign w:val="center"/>
            <w:hideMark/>
          </w:tcPr>
          <w:p w14:paraId="7D4D1FDE" w14:textId="77777777" w:rsidR="003119C8" w:rsidRPr="00C6165A" w:rsidRDefault="003119C8" w:rsidP="003119C8">
            <w:pPr>
              <w:jc w:val="center"/>
              <w:rPr>
                <w:b/>
                <w:bCs/>
                <w:sz w:val="20"/>
                <w:szCs w:val="20"/>
                <w:lang w:eastAsia="es-ES"/>
              </w:rPr>
            </w:pPr>
            <w:r w:rsidRPr="00C6165A">
              <w:rPr>
                <w:b/>
                <w:bCs/>
                <w:sz w:val="20"/>
                <w:szCs w:val="20"/>
                <w:lang w:eastAsia="es-ES"/>
              </w:rPr>
              <w:t>Variación (%)</w:t>
            </w:r>
          </w:p>
        </w:tc>
      </w:tr>
      <w:tr w:rsidR="00C6165A" w:rsidRPr="00C6165A" w14:paraId="78D13CAA" w14:textId="77777777" w:rsidTr="00A35A55">
        <w:trPr>
          <w:trHeight w:val="300"/>
        </w:trPr>
        <w:tc>
          <w:tcPr>
            <w:tcW w:w="956" w:type="pct"/>
            <w:tcBorders>
              <w:top w:val="nil"/>
              <w:left w:val="single" w:sz="8" w:space="0" w:color="auto"/>
              <w:bottom w:val="single" w:sz="8" w:space="0" w:color="auto"/>
              <w:right w:val="single" w:sz="8" w:space="0" w:color="auto"/>
            </w:tcBorders>
            <w:shd w:val="clear" w:color="auto" w:fill="auto"/>
            <w:noWrap/>
            <w:vAlign w:val="center"/>
            <w:hideMark/>
          </w:tcPr>
          <w:p w14:paraId="4CB25A4A" w14:textId="77777777" w:rsidR="003119C8" w:rsidRPr="00C6165A" w:rsidRDefault="003119C8" w:rsidP="003119C8">
            <w:pPr>
              <w:jc w:val="left"/>
              <w:rPr>
                <w:sz w:val="20"/>
                <w:szCs w:val="20"/>
                <w:lang w:eastAsia="es-ES"/>
              </w:rPr>
            </w:pPr>
            <w:r w:rsidRPr="00C6165A">
              <w:rPr>
                <w:sz w:val="20"/>
                <w:szCs w:val="20"/>
                <w:lang w:eastAsia="es-ES"/>
              </w:rPr>
              <w:t>Trigo blando</w:t>
            </w:r>
          </w:p>
        </w:tc>
        <w:tc>
          <w:tcPr>
            <w:tcW w:w="612" w:type="pct"/>
            <w:tcBorders>
              <w:top w:val="nil"/>
              <w:left w:val="nil"/>
              <w:bottom w:val="single" w:sz="8" w:space="0" w:color="auto"/>
              <w:right w:val="single" w:sz="8" w:space="0" w:color="auto"/>
            </w:tcBorders>
            <w:shd w:val="clear" w:color="auto" w:fill="auto"/>
            <w:noWrap/>
            <w:vAlign w:val="center"/>
            <w:hideMark/>
          </w:tcPr>
          <w:p w14:paraId="713E978E" w14:textId="77777777" w:rsidR="003119C8" w:rsidRPr="00C6165A" w:rsidRDefault="003119C8" w:rsidP="003119C8">
            <w:pPr>
              <w:jc w:val="right"/>
              <w:rPr>
                <w:sz w:val="20"/>
                <w:szCs w:val="20"/>
                <w:lang w:eastAsia="es-ES"/>
              </w:rPr>
            </w:pPr>
            <w:r w:rsidRPr="00C6165A">
              <w:rPr>
                <w:sz w:val="20"/>
                <w:szCs w:val="20"/>
                <w:lang w:eastAsia="es-ES"/>
              </w:rPr>
              <w:t>906.615</w:t>
            </w:r>
          </w:p>
        </w:tc>
        <w:tc>
          <w:tcPr>
            <w:tcW w:w="698" w:type="pct"/>
            <w:tcBorders>
              <w:top w:val="nil"/>
              <w:left w:val="nil"/>
              <w:bottom w:val="single" w:sz="8" w:space="0" w:color="auto"/>
              <w:right w:val="single" w:sz="8" w:space="0" w:color="auto"/>
            </w:tcBorders>
            <w:shd w:val="clear" w:color="auto" w:fill="auto"/>
            <w:noWrap/>
            <w:vAlign w:val="center"/>
            <w:hideMark/>
          </w:tcPr>
          <w:p w14:paraId="09491827" w14:textId="77777777" w:rsidR="003119C8" w:rsidRPr="00C6165A" w:rsidRDefault="003119C8" w:rsidP="003119C8">
            <w:pPr>
              <w:jc w:val="right"/>
              <w:rPr>
                <w:sz w:val="20"/>
                <w:szCs w:val="20"/>
                <w:lang w:eastAsia="es-ES"/>
              </w:rPr>
            </w:pPr>
            <w:r w:rsidRPr="00C6165A">
              <w:rPr>
                <w:sz w:val="20"/>
                <w:szCs w:val="20"/>
                <w:lang w:eastAsia="es-ES"/>
              </w:rPr>
              <w:t>894.105</w:t>
            </w:r>
          </w:p>
        </w:tc>
        <w:tc>
          <w:tcPr>
            <w:tcW w:w="653" w:type="pct"/>
            <w:tcBorders>
              <w:top w:val="nil"/>
              <w:left w:val="nil"/>
              <w:bottom w:val="single" w:sz="8" w:space="0" w:color="auto"/>
              <w:right w:val="single" w:sz="8" w:space="0" w:color="auto"/>
            </w:tcBorders>
            <w:shd w:val="clear" w:color="auto" w:fill="auto"/>
            <w:noWrap/>
            <w:vAlign w:val="center"/>
            <w:hideMark/>
          </w:tcPr>
          <w:p w14:paraId="5430437E" w14:textId="77777777" w:rsidR="003119C8" w:rsidRPr="00C6165A" w:rsidRDefault="003119C8" w:rsidP="003119C8">
            <w:pPr>
              <w:jc w:val="center"/>
              <w:rPr>
                <w:sz w:val="20"/>
                <w:szCs w:val="20"/>
                <w:lang w:eastAsia="es-ES"/>
              </w:rPr>
            </w:pPr>
            <w:r w:rsidRPr="00C6165A">
              <w:rPr>
                <w:sz w:val="20"/>
                <w:szCs w:val="20"/>
                <w:lang w:eastAsia="es-ES"/>
              </w:rPr>
              <w:t>-1,38%</w:t>
            </w:r>
          </w:p>
        </w:tc>
        <w:tc>
          <w:tcPr>
            <w:tcW w:w="716" w:type="pct"/>
            <w:tcBorders>
              <w:top w:val="nil"/>
              <w:left w:val="nil"/>
              <w:bottom w:val="single" w:sz="8" w:space="0" w:color="auto"/>
              <w:right w:val="single" w:sz="8" w:space="0" w:color="auto"/>
            </w:tcBorders>
            <w:shd w:val="clear" w:color="auto" w:fill="auto"/>
            <w:noWrap/>
            <w:vAlign w:val="center"/>
            <w:hideMark/>
          </w:tcPr>
          <w:p w14:paraId="5A9A22DF" w14:textId="77777777" w:rsidR="003119C8" w:rsidRPr="00C6165A" w:rsidRDefault="003119C8" w:rsidP="003119C8">
            <w:pPr>
              <w:jc w:val="right"/>
              <w:rPr>
                <w:sz w:val="20"/>
                <w:szCs w:val="20"/>
                <w:lang w:eastAsia="es-ES"/>
              </w:rPr>
            </w:pPr>
            <w:r w:rsidRPr="00C6165A">
              <w:rPr>
                <w:sz w:val="20"/>
                <w:szCs w:val="20"/>
                <w:lang w:eastAsia="es-ES"/>
              </w:rPr>
              <w:t>3.880.505</w:t>
            </w:r>
          </w:p>
        </w:tc>
        <w:tc>
          <w:tcPr>
            <w:tcW w:w="705" w:type="pct"/>
            <w:tcBorders>
              <w:top w:val="nil"/>
              <w:left w:val="nil"/>
              <w:bottom w:val="single" w:sz="8" w:space="0" w:color="auto"/>
              <w:right w:val="single" w:sz="8" w:space="0" w:color="auto"/>
            </w:tcBorders>
            <w:shd w:val="clear" w:color="auto" w:fill="auto"/>
            <w:noWrap/>
            <w:vAlign w:val="center"/>
            <w:hideMark/>
          </w:tcPr>
          <w:p w14:paraId="6638A6A4" w14:textId="77777777" w:rsidR="003119C8" w:rsidRPr="00C6165A" w:rsidRDefault="003119C8" w:rsidP="003119C8">
            <w:pPr>
              <w:jc w:val="right"/>
              <w:rPr>
                <w:sz w:val="20"/>
                <w:szCs w:val="20"/>
                <w:lang w:eastAsia="es-ES"/>
              </w:rPr>
            </w:pPr>
            <w:r w:rsidRPr="00C6165A">
              <w:rPr>
                <w:sz w:val="20"/>
                <w:szCs w:val="20"/>
                <w:lang w:eastAsia="es-ES"/>
              </w:rPr>
              <w:t>2.631.149</w:t>
            </w:r>
          </w:p>
        </w:tc>
        <w:tc>
          <w:tcPr>
            <w:tcW w:w="661" w:type="pct"/>
            <w:tcBorders>
              <w:top w:val="nil"/>
              <w:left w:val="nil"/>
              <w:bottom w:val="single" w:sz="8" w:space="0" w:color="auto"/>
              <w:right w:val="single" w:sz="8" w:space="0" w:color="auto"/>
            </w:tcBorders>
            <w:shd w:val="clear" w:color="auto" w:fill="auto"/>
            <w:noWrap/>
            <w:vAlign w:val="center"/>
            <w:hideMark/>
          </w:tcPr>
          <w:p w14:paraId="265DD56B" w14:textId="77777777" w:rsidR="003119C8" w:rsidRPr="00C6165A" w:rsidRDefault="003119C8" w:rsidP="003119C8">
            <w:pPr>
              <w:jc w:val="center"/>
              <w:rPr>
                <w:sz w:val="20"/>
                <w:szCs w:val="20"/>
                <w:lang w:eastAsia="es-ES"/>
              </w:rPr>
            </w:pPr>
            <w:r w:rsidRPr="00C6165A">
              <w:rPr>
                <w:sz w:val="20"/>
                <w:szCs w:val="20"/>
                <w:lang w:eastAsia="es-ES"/>
              </w:rPr>
              <w:t>-32,20%</w:t>
            </w:r>
          </w:p>
        </w:tc>
      </w:tr>
      <w:tr w:rsidR="00C6165A" w:rsidRPr="00C6165A" w14:paraId="1CF188E5" w14:textId="77777777" w:rsidTr="00A35A55">
        <w:trPr>
          <w:trHeight w:val="300"/>
        </w:trPr>
        <w:tc>
          <w:tcPr>
            <w:tcW w:w="956" w:type="pct"/>
            <w:tcBorders>
              <w:top w:val="nil"/>
              <w:left w:val="single" w:sz="8" w:space="0" w:color="auto"/>
              <w:bottom w:val="single" w:sz="8" w:space="0" w:color="auto"/>
              <w:right w:val="single" w:sz="8" w:space="0" w:color="auto"/>
            </w:tcBorders>
            <w:shd w:val="clear" w:color="auto" w:fill="auto"/>
            <w:noWrap/>
            <w:vAlign w:val="center"/>
            <w:hideMark/>
          </w:tcPr>
          <w:p w14:paraId="0E113AF3" w14:textId="77777777" w:rsidR="003119C8" w:rsidRPr="00C6165A" w:rsidRDefault="003119C8" w:rsidP="003119C8">
            <w:pPr>
              <w:jc w:val="left"/>
              <w:rPr>
                <w:sz w:val="20"/>
                <w:szCs w:val="20"/>
                <w:lang w:eastAsia="es-ES"/>
              </w:rPr>
            </w:pPr>
            <w:r w:rsidRPr="00C6165A">
              <w:rPr>
                <w:sz w:val="20"/>
                <w:szCs w:val="20"/>
                <w:lang w:eastAsia="es-ES"/>
              </w:rPr>
              <w:t>Trigo duro</w:t>
            </w:r>
          </w:p>
        </w:tc>
        <w:tc>
          <w:tcPr>
            <w:tcW w:w="612" w:type="pct"/>
            <w:tcBorders>
              <w:top w:val="nil"/>
              <w:left w:val="nil"/>
              <w:bottom w:val="single" w:sz="8" w:space="0" w:color="auto"/>
              <w:right w:val="single" w:sz="8" w:space="0" w:color="auto"/>
            </w:tcBorders>
            <w:shd w:val="clear" w:color="auto" w:fill="auto"/>
            <w:noWrap/>
            <w:vAlign w:val="center"/>
            <w:hideMark/>
          </w:tcPr>
          <w:p w14:paraId="460F330D" w14:textId="77777777" w:rsidR="003119C8" w:rsidRPr="00C6165A" w:rsidRDefault="003119C8" w:rsidP="003119C8">
            <w:pPr>
              <w:jc w:val="right"/>
              <w:rPr>
                <w:sz w:val="20"/>
                <w:szCs w:val="20"/>
                <w:lang w:eastAsia="es-ES"/>
              </w:rPr>
            </w:pPr>
            <w:r w:rsidRPr="00C6165A">
              <w:rPr>
                <w:sz w:val="20"/>
                <w:szCs w:val="20"/>
                <w:lang w:eastAsia="es-ES"/>
              </w:rPr>
              <w:t>1.451</w:t>
            </w:r>
          </w:p>
        </w:tc>
        <w:tc>
          <w:tcPr>
            <w:tcW w:w="698" w:type="pct"/>
            <w:tcBorders>
              <w:top w:val="nil"/>
              <w:left w:val="nil"/>
              <w:bottom w:val="single" w:sz="8" w:space="0" w:color="auto"/>
              <w:right w:val="single" w:sz="8" w:space="0" w:color="auto"/>
            </w:tcBorders>
            <w:shd w:val="clear" w:color="auto" w:fill="auto"/>
            <w:noWrap/>
            <w:vAlign w:val="center"/>
            <w:hideMark/>
          </w:tcPr>
          <w:p w14:paraId="50264B18" w14:textId="77777777" w:rsidR="003119C8" w:rsidRPr="00C6165A" w:rsidRDefault="003119C8" w:rsidP="003119C8">
            <w:pPr>
              <w:jc w:val="right"/>
              <w:rPr>
                <w:sz w:val="20"/>
                <w:szCs w:val="20"/>
                <w:lang w:eastAsia="es-ES"/>
              </w:rPr>
            </w:pPr>
            <w:r w:rsidRPr="00C6165A">
              <w:rPr>
                <w:sz w:val="20"/>
                <w:szCs w:val="20"/>
                <w:lang w:eastAsia="es-ES"/>
              </w:rPr>
              <w:t>1.466</w:t>
            </w:r>
          </w:p>
        </w:tc>
        <w:tc>
          <w:tcPr>
            <w:tcW w:w="653" w:type="pct"/>
            <w:tcBorders>
              <w:top w:val="nil"/>
              <w:left w:val="nil"/>
              <w:bottom w:val="single" w:sz="8" w:space="0" w:color="auto"/>
              <w:right w:val="single" w:sz="8" w:space="0" w:color="auto"/>
            </w:tcBorders>
            <w:shd w:val="clear" w:color="auto" w:fill="auto"/>
            <w:noWrap/>
            <w:vAlign w:val="center"/>
            <w:hideMark/>
          </w:tcPr>
          <w:p w14:paraId="681BBB99" w14:textId="77777777" w:rsidR="003119C8" w:rsidRPr="00C6165A" w:rsidRDefault="003119C8" w:rsidP="003119C8">
            <w:pPr>
              <w:jc w:val="center"/>
              <w:rPr>
                <w:sz w:val="20"/>
                <w:szCs w:val="20"/>
                <w:lang w:eastAsia="es-ES"/>
              </w:rPr>
            </w:pPr>
            <w:r w:rsidRPr="00C6165A">
              <w:rPr>
                <w:sz w:val="20"/>
                <w:szCs w:val="20"/>
                <w:lang w:eastAsia="es-ES"/>
              </w:rPr>
              <w:t>1,03%</w:t>
            </w:r>
          </w:p>
        </w:tc>
        <w:tc>
          <w:tcPr>
            <w:tcW w:w="716" w:type="pct"/>
            <w:tcBorders>
              <w:top w:val="nil"/>
              <w:left w:val="nil"/>
              <w:bottom w:val="single" w:sz="8" w:space="0" w:color="auto"/>
              <w:right w:val="single" w:sz="8" w:space="0" w:color="auto"/>
            </w:tcBorders>
            <w:shd w:val="clear" w:color="auto" w:fill="auto"/>
            <w:noWrap/>
            <w:vAlign w:val="center"/>
            <w:hideMark/>
          </w:tcPr>
          <w:p w14:paraId="0AF8BB4C" w14:textId="77777777" w:rsidR="003119C8" w:rsidRPr="00C6165A" w:rsidRDefault="003119C8" w:rsidP="003119C8">
            <w:pPr>
              <w:jc w:val="right"/>
              <w:rPr>
                <w:sz w:val="20"/>
                <w:szCs w:val="20"/>
                <w:lang w:eastAsia="es-ES"/>
              </w:rPr>
            </w:pPr>
            <w:r w:rsidRPr="00C6165A">
              <w:rPr>
                <w:sz w:val="20"/>
                <w:szCs w:val="20"/>
                <w:lang w:eastAsia="es-ES"/>
              </w:rPr>
              <w:t>6.149</w:t>
            </w:r>
          </w:p>
        </w:tc>
        <w:tc>
          <w:tcPr>
            <w:tcW w:w="705" w:type="pct"/>
            <w:tcBorders>
              <w:top w:val="nil"/>
              <w:left w:val="nil"/>
              <w:bottom w:val="single" w:sz="8" w:space="0" w:color="auto"/>
              <w:right w:val="single" w:sz="8" w:space="0" w:color="auto"/>
            </w:tcBorders>
            <w:shd w:val="clear" w:color="auto" w:fill="auto"/>
            <w:noWrap/>
            <w:vAlign w:val="center"/>
            <w:hideMark/>
          </w:tcPr>
          <w:p w14:paraId="0335F681" w14:textId="77777777" w:rsidR="003119C8" w:rsidRPr="00C6165A" w:rsidRDefault="003119C8" w:rsidP="003119C8">
            <w:pPr>
              <w:jc w:val="right"/>
              <w:rPr>
                <w:sz w:val="20"/>
                <w:szCs w:val="20"/>
                <w:lang w:eastAsia="es-ES"/>
              </w:rPr>
            </w:pPr>
            <w:r w:rsidRPr="00C6165A">
              <w:rPr>
                <w:sz w:val="20"/>
                <w:szCs w:val="20"/>
                <w:lang w:eastAsia="es-ES"/>
              </w:rPr>
              <w:t>5.177</w:t>
            </w:r>
          </w:p>
        </w:tc>
        <w:tc>
          <w:tcPr>
            <w:tcW w:w="661" w:type="pct"/>
            <w:tcBorders>
              <w:top w:val="nil"/>
              <w:left w:val="nil"/>
              <w:bottom w:val="single" w:sz="8" w:space="0" w:color="auto"/>
              <w:right w:val="single" w:sz="8" w:space="0" w:color="auto"/>
            </w:tcBorders>
            <w:shd w:val="clear" w:color="auto" w:fill="auto"/>
            <w:noWrap/>
            <w:vAlign w:val="center"/>
            <w:hideMark/>
          </w:tcPr>
          <w:p w14:paraId="483E6690" w14:textId="77777777" w:rsidR="003119C8" w:rsidRPr="00C6165A" w:rsidRDefault="003119C8" w:rsidP="003119C8">
            <w:pPr>
              <w:jc w:val="center"/>
              <w:rPr>
                <w:sz w:val="20"/>
                <w:szCs w:val="20"/>
                <w:lang w:eastAsia="es-ES"/>
              </w:rPr>
            </w:pPr>
            <w:r w:rsidRPr="00C6165A">
              <w:rPr>
                <w:sz w:val="20"/>
                <w:szCs w:val="20"/>
                <w:lang w:eastAsia="es-ES"/>
              </w:rPr>
              <w:t>-15,81%</w:t>
            </w:r>
          </w:p>
        </w:tc>
      </w:tr>
      <w:tr w:rsidR="00C6165A" w:rsidRPr="00C6165A" w14:paraId="0E241729" w14:textId="77777777" w:rsidTr="00A35A55">
        <w:trPr>
          <w:trHeight w:val="300"/>
        </w:trPr>
        <w:tc>
          <w:tcPr>
            <w:tcW w:w="956" w:type="pct"/>
            <w:tcBorders>
              <w:top w:val="nil"/>
              <w:left w:val="single" w:sz="8" w:space="0" w:color="auto"/>
              <w:bottom w:val="single" w:sz="8" w:space="0" w:color="auto"/>
              <w:right w:val="single" w:sz="8" w:space="0" w:color="auto"/>
            </w:tcBorders>
            <w:shd w:val="clear" w:color="auto" w:fill="auto"/>
            <w:noWrap/>
            <w:vAlign w:val="center"/>
            <w:hideMark/>
          </w:tcPr>
          <w:p w14:paraId="791D76DB" w14:textId="77777777" w:rsidR="003119C8" w:rsidRPr="00C6165A" w:rsidRDefault="003119C8" w:rsidP="003119C8">
            <w:pPr>
              <w:jc w:val="left"/>
              <w:rPr>
                <w:b/>
                <w:bCs/>
                <w:i/>
                <w:iCs/>
                <w:sz w:val="20"/>
                <w:szCs w:val="20"/>
                <w:lang w:eastAsia="es-ES"/>
              </w:rPr>
            </w:pPr>
            <w:r w:rsidRPr="00C6165A">
              <w:rPr>
                <w:b/>
                <w:bCs/>
                <w:i/>
                <w:iCs/>
                <w:sz w:val="20"/>
                <w:szCs w:val="20"/>
                <w:lang w:eastAsia="es-ES"/>
              </w:rPr>
              <w:t>Trigo total</w:t>
            </w:r>
          </w:p>
        </w:tc>
        <w:tc>
          <w:tcPr>
            <w:tcW w:w="612" w:type="pct"/>
            <w:tcBorders>
              <w:top w:val="nil"/>
              <w:left w:val="nil"/>
              <w:bottom w:val="single" w:sz="8" w:space="0" w:color="auto"/>
              <w:right w:val="single" w:sz="8" w:space="0" w:color="auto"/>
            </w:tcBorders>
            <w:shd w:val="clear" w:color="auto" w:fill="auto"/>
            <w:noWrap/>
            <w:vAlign w:val="center"/>
            <w:hideMark/>
          </w:tcPr>
          <w:p w14:paraId="7A659C34" w14:textId="77777777" w:rsidR="003119C8" w:rsidRPr="00C6165A" w:rsidRDefault="003119C8" w:rsidP="003119C8">
            <w:pPr>
              <w:jc w:val="right"/>
              <w:rPr>
                <w:b/>
                <w:bCs/>
                <w:i/>
                <w:iCs/>
                <w:sz w:val="20"/>
                <w:szCs w:val="20"/>
                <w:lang w:eastAsia="es-ES"/>
              </w:rPr>
            </w:pPr>
            <w:r w:rsidRPr="00C6165A">
              <w:rPr>
                <w:b/>
                <w:bCs/>
                <w:i/>
                <w:iCs/>
                <w:sz w:val="20"/>
                <w:szCs w:val="20"/>
                <w:lang w:eastAsia="es-ES"/>
              </w:rPr>
              <w:t>908.066</w:t>
            </w:r>
          </w:p>
        </w:tc>
        <w:tc>
          <w:tcPr>
            <w:tcW w:w="698" w:type="pct"/>
            <w:tcBorders>
              <w:top w:val="nil"/>
              <w:left w:val="nil"/>
              <w:bottom w:val="single" w:sz="8" w:space="0" w:color="auto"/>
              <w:right w:val="single" w:sz="8" w:space="0" w:color="auto"/>
            </w:tcBorders>
            <w:shd w:val="clear" w:color="auto" w:fill="auto"/>
            <w:noWrap/>
            <w:vAlign w:val="center"/>
            <w:hideMark/>
          </w:tcPr>
          <w:p w14:paraId="27265F6B" w14:textId="77777777" w:rsidR="003119C8" w:rsidRPr="00C6165A" w:rsidRDefault="003119C8" w:rsidP="003119C8">
            <w:pPr>
              <w:jc w:val="right"/>
              <w:rPr>
                <w:b/>
                <w:bCs/>
                <w:i/>
                <w:iCs/>
                <w:sz w:val="20"/>
                <w:szCs w:val="20"/>
                <w:lang w:eastAsia="es-ES"/>
              </w:rPr>
            </w:pPr>
            <w:r w:rsidRPr="00C6165A">
              <w:rPr>
                <w:b/>
                <w:bCs/>
                <w:i/>
                <w:iCs/>
                <w:sz w:val="20"/>
                <w:szCs w:val="20"/>
                <w:lang w:eastAsia="es-ES"/>
              </w:rPr>
              <w:t>895.571</w:t>
            </w:r>
          </w:p>
        </w:tc>
        <w:tc>
          <w:tcPr>
            <w:tcW w:w="653" w:type="pct"/>
            <w:tcBorders>
              <w:top w:val="nil"/>
              <w:left w:val="nil"/>
              <w:bottom w:val="single" w:sz="8" w:space="0" w:color="auto"/>
              <w:right w:val="single" w:sz="8" w:space="0" w:color="auto"/>
            </w:tcBorders>
            <w:shd w:val="clear" w:color="auto" w:fill="auto"/>
            <w:noWrap/>
            <w:vAlign w:val="center"/>
            <w:hideMark/>
          </w:tcPr>
          <w:p w14:paraId="06274E56" w14:textId="77777777" w:rsidR="003119C8" w:rsidRPr="00C6165A" w:rsidRDefault="003119C8" w:rsidP="003119C8">
            <w:pPr>
              <w:jc w:val="center"/>
              <w:rPr>
                <w:b/>
                <w:bCs/>
                <w:i/>
                <w:iCs/>
                <w:sz w:val="20"/>
                <w:szCs w:val="20"/>
                <w:lang w:eastAsia="es-ES"/>
              </w:rPr>
            </w:pPr>
            <w:r w:rsidRPr="00C6165A">
              <w:rPr>
                <w:b/>
                <w:bCs/>
                <w:i/>
                <w:iCs/>
                <w:sz w:val="20"/>
                <w:szCs w:val="20"/>
                <w:lang w:eastAsia="es-ES"/>
              </w:rPr>
              <w:t>-1,38%</w:t>
            </w:r>
          </w:p>
        </w:tc>
        <w:tc>
          <w:tcPr>
            <w:tcW w:w="716" w:type="pct"/>
            <w:tcBorders>
              <w:top w:val="nil"/>
              <w:left w:val="nil"/>
              <w:bottom w:val="single" w:sz="8" w:space="0" w:color="auto"/>
              <w:right w:val="single" w:sz="8" w:space="0" w:color="auto"/>
            </w:tcBorders>
            <w:shd w:val="clear" w:color="auto" w:fill="auto"/>
            <w:noWrap/>
            <w:vAlign w:val="center"/>
            <w:hideMark/>
          </w:tcPr>
          <w:p w14:paraId="2CF4F124" w14:textId="77777777" w:rsidR="003119C8" w:rsidRPr="00C6165A" w:rsidRDefault="003119C8" w:rsidP="003119C8">
            <w:pPr>
              <w:jc w:val="right"/>
              <w:rPr>
                <w:b/>
                <w:bCs/>
                <w:i/>
                <w:iCs/>
                <w:sz w:val="20"/>
                <w:szCs w:val="20"/>
                <w:lang w:eastAsia="es-ES"/>
              </w:rPr>
            </w:pPr>
            <w:r w:rsidRPr="00C6165A">
              <w:rPr>
                <w:b/>
                <w:bCs/>
                <w:i/>
                <w:iCs/>
                <w:sz w:val="20"/>
                <w:szCs w:val="20"/>
                <w:lang w:eastAsia="es-ES"/>
              </w:rPr>
              <w:t>3.886.654</w:t>
            </w:r>
          </w:p>
        </w:tc>
        <w:tc>
          <w:tcPr>
            <w:tcW w:w="705" w:type="pct"/>
            <w:tcBorders>
              <w:top w:val="nil"/>
              <w:left w:val="nil"/>
              <w:bottom w:val="single" w:sz="8" w:space="0" w:color="auto"/>
              <w:right w:val="single" w:sz="8" w:space="0" w:color="auto"/>
            </w:tcBorders>
            <w:shd w:val="clear" w:color="auto" w:fill="auto"/>
            <w:noWrap/>
            <w:vAlign w:val="center"/>
            <w:hideMark/>
          </w:tcPr>
          <w:p w14:paraId="4BD3B8E3" w14:textId="77777777" w:rsidR="003119C8" w:rsidRPr="00C6165A" w:rsidRDefault="003119C8" w:rsidP="003119C8">
            <w:pPr>
              <w:jc w:val="right"/>
              <w:rPr>
                <w:b/>
                <w:bCs/>
                <w:i/>
                <w:iCs/>
                <w:sz w:val="20"/>
                <w:szCs w:val="20"/>
                <w:lang w:eastAsia="es-ES"/>
              </w:rPr>
            </w:pPr>
            <w:r w:rsidRPr="00C6165A">
              <w:rPr>
                <w:b/>
                <w:bCs/>
                <w:i/>
                <w:iCs/>
                <w:sz w:val="20"/>
                <w:szCs w:val="20"/>
                <w:lang w:eastAsia="es-ES"/>
              </w:rPr>
              <w:t>2.636.326</w:t>
            </w:r>
          </w:p>
        </w:tc>
        <w:tc>
          <w:tcPr>
            <w:tcW w:w="661" w:type="pct"/>
            <w:tcBorders>
              <w:top w:val="nil"/>
              <w:left w:val="nil"/>
              <w:bottom w:val="single" w:sz="8" w:space="0" w:color="auto"/>
              <w:right w:val="single" w:sz="8" w:space="0" w:color="auto"/>
            </w:tcBorders>
            <w:shd w:val="clear" w:color="auto" w:fill="auto"/>
            <w:noWrap/>
            <w:vAlign w:val="center"/>
            <w:hideMark/>
          </w:tcPr>
          <w:p w14:paraId="1468A8E5" w14:textId="77777777" w:rsidR="003119C8" w:rsidRPr="00C6165A" w:rsidRDefault="003119C8" w:rsidP="003119C8">
            <w:pPr>
              <w:jc w:val="center"/>
              <w:rPr>
                <w:b/>
                <w:bCs/>
                <w:i/>
                <w:iCs/>
                <w:sz w:val="20"/>
                <w:szCs w:val="20"/>
                <w:lang w:eastAsia="es-ES"/>
              </w:rPr>
            </w:pPr>
            <w:r w:rsidRPr="00C6165A">
              <w:rPr>
                <w:b/>
                <w:bCs/>
                <w:i/>
                <w:iCs/>
                <w:sz w:val="20"/>
                <w:szCs w:val="20"/>
                <w:lang w:eastAsia="es-ES"/>
              </w:rPr>
              <w:t>-32,17%</w:t>
            </w:r>
          </w:p>
        </w:tc>
      </w:tr>
      <w:tr w:rsidR="00C6165A" w:rsidRPr="00C6165A" w14:paraId="2CA7AFAA" w14:textId="77777777" w:rsidTr="00A35A55">
        <w:trPr>
          <w:trHeight w:val="300"/>
        </w:trPr>
        <w:tc>
          <w:tcPr>
            <w:tcW w:w="956" w:type="pct"/>
            <w:tcBorders>
              <w:top w:val="nil"/>
              <w:left w:val="single" w:sz="8" w:space="0" w:color="auto"/>
              <w:bottom w:val="single" w:sz="8" w:space="0" w:color="auto"/>
              <w:right w:val="single" w:sz="8" w:space="0" w:color="auto"/>
            </w:tcBorders>
            <w:shd w:val="clear" w:color="auto" w:fill="auto"/>
            <w:noWrap/>
            <w:vAlign w:val="center"/>
            <w:hideMark/>
          </w:tcPr>
          <w:p w14:paraId="19993BB1" w14:textId="77777777" w:rsidR="003119C8" w:rsidRPr="00C6165A" w:rsidRDefault="003119C8" w:rsidP="003119C8">
            <w:pPr>
              <w:jc w:val="left"/>
              <w:rPr>
                <w:sz w:val="20"/>
                <w:szCs w:val="20"/>
                <w:lang w:eastAsia="es-ES"/>
              </w:rPr>
            </w:pPr>
            <w:r w:rsidRPr="00C6165A">
              <w:rPr>
                <w:sz w:val="20"/>
                <w:szCs w:val="20"/>
                <w:lang w:eastAsia="es-ES"/>
              </w:rPr>
              <w:t>Cebada</w:t>
            </w:r>
          </w:p>
        </w:tc>
        <w:tc>
          <w:tcPr>
            <w:tcW w:w="612" w:type="pct"/>
            <w:tcBorders>
              <w:top w:val="nil"/>
              <w:left w:val="nil"/>
              <w:bottom w:val="single" w:sz="8" w:space="0" w:color="auto"/>
              <w:right w:val="single" w:sz="8" w:space="0" w:color="auto"/>
            </w:tcBorders>
            <w:shd w:val="clear" w:color="auto" w:fill="auto"/>
            <w:noWrap/>
            <w:vAlign w:val="center"/>
            <w:hideMark/>
          </w:tcPr>
          <w:p w14:paraId="2693A6D5" w14:textId="77777777" w:rsidR="003119C8" w:rsidRPr="00C6165A" w:rsidRDefault="003119C8" w:rsidP="003119C8">
            <w:pPr>
              <w:jc w:val="right"/>
              <w:rPr>
                <w:sz w:val="20"/>
                <w:szCs w:val="20"/>
                <w:lang w:eastAsia="es-ES"/>
              </w:rPr>
            </w:pPr>
            <w:r w:rsidRPr="00C6165A">
              <w:rPr>
                <w:sz w:val="20"/>
                <w:szCs w:val="20"/>
                <w:lang w:eastAsia="es-ES"/>
              </w:rPr>
              <w:t>819.161</w:t>
            </w:r>
          </w:p>
        </w:tc>
        <w:tc>
          <w:tcPr>
            <w:tcW w:w="698" w:type="pct"/>
            <w:tcBorders>
              <w:top w:val="nil"/>
              <w:left w:val="nil"/>
              <w:bottom w:val="single" w:sz="8" w:space="0" w:color="auto"/>
              <w:right w:val="single" w:sz="8" w:space="0" w:color="auto"/>
            </w:tcBorders>
            <w:shd w:val="clear" w:color="auto" w:fill="auto"/>
            <w:noWrap/>
            <w:vAlign w:val="center"/>
            <w:hideMark/>
          </w:tcPr>
          <w:p w14:paraId="0973EF55" w14:textId="77777777" w:rsidR="003119C8" w:rsidRPr="00C6165A" w:rsidRDefault="003119C8" w:rsidP="003119C8">
            <w:pPr>
              <w:jc w:val="right"/>
              <w:rPr>
                <w:sz w:val="20"/>
                <w:szCs w:val="20"/>
                <w:lang w:eastAsia="es-ES"/>
              </w:rPr>
            </w:pPr>
            <w:r w:rsidRPr="00C6165A">
              <w:rPr>
                <w:sz w:val="20"/>
                <w:szCs w:val="20"/>
                <w:lang w:eastAsia="es-ES"/>
              </w:rPr>
              <w:t>746.799</w:t>
            </w:r>
          </w:p>
        </w:tc>
        <w:tc>
          <w:tcPr>
            <w:tcW w:w="653" w:type="pct"/>
            <w:tcBorders>
              <w:top w:val="nil"/>
              <w:left w:val="nil"/>
              <w:bottom w:val="single" w:sz="8" w:space="0" w:color="auto"/>
              <w:right w:val="single" w:sz="8" w:space="0" w:color="auto"/>
            </w:tcBorders>
            <w:shd w:val="clear" w:color="auto" w:fill="auto"/>
            <w:noWrap/>
            <w:vAlign w:val="center"/>
            <w:hideMark/>
          </w:tcPr>
          <w:p w14:paraId="3FB13AF7" w14:textId="77777777" w:rsidR="003119C8" w:rsidRPr="00C6165A" w:rsidRDefault="003119C8" w:rsidP="003119C8">
            <w:pPr>
              <w:jc w:val="center"/>
              <w:rPr>
                <w:sz w:val="20"/>
                <w:szCs w:val="20"/>
                <w:lang w:eastAsia="es-ES"/>
              </w:rPr>
            </w:pPr>
            <w:r w:rsidRPr="00C6165A">
              <w:rPr>
                <w:sz w:val="20"/>
                <w:szCs w:val="20"/>
                <w:lang w:eastAsia="es-ES"/>
              </w:rPr>
              <w:t>-8,83%</w:t>
            </w:r>
          </w:p>
        </w:tc>
        <w:tc>
          <w:tcPr>
            <w:tcW w:w="716" w:type="pct"/>
            <w:tcBorders>
              <w:top w:val="nil"/>
              <w:left w:val="nil"/>
              <w:bottom w:val="single" w:sz="8" w:space="0" w:color="auto"/>
              <w:right w:val="single" w:sz="8" w:space="0" w:color="auto"/>
            </w:tcBorders>
            <w:shd w:val="clear" w:color="auto" w:fill="auto"/>
            <w:noWrap/>
            <w:vAlign w:val="center"/>
            <w:hideMark/>
          </w:tcPr>
          <w:p w14:paraId="0D2FDA38" w14:textId="77777777" w:rsidR="003119C8" w:rsidRPr="00C6165A" w:rsidRDefault="003119C8" w:rsidP="003119C8">
            <w:pPr>
              <w:jc w:val="right"/>
              <w:rPr>
                <w:sz w:val="20"/>
                <w:szCs w:val="20"/>
                <w:lang w:eastAsia="es-ES"/>
              </w:rPr>
            </w:pPr>
            <w:r w:rsidRPr="00C6165A">
              <w:rPr>
                <w:sz w:val="20"/>
                <w:szCs w:val="20"/>
                <w:lang w:eastAsia="es-ES"/>
              </w:rPr>
              <w:t>3.139.275</w:t>
            </w:r>
          </w:p>
        </w:tc>
        <w:tc>
          <w:tcPr>
            <w:tcW w:w="705" w:type="pct"/>
            <w:tcBorders>
              <w:top w:val="nil"/>
              <w:left w:val="nil"/>
              <w:bottom w:val="single" w:sz="8" w:space="0" w:color="auto"/>
              <w:right w:val="single" w:sz="8" w:space="0" w:color="auto"/>
            </w:tcBorders>
            <w:shd w:val="clear" w:color="auto" w:fill="auto"/>
            <w:noWrap/>
            <w:vAlign w:val="center"/>
            <w:hideMark/>
          </w:tcPr>
          <w:p w14:paraId="7FD34A91" w14:textId="77777777" w:rsidR="003119C8" w:rsidRPr="00C6165A" w:rsidRDefault="003119C8" w:rsidP="003119C8">
            <w:pPr>
              <w:jc w:val="right"/>
              <w:rPr>
                <w:sz w:val="20"/>
                <w:szCs w:val="20"/>
                <w:lang w:eastAsia="es-ES"/>
              </w:rPr>
            </w:pPr>
            <w:r w:rsidRPr="00C6165A">
              <w:rPr>
                <w:sz w:val="20"/>
                <w:szCs w:val="20"/>
                <w:lang w:eastAsia="es-ES"/>
              </w:rPr>
              <w:t>2.172.972</w:t>
            </w:r>
          </w:p>
        </w:tc>
        <w:tc>
          <w:tcPr>
            <w:tcW w:w="661" w:type="pct"/>
            <w:tcBorders>
              <w:top w:val="nil"/>
              <w:left w:val="nil"/>
              <w:bottom w:val="single" w:sz="8" w:space="0" w:color="auto"/>
              <w:right w:val="single" w:sz="8" w:space="0" w:color="auto"/>
            </w:tcBorders>
            <w:shd w:val="clear" w:color="auto" w:fill="auto"/>
            <w:noWrap/>
            <w:vAlign w:val="center"/>
            <w:hideMark/>
          </w:tcPr>
          <w:p w14:paraId="67E08DAA" w14:textId="77777777" w:rsidR="003119C8" w:rsidRPr="00C6165A" w:rsidRDefault="003119C8" w:rsidP="003119C8">
            <w:pPr>
              <w:jc w:val="center"/>
              <w:rPr>
                <w:sz w:val="20"/>
                <w:szCs w:val="20"/>
                <w:lang w:eastAsia="es-ES"/>
              </w:rPr>
            </w:pPr>
            <w:r w:rsidRPr="00C6165A">
              <w:rPr>
                <w:sz w:val="20"/>
                <w:szCs w:val="20"/>
                <w:lang w:eastAsia="es-ES"/>
              </w:rPr>
              <w:t>-30,78%</w:t>
            </w:r>
          </w:p>
        </w:tc>
      </w:tr>
      <w:tr w:rsidR="00C6165A" w:rsidRPr="00C6165A" w14:paraId="54106208" w14:textId="77777777" w:rsidTr="00A35A55">
        <w:trPr>
          <w:trHeight w:val="300"/>
        </w:trPr>
        <w:tc>
          <w:tcPr>
            <w:tcW w:w="956" w:type="pct"/>
            <w:tcBorders>
              <w:top w:val="nil"/>
              <w:left w:val="single" w:sz="8" w:space="0" w:color="auto"/>
              <w:bottom w:val="single" w:sz="8" w:space="0" w:color="auto"/>
              <w:right w:val="single" w:sz="8" w:space="0" w:color="auto"/>
            </w:tcBorders>
            <w:shd w:val="clear" w:color="auto" w:fill="auto"/>
            <w:noWrap/>
            <w:vAlign w:val="center"/>
            <w:hideMark/>
          </w:tcPr>
          <w:p w14:paraId="380ADEBB" w14:textId="77777777" w:rsidR="003119C8" w:rsidRPr="00C6165A" w:rsidRDefault="003119C8" w:rsidP="003119C8">
            <w:pPr>
              <w:jc w:val="left"/>
              <w:rPr>
                <w:sz w:val="20"/>
                <w:szCs w:val="20"/>
                <w:lang w:eastAsia="es-ES"/>
              </w:rPr>
            </w:pPr>
            <w:r w:rsidRPr="00C6165A">
              <w:rPr>
                <w:sz w:val="20"/>
                <w:szCs w:val="20"/>
                <w:lang w:eastAsia="es-ES"/>
              </w:rPr>
              <w:t>Avena</w:t>
            </w:r>
          </w:p>
        </w:tc>
        <w:tc>
          <w:tcPr>
            <w:tcW w:w="612" w:type="pct"/>
            <w:tcBorders>
              <w:top w:val="nil"/>
              <w:left w:val="nil"/>
              <w:bottom w:val="single" w:sz="8" w:space="0" w:color="auto"/>
              <w:right w:val="single" w:sz="8" w:space="0" w:color="auto"/>
            </w:tcBorders>
            <w:shd w:val="clear" w:color="auto" w:fill="auto"/>
            <w:noWrap/>
            <w:vAlign w:val="center"/>
            <w:hideMark/>
          </w:tcPr>
          <w:p w14:paraId="140F7AD6" w14:textId="77777777" w:rsidR="003119C8" w:rsidRPr="00C6165A" w:rsidRDefault="003119C8" w:rsidP="003119C8">
            <w:pPr>
              <w:jc w:val="right"/>
              <w:rPr>
                <w:sz w:val="20"/>
                <w:szCs w:val="20"/>
                <w:lang w:eastAsia="es-ES"/>
              </w:rPr>
            </w:pPr>
            <w:r w:rsidRPr="00C6165A">
              <w:rPr>
                <w:sz w:val="20"/>
                <w:szCs w:val="20"/>
                <w:lang w:eastAsia="es-ES"/>
              </w:rPr>
              <w:t>75.086</w:t>
            </w:r>
          </w:p>
        </w:tc>
        <w:tc>
          <w:tcPr>
            <w:tcW w:w="698" w:type="pct"/>
            <w:tcBorders>
              <w:top w:val="nil"/>
              <w:left w:val="nil"/>
              <w:bottom w:val="single" w:sz="8" w:space="0" w:color="auto"/>
              <w:right w:val="single" w:sz="8" w:space="0" w:color="auto"/>
            </w:tcBorders>
            <w:shd w:val="clear" w:color="auto" w:fill="auto"/>
            <w:noWrap/>
            <w:vAlign w:val="center"/>
            <w:hideMark/>
          </w:tcPr>
          <w:p w14:paraId="30E8217C" w14:textId="77777777" w:rsidR="003119C8" w:rsidRPr="00C6165A" w:rsidRDefault="003119C8" w:rsidP="003119C8">
            <w:pPr>
              <w:jc w:val="right"/>
              <w:rPr>
                <w:sz w:val="20"/>
                <w:szCs w:val="20"/>
                <w:lang w:eastAsia="es-ES"/>
              </w:rPr>
            </w:pPr>
            <w:r w:rsidRPr="00C6165A">
              <w:rPr>
                <w:sz w:val="20"/>
                <w:szCs w:val="20"/>
                <w:lang w:eastAsia="es-ES"/>
              </w:rPr>
              <w:t>68.035</w:t>
            </w:r>
          </w:p>
        </w:tc>
        <w:tc>
          <w:tcPr>
            <w:tcW w:w="653" w:type="pct"/>
            <w:tcBorders>
              <w:top w:val="nil"/>
              <w:left w:val="nil"/>
              <w:bottom w:val="single" w:sz="8" w:space="0" w:color="auto"/>
              <w:right w:val="single" w:sz="8" w:space="0" w:color="auto"/>
            </w:tcBorders>
            <w:shd w:val="clear" w:color="auto" w:fill="auto"/>
            <w:noWrap/>
            <w:vAlign w:val="center"/>
            <w:hideMark/>
          </w:tcPr>
          <w:p w14:paraId="54595F4C" w14:textId="77777777" w:rsidR="003119C8" w:rsidRPr="00C6165A" w:rsidRDefault="003119C8" w:rsidP="003119C8">
            <w:pPr>
              <w:jc w:val="center"/>
              <w:rPr>
                <w:sz w:val="20"/>
                <w:szCs w:val="20"/>
                <w:lang w:eastAsia="es-ES"/>
              </w:rPr>
            </w:pPr>
            <w:r w:rsidRPr="00C6165A">
              <w:rPr>
                <w:sz w:val="20"/>
                <w:szCs w:val="20"/>
                <w:lang w:eastAsia="es-ES"/>
              </w:rPr>
              <w:t>-9,39%</w:t>
            </w:r>
          </w:p>
        </w:tc>
        <w:tc>
          <w:tcPr>
            <w:tcW w:w="716" w:type="pct"/>
            <w:tcBorders>
              <w:top w:val="nil"/>
              <w:left w:val="nil"/>
              <w:bottom w:val="single" w:sz="8" w:space="0" w:color="auto"/>
              <w:right w:val="single" w:sz="8" w:space="0" w:color="auto"/>
            </w:tcBorders>
            <w:shd w:val="clear" w:color="auto" w:fill="auto"/>
            <w:noWrap/>
            <w:vAlign w:val="center"/>
            <w:hideMark/>
          </w:tcPr>
          <w:p w14:paraId="03A9CADE" w14:textId="77777777" w:rsidR="003119C8" w:rsidRPr="00C6165A" w:rsidRDefault="003119C8" w:rsidP="003119C8">
            <w:pPr>
              <w:jc w:val="right"/>
              <w:rPr>
                <w:sz w:val="20"/>
                <w:szCs w:val="20"/>
                <w:lang w:eastAsia="es-ES"/>
              </w:rPr>
            </w:pPr>
            <w:r w:rsidRPr="00C6165A">
              <w:rPr>
                <w:sz w:val="20"/>
                <w:szCs w:val="20"/>
                <w:lang w:eastAsia="es-ES"/>
              </w:rPr>
              <w:t>227.914</w:t>
            </w:r>
          </w:p>
        </w:tc>
        <w:tc>
          <w:tcPr>
            <w:tcW w:w="705" w:type="pct"/>
            <w:tcBorders>
              <w:top w:val="nil"/>
              <w:left w:val="nil"/>
              <w:bottom w:val="single" w:sz="8" w:space="0" w:color="auto"/>
              <w:right w:val="single" w:sz="8" w:space="0" w:color="auto"/>
            </w:tcBorders>
            <w:shd w:val="clear" w:color="auto" w:fill="auto"/>
            <w:noWrap/>
            <w:vAlign w:val="center"/>
            <w:hideMark/>
          </w:tcPr>
          <w:p w14:paraId="23D85B7A" w14:textId="77777777" w:rsidR="003119C8" w:rsidRPr="00C6165A" w:rsidRDefault="003119C8" w:rsidP="003119C8">
            <w:pPr>
              <w:jc w:val="right"/>
              <w:rPr>
                <w:sz w:val="20"/>
                <w:szCs w:val="20"/>
                <w:lang w:eastAsia="es-ES"/>
              </w:rPr>
            </w:pPr>
            <w:r w:rsidRPr="00C6165A">
              <w:rPr>
                <w:sz w:val="20"/>
                <w:szCs w:val="20"/>
                <w:lang w:eastAsia="es-ES"/>
              </w:rPr>
              <w:t>140.129</w:t>
            </w:r>
          </w:p>
        </w:tc>
        <w:tc>
          <w:tcPr>
            <w:tcW w:w="661" w:type="pct"/>
            <w:tcBorders>
              <w:top w:val="nil"/>
              <w:left w:val="nil"/>
              <w:bottom w:val="single" w:sz="8" w:space="0" w:color="auto"/>
              <w:right w:val="single" w:sz="8" w:space="0" w:color="auto"/>
            </w:tcBorders>
            <w:shd w:val="clear" w:color="auto" w:fill="auto"/>
            <w:noWrap/>
            <w:vAlign w:val="center"/>
            <w:hideMark/>
          </w:tcPr>
          <w:p w14:paraId="3E3A0CF8" w14:textId="77777777" w:rsidR="003119C8" w:rsidRPr="00C6165A" w:rsidRDefault="003119C8" w:rsidP="003119C8">
            <w:pPr>
              <w:jc w:val="center"/>
              <w:rPr>
                <w:sz w:val="20"/>
                <w:szCs w:val="20"/>
                <w:lang w:eastAsia="es-ES"/>
              </w:rPr>
            </w:pPr>
            <w:r w:rsidRPr="00C6165A">
              <w:rPr>
                <w:sz w:val="20"/>
                <w:szCs w:val="20"/>
                <w:lang w:eastAsia="es-ES"/>
              </w:rPr>
              <w:t>-38,52%</w:t>
            </w:r>
          </w:p>
        </w:tc>
      </w:tr>
      <w:tr w:rsidR="00C6165A" w:rsidRPr="00C6165A" w14:paraId="6F15B800" w14:textId="77777777" w:rsidTr="00A35A55">
        <w:trPr>
          <w:trHeight w:val="300"/>
        </w:trPr>
        <w:tc>
          <w:tcPr>
            <w:tcW w:w="956" w:type="pct"/>
            <w:tcBorders>
              <w:top w:val="nil"/>
              <w:left w:val="single" w:sz="8" w:space="0" w:color="auto"/>
              <w:bottom w:val="single" w:sz="8" w:space="0" w:color="auto"/>
              <w:right w:val="single" w:sz="8" w:space="0" w:color="auto"/>
            </w:tcBorders>
            <w:shd w:val="clear" w:color="auto" w:fill="auto"/>
            <w:noWrap/>
            <w:vAlign w:val="center"/>
            <w:hideMark/>
          </w:tcPr>
          <w:p w14:paraId="138DA1E1" w14:textId="77777777" w:rsidR="003119C8" w:rsidRPr="00C6165A" w:rsidRDefault="003119C8" w:rsidP="003119C8">
            <w:pPr>
              <w:jc w:val="left"/>
              <w:rPr>
                <w:sz w:val="20"/>
                <w:szCs w:val="20"/>
                <w:lang w:eastAsia="es-ES"/>
              </w:rPr>
            </w:pPr>
            <w:r w:rsidRPr="00C6165A">
              <w:rPr>
                <w:sz w:val="20"/>
                <w:szCs w:val="20"/>
                <w:lang w:eastAsia="es-ES"/>
              </w:rPr>
              <w:t>Centeno</w:t>
            </w:r>
          </w:p>
        </w:tc>
        <w:tc>
          <w:tcPr>
            <w:tcW w:w="612" w:type="pct"/>
            <w:tcBorders>
              <w:top w:val="nil"/>
              <w:left w:val="nil"/>
              <w:bottom w:val="single" w:sz="8" w:space="0" w:color="auto"/>
              <w:right w:val="single" w:sz="8" w:space="0" w:color="auto"/>
            </w:tcBorders>
            <w:shd w:val="clear" w:color="auto" w:fill="auto"/>
            <w:noWrap/>
            <w:vAlign w:val="center"/>
            <w:hideMark/>
          </w:tcPr>
          <w:p w14:paraId="3B87E777" w14:textId="77777777" w:rsidR="003119C8" w:rsidRPr="00C6165A" w:rsidRDefault="003119C8" w:rsidP="003119C8">
            <w:pPr>
              <w:jc w:val="right"/>
              <w:rPr>
                <w:sz w:val="20"/>
                <w:szCs w:val="20"/>
                <w:lang w:eastAsia="es-ES"/>
              </w:rPr>
            </w:pPr>
            <w:r w:rsidRPr="00C6165A">
              <w:rPr>
                <w:sz w:val="20"/>
                <w:szCs w:val="20"/>
                <w:lang w:eastAsia="es-ES"/>
              </w:rPr>
              <w:t>85.573</w:t>
            </w:r>
          </w:p>
        </w:tc>
        <w:tc>
          <w:tcPr>
            <w:tcW w:w="698" w:type="pct"/>
            <w:tcBorders>
              <w:top w:val="nil"/>
              <w:left w:val="nil"/>
              <w:bottom w:val="single" w:sz="8" w:space="0" w:color="auto"/>
              <w:right w:val="single" w:sz="8" w:space="0" w:color="auto"/>
            </w:tcBorders>
            <w:shd w:val="clear" w:color="auto" w:fill="auto"/>
            <w:noWrap/>
            <w:vAlign w:val="center"/>
            <w:hideMark/>
          </w:tcPr>
          <w:p w14:paraId="67C798F2" w14:textId="77777777" w:rsidR="003119C8" w:rsidRPr="00C6165A" w:rsidRDefault="003119C8" w:rsidP="003119C8">
            <w:pPr>
              <w:jc w:val="right"/>
              <w:rPr>
                <w:sz w:val="20"/>
                <w:szCs w:val="20"/>
                <w:lang w:eastAsia="es-ES"/>
              </w:rPr>
            </w:pPr>
            <w:r w:rsidRPr="00C6165A">
              <w:rPr>
                <w:sz w:val="20"/>
                <w:szCs w:val="20"/>
                <w:lang w:eastAsia="es-ES"/>
              </w:rPr>
              <w:t>70.941</w:t>
            </w:r>
          </w:p>
        </w:tc>
        <w:tc>
          <w:tcPr>
            <w:tcW w:w="653" w:type="pct"/>
            <w:tcBorders>
              <w:top w:val="nil"/>
              <w:left w:val="nil"/>
              <w:bottom w:val="single" w:sz="8" w:space="0" w:color="auto"/>
              <w:right w:val="single" w:sz="8" w:space="0" w:color="auto"/>
            </w:tcBorders>
            <w:shd w:val="clear" w:color="auto" w:fill="auto"/>
            <w:noWrap/>
            <w:vAlign w:val="center"/>
            <w:hideMark/>
          </w:tcPr>
          <w:p w14:paraId="6F435826" w14:textId="77777777" w:rsidR="003119C8" w:rsidRPr="00C6165A" w:rsidRDefault="003119C8" w:rsidP="003119C8">
            <w:pPr>
              <w:jc w:val="center"/>
              <w:rPr>
                <w:sz w:val="20"/>
                <w:szCs w:val="20"/>
                <w:lang w:eastAsia="es-ES"/>
              </w:rPr>
            </w:pPr>
            <w:r w:rsidRPr="00C6165A">
              <w:rPr>
                <w:sz w:val="20"/>
                <w:szCs w:val="20"/>
                <w:lang w:eastAsia="es-ES"/>
              </w:rPr>
              <w:t>-17,10%</w:t>
            </w:r>
          </w:p>
        </w:tc>
        <w:tc>
          <w:tcPr>
            <w:tcW w:w="716" w:type="pct"/>
            <w:tcBorders>
              <w:top w:val="nil"/>
              <w:left w:val="nil"/>
              <w:bottom w:val="single" w:sz="8" w:space="0" w:color="auto"/>
              <w:right w:val="single" w:sz="8" w:space="0" w:color="auto"/>
            </w:tcBorders>
            <w:shd w:val="clear" w:color="auto" w:fill="auto"/>
            <w:noWrap/>
            <w:vAlign w:val="center"/>
            <w:hideMark/>
          </w:tcPr>
          <w:p w14:paraId="05999AA7" w14:textId="77777777" w:rsidR="003119C8" w:rsidRPr="00C6165A" w:rsidRDefault="003119C8" w:rsidP="003119C8">
            <w:pPr>
              <w:jc w:val="right"/>
              <w:rPr>
                <w:sz w:val="20"/>
                <w:szCs w:val="20"/>
                <w:lang w:eastAsia="es-ES"/>
              </w:rPr>
            </w:pPr>
            <w:r w:rsidRPr="00C6165A">
              <w:rPr>
                <w:sz w:val="20"/>
                <w:szCs w:val="20"/>
                <w:lang w:eastAsia="es-ES"/>
              </w:rPr>
              <w:t>229.191</w:t>
            </w:r>
          </w:p>
        </w:tc>
        <w:tc>
          <w:tcPr>
            <w:tcW w:w="705" w:type="pct"/>
            <w:tcBorders>
              <w:top w:val="nil"/>
              <w:left w:val="nil"/>
              <w:bottom w:val="single" w:sz="8" w:space="0" w:color="auto"/>
              <w:right w:val="single" w:sz="8" w:space="0" w:color="auto"/>
            </w:tcBorders>
            <w:shd w:val="clear" w:color="auto" w:fill="auto"/>
            <w:noWrap/>
            <w:vAlign w:val="center"/>
            <w:hideMark/>
          </w:tcPr>
          <w:p w14:paraId="70CE9B0F" w14:textId="77777777" w:rsidR="003119C8" w:rsidRPr="00C6165A" w:rsidRDefault="003119C8" w:rsidP="003119C8">
            <w:pPr>
              <w:jc w:val="right"/>
              <w:rPr>
                <w:sz w:val="20"/>
                <w:szCs w:val="20"/>
                <w:lang w:eastAsia="es-ES"/>
              </w:rPr>
            </w:pPr>
            <w:r w:rsidRPr="00C6165A">
              <w:rPr>
                <w:sz w:val="20"/>
                <w:szCs w:val="20"/>
                <w:lang w:eastAsia="es-ES"/>
              </w:rPr>
              <w:t>126.745</w:t>
            </w:r>
          </w:p>
        </w:tc>
        <w:tc>
          <w:tcPr>
            <w:tcW w:w="661" w:type="pct"/>
            <w:tcBorders>
              <w:top w:val="nil"/>
              <w:left w:val="nil"/>
              <w:bottom w:val="single" w:sz="8" w:space="0" w:color="auto"/>
              <w:right w:val="single" w:sz="8" w:space="0" w:color="auto"/>
            </w:tcBorders>
            <w:shd w:val="clear" w:color="auto" w:fill="auto"/>
            <w:noWrap/>
            <w:vAlign w:val="center"/>
            <w:hideMark/>
          </w:tcPr>
          <w:p w14:paraId="411F769A" w14:textId="77777777" w:rsidR="003119C8" w:rsidRPr="00C6165A" w:rsidRDefault="003119C8" w:rsidP="003119C8">
            <w:pPr>
              <w:jc w:val="center"/>
              <w:rPr>
                <w:sz w:val="20"/>
                <w:szCs w:val="20"/>
                <w:lang w:eastAsia="es-ES"/>
              </w:rPr>
            </w:pPr>
            <w:r w:rsidRPr="00C6165A">
              <w:rPr>
                <w:sz w:val="20"/>
                <w:szCs w:val="20"/>
                <w:lang w:eastAsia="es-ES"/>
              </w:rPr>
              <w:t>-44,70%</w:t>
            </w:r>
          </w:p>
        </w:tc>
      </w:tr>
      <w:tr w:rsidR="00C6165A" w:rsidRPr="00C6165A" w14:paraId="34EF0B85" w14:textId="77777777" w:rsidTr="00A35A55">
        <w:trPr>
          <w:trHeight w:val="300"/>
        </w:trPr>
        <w:tc>
          <w:tcPr>
            <w:tcW w:w="956" w:type="pct"/>
            <w:tcBorders>
              <w:top w:val="nil"/>
              <w:left w:val="single" w:sz="8" w:space="0" w:color="auto"/>
              <w:bottom w:val="single" w:sz="8" w:space="0" w:color="auto"/>
              <w:right w:val="single" w:sz="8" w:space="0" w:color="auto"/>
            </w:tcBorders>
            <w:shd w:val="clear" w:color="auto" w:fill="auto"/>
            <w:noWrap/>
            <w:vAlign w:val="center"/>
            <w:hideMark/>
          </w:tcPr>
          <w:p w14:paraId="2F40D1D6" w14:textId="77777777" w:rsidR="003119C8" w:rsidRPr="00C6165A" w:rsidRDefault="003119C8" w:rsidP="003119C8">
            <w:pPr>
              <w:jc w:val="left"/>
              <w:rPr>
                <w:sz w:val="20"/>
                <w:szCs w:val="20"/>
                <w:lang w:eastAsia="es-ES"/>
              </w:rPr>
            </w:pPr>
            <w:r w:rsidRPr="00C6165A">
              <w:rPr>
                <w:sz w:val="20"/>
                <w:szCs w:val="20"/>
                <w:lang w:eastAsia="es-ES"/>
              </w:rPr>
              <w:t>Triticale</w:t>
            </w:r>
          </w:p>
        </w:tc>
        <w:tc>
          <w:tcPr>
            <w:tcW w:w="612" w:type="pct"/>
            <w:tcBorders>
              <w:top w:val="nil"/>
              <w:left w:val="nil"/>
              <w:bottom w:val="single" w:sz="8" w:space="0" w:color="auto"/>
              <w:right w:val="single" w:sz="8" w:space="0" w:color="auto"/>
            </w:tcBorders>
            <w:shd w:val="clear" w:color="auto" w:fill="auto"/>
            <w:noWrap/>
            <w:vAlign w:val="center"/>
            <w:hideMark/>
          </w:tcPr>
          <w:p w14:paraId="64BEBFB4" w14:textId="77777777" w:rsidR="003119C8" w:rsidRPr="00C6165A" w:rsidRDefault="003119C8" w:rsidP="003119C8">
            <w:pPr>
              <w:jc w:val="right"/>
              <w:rPr>
                <w:sz w:val="20"/>
                <w:szCs w:val="20"/>
                <w:lang w:eastAsia="es-ES"/>
              </w:rPr>
            </w:pPr>
            <w:r w:rsidRPr="00C6165A">
              <w:rPr>
                <w:sz w:val="20"/>
                <w:szCs w:val="20"/>
                <w:lang w:eastAsia="es-ES"/>
              </w:rPr>
              <w:t>41.978</w:t>
            </w:r>
          </w:p>
        </w:tc>
        <w:tc>
          <w:tcPr>
            <w:tcW w:w="698" w:type="pct"/>
            <w:tcBorders>
              <w:top w:val="nil"/>
              <w:left w:val="nil"/>
              <w:bottom w:val="single" w:sz="8" w:space="0" w:color="auto"/>
              <w:right w:val="single" w:sz="8" w:space="0" w:color="auto"/>
            </w:tcBorders>
            <w:shd w:val="clear" w:color="auto" w:fill="auto"/>
            <w:noWrap/>
            <w:vAlign w:val="center"/>
            <w:hideMark/>
          </w:tcPr>
          <w:p w14:paraId="04CD48BE" w14:textId="77777777" w:rsidR="003119C8" w:rsidRPr="00C6165A" w:rsidRDefault="003119C8" w:rsidP="003119C8">
            <w:pPr>
              <w:jc w:val="right"/>
              <w:rPr>
                <w:sz w:val="20"/>
                <w:szCs w:val="20"/>
                <w:lang w:eastAsia="es-ES"/>
              </w:rPr>
            </w:pPr>
            <w:r w:rsidRPr="00C6165A">
              <w:rPr>
                <w:sz w:val="20"/>
                <w:szCs w:val="20"/>
                <w:lang w:eastAsia="es-ES"/>
              </w:rPr>
              <w:t>44.237</w:t>
            </w:r>
          </w:p>
        </w:tc>
        <w:tc>
          <w:tcPr>
            <w:tcW w:w="653" w:type="pct"/>
            <w:tcBorders>
              <w:top w:val="nil"/>
              <w:left w:val="nil"/>
              <w:bottom w:val="single" w:sz="8" w:space="0" w:color="auto"/>
              <w:right w:val="single" w:sz="8" w:space="0" w:color="auto"/>
            </w:tcBorders>
            <w:shd w:val="clear" w:color="auto" w:fill="auto"/>
            <w:noWrap/>
            <w:vAlign w:val="center"/>
            <w:hideMark/>
          </w:tcPr>
          <w:p w14:paraId="526C4729" w14:textId="77777777" w:rsidR="003119C8" w:rsidRPr="00C6165A" w:rsidRDefault="003119C8" w:rsidP="003119C8">
            <w:pPr>
              <w:jc w:val="center"/>
              <w:rPr>
                <w:sz w:val="20"/>
                <w:szCs w:val="20"/>
                <w:lang w:eastAsia="es-ES"/>
              </w:rPr>
            </w:pPr>
            <w:r w:rsidRPr="00C6165A">
              <w:rPr>
                <w:sz w:val="20"/>
                <w:szCs w:val="20"/>
                <w:lang w:eastAsia="es-ES"/>
              </w:rPr>
              <w:t>5,38%</w:t>
            </w:r>
          </w:p>
        </w:tc>
        <w:tc>
          <w:tcPr>
            <w:tcW w:w="716" w:type="pct"/>
            <w:tcBorders>
              <w:top w:val="nil"/>
              <w:left w:val="nil"/>
              <w:bottom w:val="single" w:sz="8" w:space="0" w:color="auto"/>
              <w:right w:val="single" w:sz="8" w:space="0" w:color="auto"/>
            </w:tcBorders>
            <w:shd w:val="clear" w:color="auto" w:fill="auto"/>
            <w:noWrap/>
            <w:vAlign w:val="center"/>
            <w:hideMark/>
          </w:tcPr>
          <w:p w14:paraId="1EF2DB32" w14:textId="77777777" w:rsidR="003119C8" w:rsidRPr="00C6165A" w:rsidRDefault="003119C8" w:rsidP="003119C8">
            <w:pPr>
              <w:jc w:val="right"/>
              <w:rPr>
                <w:sz w:val="20"/>
                <w:szCs w:val="20"/>
                <w:lang w:eastAsia="es-ES"/>
              </w:rPr>
            </w:pPr>
            <w:r w:rsidRPr="00C6165A">
              <w:rPr>
                <w:sz w:val="20"/>
                <w:szCs w:val="20"/>
                <w:lang w:eastAsia="es-ES"/>
              </w:rPr>
              <w:t>140.272</w:t>
            </w:r>
          </w:p>
        </w:tc>
        <w:tc>
          <w:tcPr>
            <w:tcW w:w="705" w:type="pct"/>
            <w:tcBorders>
              <w:top w:val="nil"/>
              <w:left w:val="nil"/>
              <w:bottom w:val="single" w:sz="8" w:space="0" w:color="auto"/>
              <w:right w:val="single" w:sz="8" w:space="0" w:color="auto"/>
            </w:tcBorders>
            <w:shd w:val="clear" w:color="auto" w:fill="auto"/>
            <w:noWrap/>
            <w:vAlign w:val="center"/>
            <w:hideMark/>
          </w:tcPr>
          <w:p w14:paraId="65CFC4D5" w14:textId="77777777" w:rsidR="003119C8" w:rsidRPr="00C6165A" w:rsidRDefault="003119C8" w:rsidP="003119C8">
            <w:pPr>
              <w:jc w:val="right"/>
              <w:rPr>
                <w:sz w:val="20"/>
                <w:szCs w:val="20"/>
                <w:lang w:eastAsia="es-ES"/>
              </w:rPr>
            </w:pPr>
            <w:r w:rsidRPr="00C6165A">
              <w:rPr>
                <w:sz w:val="20"/>
                <w:szCs w:val="20"/>
                <w:lang w:eastAsia="es-ES"/>
              </w:rPr>
              <w:t>93.623</w:t>
            </w:r>
          </w:p>
        </w:tc>
        <w:tc>
          <w:tcPr>
            <w:tcW w:w="661" w:type="pct"/>
            <w:tcBorders>
              <w:top w:val="nil"/>
              <w:left w:val="nil"/>
              <w:bottom w:val="single" w:sz="8" w:space="0" w:color="auto"/>
              <w:right w:val="single" w:sz="8" w:space="0" w:color="auto"/>
            </w:tcBorders>
            <w:shd w:val="clear" w:color="auto" w:fill="auto"/>
            <w:noWrap/>
            <w:vAlign w:val="center"/>
            <w:hideMark/>
          </w:tcPr>
          <w:p w14:paraId="6EBF1E01" w14:textId="77777777" w:rsidR="003119C8" w:rsidRPr="00C6165A" w:rsidRDefault="003119C8" w:rsidP="003119C8">
            <w:pPr>
              <w:jc w:val="center"/>
              <w:rPr>
                <w:sz w:val="20"/>
                <w:szCs w:val="20"/>
                <w:lang w:eastAsia="es-ES"/>
              </w:rPr>
            </w:pPr>
            <w:r w:rsidRPr="00C6165A">
              <w:rPr>
                <w:sz w:val="20"/>
                <w:szCs w:val="20"/>
                <w:lang w:eastAsia="es-ES"/>
              </w:rPr>
              <w:t>-33,26%</w:t>
            </w:r>
          </w:p>
        </w:tc>
      </w:tr>
      <w:tr w:rsidR="00C6165A" w:rsidRPr="00C6165A" w14:paraId="4E601F5E" w14:textId="77777777" w:rsidTr="00A35A55">
        <w:trPr>
          <w:trHeight w:val="300"/>
        </w:trPr>
        <w:tc>
          <w:tcPr>
            <w:tcW w:w="956" w:type="pct"/>
            <w:tcBorders>
              <w:top w:val="nil"/>
              <w:left w:val="single" w:sz="8" w:space="0" w:color="auto"/>
              <w:bottom w:val="single" w:sz="8" w:space="0" w:color="auto"/>
              <w:right w:val="single" w:sz="8" w:space="0" w:color="auto"/>
            </w:tcBorders>
            <w:shd w:val="clear" w:color="auto" w:fill="auto"/>
            <w:noWrap/>
            <w:vAlign w:val="center"/>
            <w:hideMark/>
          </w:tcPr>
          <w:p w14:paraId="5199AA3B" w14:textId="77777777" w:rsidR="003119C8" w:rsidRPr="00C6165A" w:rsidRDefault="003119C8" w:rsidP="003119C8">
            <w:pPr>
              <w:jc w:val="left"/>
              <w:rPr>
                <w:b/>
                <w:bCs/>
                <w:i/>
                <w:iCs/>
                <w:sz w:val="20"/>
                <w:szCs w:val="20"/>
                <w:lang w:eastAsia="es-ES"/>
              </w:rPr>
            </w:pPr>
            <w:proofErr w:type="gramStart"/>
            <w:r w:rsidRPr="00C6165A">
              <w:rPr>
                <w:b/>
                <w:bCs/>
                <w:i/>
                <w:iCs/>
                <w:sz w:val="20"/>
                <w:szCs w:val="20"/>
                <w:lang w:eastAsia="es-ES"/>
              </w:rPr>
              <w:t>Total</w:t>
            </w:r>
            <w:proofErr w:type="gramEnd"/>
            <w:r w:rsidRPr="00C6165A">
              <w:rPr>
                <w:b/>
                <w:bCs/>
                <w:i/>
                <w:iCs/>
                <w:sz w:val="20"/>
                <w:szCs w:val="20"/>
                <w:lang w:eastAsia="es-ES"/>
              </w:rPr>
              <w:t xml:space="preserve"> cereales invierno</w:t>
            </w:r>
          </w:p>
        </w:tc>
        <w:tc>
          <w:tcPr>
            <w:tcW w:w="612" w:type="pct"/>
            <w:tcBorders>
              <w:top w:val="nil"/>
              <w:left w:val="nil"/>
              <w:bottom w:val="single" w:sz="8" w:space="0" w:color="auto"/>
              <w:right w:val="single" w:sz="8" w:space="0" w:color="auto"/>
            </w:tcBorders>
            <w:shd w:val="clear" w:color="auto" w:fill="auto"/>
            <w:noWrap/>
            <w:vAlign w:val="center"/>
            <w:hideMark/>
          </w:tcPr>
          <w:p w14:paraId="0F248D20" w14:textId="77777777" w:rsidR="003119C8" w:rsidRPr="00C6165A" w:rsidRDefault="003119C8" w:rsidP="003119C8">
            <w:pPr>
              <w:jc w:val="right"/>
              <w:rPr>
                <w:b/>
                <w:bCs/>
                <w:i/>
                <w:iCs/>
                <w:sz w:val="20"/>
                <w:szCs w:val="20"/>
                <w:lang w:eastAsia="es-ES"/>
              </w:rPr>
            </w:pPr>
            <w:r w:rsidRPr="00C6165A">
              <w:rPr>
                <w:b/>
                <w:bCs/>
                <w:i/>
                <w:iCs/>
                <w:sz w:val="20"/>
                <w:szCs w:val="20"/>
                <w:lang w:eastAsia="es-ES"/>
              </w:rPr>
              <w:t>1.929.864</w:t>
            </w:r>
          </w:p>
        </w:tc>
        <w:tc>
          <w:tcPr>
            <w:tcW w:w="698" w:type="pct"/>
            <w:tcBorders>
              <w:top w:val="nil"/>
              <w:left w:val="nil"/>
              <w:bottom w:val="single" w:sz="8" w:space="0" w:color="auto"/>
              <w:right w:val="single" w:sz="8" w:space="0" w:color="auto"/>
            </w:tcBorders>
            <w:shd w:val="clear" w:color="auto" w:fill="auto"/>
            <w:noWrap/>
            <w:vAlign w:val="center"/>
            <w:hideMark/>
          </w:tcPr>
          <w:p w14:paraId="0846C97D" w14:textId="77777777" w:rsidR="003119C8" w:rsidRPr="00C6165A" w:rsidRDefault="003119C8" w:rsidP="003119C8">
            <w:pPr>
              <w:jc w:val="right"/>
              <w:rPr>
                <w:b/>
                <w:bCs/>
                <w:i/>
                <w:iCs/>
                <w:sz w:val="20"/>
                <w:szCs w:val="20"/>
                <w:lang w:eastAsia="es-ES"/>
              </w:rPr>
            </w:pPr>
            <w:r w:rsidRPr="00C6165A">
              <w:rPr>
                <w:b/>
                <w:bCs/>
                <w:i/>
                <w:iCs/>
                <w:sz w:val="20"/>
                <w:szCs w:val="20"/>
                <w:lang w:eastAsia="es-ES"/>
              </w:rPr>
              <w:t>1.825.583</w:t>
            </w:r>
          </w:p>
        </w:tc>
        <w:tc>
          <w:tcPr>
            <w:tcW w:w="653" w:type="pct"/>
            <w:tcBorders>
              <w:top w:val="nil"/>
              <w:left w:val="nil"/>
              <w:bottom w:val="single" w:sz="8" w:space="0" w:color="auto"/>
              <w:right w:val="single" w:sz="8" w:space="0" w:color="auto"/>
            </w:tcBorders>
            <w:shd w:val="clear" w:color="auto" w:fill="auto"/>
            <w:noWrap/>
            <w:vAlign w:val="center"/>
            <w:hideMark/>
          </w:tcPr>
          <w:p w14:paraId="1EAC711E" w14:textId="77777777" w:rsidR="003119C8" w:rsidRPr="00C6165A" w:rsidRDefault="003119C8" w:rsidP="003119C8">
            <w:pPr>
              <w:jc w:val="center"/>
              <w:rPr>
                <w:b/>
                <w:bCs/>
                <w:i/>
                <w:iCs/>
                <w:sz w:val="20"/>
                <w:szCs w:val="20"/>
                <w:lang w:eastAsia="es-ES"/>
              </w:rPr>
            </w:pPr>
            <w:r w:rsidRPr="00C6165A">
              <w:rPr>
                <w:b/>
                <w:bCs/>
                <w:i/>
                <w:iCs/>
                <w:sz w:val="20"/>
                <w:szCs w:val="20"/>
                <w:lang w:eastAsia="es-ES"/>
              </w:rPr>
              <w:t>-5,40%</w:t>
            </w:r>
          </w:p>
        </w:tc>
        <w:tc>
          <w:tcPr>
            <w:tcW w:w="716" w:type="pct"/>
            <w:tcBorders>
              <w:top w:val="nil"/>
              <w:left w:val="nil"/>
              <w:bottom w:val="single" w:sz="8" w:space="0" w:color="auto"/>
              <w:right w:val="single" w:sz="8" w:space="0" w:color="auto"/>
            </w:tcBorders>
            <w:shd w:val="clear" w:color="auto" w:fill="auto"/>
            <w:noWrap/>
            <w:vAlign w:val="center"/>
            <w:hideMark/>
          </w:tcPr>
          <w:p w14:paraId="587C41EC" w14:textId="77777777" w:rsidR="003119C8" w:rsidRPr="00C6165A" w:rsidRDefault="003119C8" w:rsidP="003119C8">
            <w:pPr>
              <w:jc w:val="right"/>
              <w:rPr>
                <w:b/>
                <w:bCs/>
                <w:i/>
                <w:iCs/>
                <w:sz w:val="20"/>
                <w:szCs w:val="20"/>
                <w:lang w:eastAsia="es-ES"/>
              </w:rPr>
            </w:pPr>
            <w:r w:rsidRPr="00C6165A">
              <w:rPr>
                <w:b/>
                <w:bCs/>
                <w:i/>
                <w:iCs/>
                <w:sz w:val="20"/>
                <w:szCs w:val="20"/>
                <w:lang w:eastAsia="es-ES"/>
              </w:rPr>
              <w:t>7.623.306</w:t>
            </w:r>
          </w:p>
        </w:tc>
        <w:tc>
          <w:tcPr>
            <w:tcW w:w="705" w:type="pct"/>
            <w:tcBorders>
              <w:top w:val="nil"/>
              <w:left w:val="nil"/>
              <w:bottom w:val="single" w:sz="8" w:space="0" w:color="auto"/>
              <w:right w:val="single" w:sz="8" w:space="0" w:color="auto"/>
            </w:tcBorders>
            <w:shd w:val="clear" w:color="auto" w:fill="auto"/>
            <w:noWrap/>
            <w:vAlign w:val="center"/>
            <w:hideMark/>
          </w:tcPr>
          <w:p w14:paraId="31F9D327" w14:textId="77777777" w:rsidR="003119C8" w:rsidRPr="00C6165A" w:rsidRDefault="003119C8" w:rsidP="003119C8">
            <w:pPr>
              <w:jc w:val="right"/>
              <w:rPr>
                <w:b/>
                <w:bCs/>
                <w:i/>
                <w:iCs/>
                <w:sz w:val="20"/>
                <w:szCs w:val="20"/>
                <w:lang w:eastAsia="es-ES"/>
              </w:rPr>
            </w:pPr>
            <w:r w:rsidRPr="00C6165A">
              <w:rPr>
                <w:b/>
                <w:bCs/>
                <w:i/>
                <w:iCs/>
                <w:sz w:val="20"/>
                <w:szCs w:val="20"/>
                <w:lang w:eastAsia="es-ES"/>
              </w:rPr>
              <w:t>5.169.795</w:t>
            </w:r>
          </w:p>
        </w:tc>
        <w:tc>
          <w:tcPr>
            <w:tcW w:w="661" w:type="pct"/>
            <w:tcBorders>
              <w:top w:val="nil"/>
              <w:left w:val="nil"/>
              <w:bottom w:val="single" w:sz="8" w:space="0" w:color="auto"/>
              <w:right w:val="single" w:sz="8" w:space="0" w:color="auto"/>
            </w:tcBorders>
            <w:shd w:val="clear" w:color="auto" w:fill="auto"/>
            <w:noWrap/>
            <w:vAlign w:val="center"/>
            <w:hideMark/>
          </w:tcPr>
          <w:p w14:paraId="58263F88" w14:textId="77777777" w:rsidR="003119C8" w:rsidRPr="00C6165A" w:rsidRDefault="003119C8" w:rsidP="003119C8">
            <w:pPr>
              <w:jc w:val="center"/>
              <w:rPr>
                <w:b/>
                <w:bCs/>
                <w:i/>
                <w:iCs/>
                <w:sz w:val="20"/>
                <w:szCs w:val="20"/>
                <w:lang w:eastAsia="es-ES"/>
              </w:rPr>
            </w:pPr>
            <w:r w:rsidRPr="00C6165A">
              <w:rPr>
                <w:b/>
                <w:bCs/>
                <w:i/>
                <w:iCs/>
                <w:sz w:val="20"/>
                <w:szCs w:val="20"/>
                <w:lang w:eastAsia="es-ES"/>
              </w:rPr>
              <w:t>-32,18%</w:t>
            </w:r>
          </w:p>
        </w:tc>
      </w:tr>
      <w:tr w:rsidR="003119C8" w:rsidRPr="00C6165A" w14:paraId="17C203B4" w14:textId="77777777" w:rsidTr="003119C8">
        <w:trPr>
          <w:trHeight w:val="288"/>
        </w:trPr>
        <w:tc>
          <w:tcPr>
            <w:tcW w:w="5000" w:type="pct"/>
            <w:gridSpan w:val="7"/>
            <w:tcBorders>
              <w:top w:val="single" w:sz="8" w:space="0" w:color="auto"/>
              <w:left w:val="nil"/>
              <w:bottom w:val="nil"/>
              <w:right w:val="nil"/>
            </w:tcBorders>
            <w:shd w:val="clear" w:color="auto" w:fill="auto"/>
            <w:noWrap/>
            <w:vAlign w:val="center"/>
            <w:hideMark/>
          </w:tcPr>
          <w:p w14:paraId="58A0469E" w14:textId="77777777" w:rsidR="003119C8" w:rsidRPr="00C6165A" w:rsidRDefault="003119C8" w:rsidP="003119C8">
            <w:pPr>
              <w:jc w:val="left"/>
              <w:rPr>
                <w:sz w:val="20"/>
                <w:szCs w:val="20"/>
                <w:lang w:eastAsia="es-ES"/>
              </w:rPr>
            </w:pPr>
            <w:r w:rsidRPr="00C6165A">
              <w:rPr>
                <w:sz w:val="20"/>
                <w:szCs w:val="20"/>
                <w:lang w:eastAsia="es-ES"/>
              </w:rPr>
              <w:t>Fuente: Elaboración propia a partir de los avances de superficies y producciones de la Consejería de Agricultura, Ganadería y Desarrollo Rural</w:t>
            </w:r>
          </w:p>
        </w:tc>
      </w:tr>
    </w:tbl>
    <w:p w14:paraId="2BA48112" w14:textId="60F85A77" w:rsidR="00DC1044" w:rsidRPr="00C6165A" w:rsidRDefault="00DC1044" w:rsidP="00AA49C3"/>
    <w:p w14:paraId="4F41202F" w14:textId="51D57107" w:rsidR="0032315C" w:rsidRPr="00C6165A" w:rsidRDefault="00DC1044" w:rsidP="00AA49C3">
      <w:r w:rsidRPr="00C6165A">
        <w:t xml:space="preserve">La evolución de los precios ha </w:t>
      </w:r>
      <w:r w:rsidR="008D2EF4" w:rsidRPr="00C6165A">
        <w:t>sido</w:t>
      </w:r>
      <w:r w:rsidR="0032315C" w:rsidRPr="00C6165A">
        <w:t xml:space="preserve"> similar</w:t>
      </w:r>
      <w:r w:rsidRPr="00C6165A">
        <w:t xml:space="preserve"> en los diferentes </w:t>
      </w:r>
      <w:r w:rsidR="00154C4C" w:rsidRPr="00C6165A">
        <w:t>cereales</w:t>
      </w:r>
      <w:r w:rsidRPr="00C6165A">
        <w:t xml:space="preserve">, tal y como se aprecia en los gráficos posteriores, </w:t>
      </w:r>
      <w:r w:rsidR="0032315C" w:rsidRPr="00C6165A">
        <w:t xml:space="preserve">comenzando el año con precios </w:t>
      </w:r>
      <w:r w:rsidR="008D2EF4" w:rsidRPr="00C6165A">
        <w:t>muy superiores</w:t>
      </w:r>
      <w:r w:rsidR="0032315C" w:rsidRPr="00C6165A">
        <w:t xml:space="preserve"> a los del año pasado y con una tendencia alcista todo el </w:t>
      </w:r>
      <w:r w:rsidR="00DB4D49" w:rsidRPr="00C6165A">
        <w:t>periodo</w:t>
      </w:r>
      <w:r w:rsidR="0032315C" w:rsidRPr="00C6165A">
        <w:t xml:space="preserve">, siendo más pronunciada </w:t>
      </w:r>
      <w:r w:rsidR="008D2EF4" w:rsidRPr="00C6165A">
        <w:t xml:space="preserve">en marzo, llegando a </w:t>
      </w:r>
      <w:r w:rsidR="0032315C" w:rsidRPr="00C6165A">
        <w:t>precios máximos</w:t>
      </w:r>
      <w:r w:rsidR="00700CE9" w:rsidRPr="00C6165A">
        <w:t>. Los precios se estabilizaron</w:t>
      </w:r>
      <w:r w:rsidR="0032315C" w:rsidRPr="00C6165A">
        <w:t xml:space="preserve"> a partir </w:t>
      </w:r>
      <w:r w:rsidR="008D2EF4" w:rsidRPr="00C6165A">
        <w:t>de agosto</w:t>
      </w:r>
      <w:r w:rsidR="00700CE9" w:rsidRPr="00C6165A">
        <w:t xml:space="preserve"> y han subido ligeramente hasta las últimas semanas del año cuando han empezado a caer.</w:t>
      </w:r>
    </w:p>
    <w:p w14:paraId="5C645B01" w14:textId="11040B16" w:rsidR="00B472AF" w:rsidRPr="00C6165A" w:rsidRDefault="00220B64" w:rsidP="00CD4559">
      <w:r w:rsidRPr="00C6165A">
        <w:t>La subida</w:t>
      </w:r>
      <w:r w:rsidR="007242A7" w:rsidRPr="00C6165A">
        <w:t xml:space="preserve"> de precios de los insumos ha superado todas las previsiones, </w:t>
      </w:r>
      <w:r w:rsidRPr="00C6165A">
        <w:t>un encarecimiento</w:t>
      </w:r>
      <w:r w:rsidR="007242A7" w:rsidRPr="00C6165A">
        <w:t xml:space="preserve"> </w:t>
      </w:r>
      <w:r w:rsidRPr="00C6165A">
        <w:t xml:space="preserve">que afecta </w:t>
      </w:r>
      <w:r w:rsidR="007242A7" w:rsidRPr="00C6165A">
        <w:t>a todos los costes de producción</w:t>
      </w:r>
      <w:r w:rsidR="008E561A" w:rsidRPr="00C6165A">
        <w:t>: abonos, gasóleo,</w:t>
      </w:r>
      <w:r w:rsidR="007242A7" w:rsidRPr="00C6165A">
        <w:t xml:space="preserve"> electricidad, </w:t>
      </w:r>
      <w:r w:rsidR="008E561A" w:rsidRPr="00C6165A">
        <w:t>fitosanitarios,</w:t>
      </w:r>
      <w:r w:rsidR="000B4EEF" w:rsidRPr="00C6165A">
        <w:t xml:space="preserve"> repuestos, etc. </w:t>
      </w:r>
      <w:r w:rsidRPr="00C6165A">
        <w:t>que se ha juntado con la alta inestabilidad de mercado derivada de la invasión rusa a Ucrania. Asimismo, la meteorología adversa, ausencia de lluvias y altas temperaturas</w:t>
      </w:r>
      <w:r w:rsidR="00700CE9" w:rsidRPr="00C6165A">
        <w:t>,</w:t>
      </w:r>
      <w:r w:rsidRPr="00C6165A">
        <w:t xml:space="preserve"> han producido el asurado del grano y una cosecha inferior a la media de los últimos años. Sin embargo, pese a estas </w:t>
      </w:r>
      <w:r w:rsidR="00700CE9" w:rsidRPr="00C6165A">
        <w:t>dificultades</w:t>
      </w:r>
      <w:r w:rsidRPr="00C6165A">
        <w:t>, Castilla y León ha aportado el 36% de la producción nacional, situándose como la comunidad autónoma con mayor producción.</w:t>
      </w:r>
    </w:p>
    <w:tbl>
      <w:tblPr>
        <w:tblStyle w:val="Tablaconcuadrcula"/>
        <w:tblW w:w="92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746"/>
      </w:tblGrid>
      <w:tr w:rsidR="00C6165A" w:rsidRPr="00C6165A" w14:paraId="4912FBD3" w14:textId="77777777" w:rsidTr="00E41B00">
        <w:trPr>
          <w:trHeight w:val="2972"/>
          <w:jc w:val="center"/>
        </w:trPr>
        <w:tc>
          <w:tcPr>
            <w:tcW w:w="4612" w:type="dxa"/>
            <w:tcMar>
              <w:top w:w="113" w:type="dxa"/>
              <w:bottom w:w="113" w:type="dxa"/>
            </w:tcMar>
          </w:tcPr>
          <w:p w14:paraId="0769A19E" w14:textId="1B923827" w:rsidR="00CD4559" w:rsidRPr="00C6165A" w:rsidRDefault="00220B64" w:rsidP="00CD4559">
            <w:pPr>
              <w:rPr>
                <w:highlight w:val="yellow"/>
              </w:rPr>
            </w:pPr>
            <w:r w:rsidRPr="00C6165A">
              <w:rPr>
                <w:noProof/>
              </w:rPr>
              <w:drawing>
                <wp:inline distT="0" distB="0" distL="0" distR="0" wp14:anchorId="2EA95118" wp14:editId="40130F02">
                  <wp:extent cx="2864578" cy="1872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4578" cy="1872000"/>
                          </a:xfrm>
                          <a:prstGeom prst="rect">
                            <a:avLst/>
                          </a:prstGeom>
                          <a:noFill/>
                        </pic:spPr>
                      </pic:pic>
                    </a:graphicData>
                  </a:graphic>
                </wp:inline>
              </w:drawing>
            </w:r>
          </w:p>
        </w:tc>
        <w:tc>
          <w:tcPr>
            <w:tcW w:w="4612" w:type="dxa"/>
            <w:tcMar>
              <w:top w:w="113" w:type="dxa"/>
              <w:bottom w:w="113" w:type="dxa"/>
            </w:tcMar>
          </w:tcPr>
          <w:p w14:paraId="7A69D4BB" w14:textId="082302BB" w:rsidR="00CD4559" w:rsidRPr="00C6165A" w:rsidRDefault="00220B64" w:rsidP="00CD4559">
            <w:pPr>
              <w:rPr>
                <w:highlight w:val="yellow"/>
              </w:rPr>
            </w:pPr>
            <w:r w:rsidRPr="00C6165A">
              <w:rPr>
                <w:noProof/>
              </w:rPr>
              <w:drawing>
                <wp:inline distT="0" distB="0" distL="0" distR="0" wp14:anchorId="294BA74A" wp14:editId="49DC2F3B">
                  <wp:extent cx="2864578" cy="1872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4578" cy="1872000"/>
                          </a:xfrm>
                          <a:prstGeom prst="rect">
                            <a:avLst/>
                          </a:prstGeom>
                          <a:noFill/>
                        </pic:spPr>
                      </pic:pic>
                    </a:graphicData>
                  </a:graphic>
                </wp:inline>
              </w:drawing>
            </w:r>
          </w:p>
        </w:tc>
      </w:tr>
      <w:tr w:rsidR="00C6165A" w:rsidRPr="00C6165A" w14:paraId="2C60EFB5" w14:textId="77777777" w:rsidTr="00E41B00">
        <w:trPr>
          <w:trHeight w:val="2972"/>
          <w:jc w:val="center"/>
        </w:trPr>
        <w:tc>
          <w:tcPr>
            <w:tcW w:w="4612" w:type="dxa"/>
            <w:tcMar>
              <w:top w:w="113" w:type="dxa"/>
              <w:bottom w:w="113" w:type="dxa"/>
            </w:tcMar>
          </w:tcPr>
          <w:p w14:paraId="7853AB16" w14:textId="40D13E9B" w:rsidR="00CD4559" w:rsidRPr="00C6165A" w:rsidRDefault="00220B64" w:rsidP="00CD4559">
            <w:pPr>
              <w:rPr>
                <w:highlight w:val="yellow"/>
              </w:rPr>
            </w:pPr>
            <w:r w:rsidRPr="00C6165A">
              <w:rPr>
                <w:noProof/>
              </w:rPr>
              <w:drawing>
                <wp:inline distT="0" distB="0" distL="0" distR="0" wp14:anchorId="5D10E5E0" wp14:editId="44962FBD">
                  <wp:extent cx="2869982" cy="1872000"/>
                  <wp:effectExtent l="0" t="0" r="698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9982" cy="1872000"/>
                          </a:xfrm>
                          <a:prstGeom prst="rect">
                            <a:avLst/>
                          </a:prstGeom>
                          <a:noFill/>
                        </pic:spPr>
                      </pic:pic>
                    </a:graphicData>
                  </a:graphic>
                </wp:inline>
              </w:drawing>
            </w:r>
          </w:p>
        </w:tc>
        <w:tc>
          <w:tcPr>
            <w:tcW w:w="4612" w:type="dxa"/>
            <w:tcMar>
              <w:top w:w="113" w:type="dxa"/>
              <w:bottom w:w="113" w:type="dxa"/>
            </w:tcMar>
          </w:tcPr>
          <w:p w14:paraId="3CD7583D" w14:textId="15FBFBCF" w:rsidR="00CD4559" w:rsidRPr="00C6165A" w:rsidRDefault="00220B64" w:rsidP="00CD4559">
            <w:pPr>
              <w:rPr>
                <w:highlight w:val="yellow"/>
              </w:rPr>
            </w:pPr>
            <w:r w:rsidRPr="00C6165A">
              <w:rPr>
                <w:noProof/>
              </w:rPr>
              <w:drawing>
                <wp:inline distT="0" distB="0" distL="0" distR="0" wp14:anchorId="3DF04BC5" wp14:editId="39D2556E">
                  <wp:extent cx="2869983" cy="1872000"/>
                  <wp:effectExtent l="0" t="0" r="698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9983" cy="1872000"/>
                          </a:xfrm>
                          <a:prstGeom prst="rect">
                            <a:avLst/>
                          </a:prstGeom>
                          <a:noFill/>
                        </pic:spPr>
                      </pic:pic>
                    </a:graphicData>
                  </a:graphic>
                </wp:inline>
              </w:drawing>
            </w:r>
          </w:p>
        </w:tc>
      </w:tr>
      <w:tr w:rsidR="00211168" w:rsidRPr="00C6165A" w14:paraId="35B3678D" w14:textId="77777777" w:rsidTr="00E41B00">
        <w:trPr>
          <w:trHeight w:val="110"/>
          <w:jc w:val="center"/>
        </w:trPr>
        <w:tc>
          <w:tcPr>
            <w:tcW w:w="9225" w:type="dxa"/>
            <w:gridSpan w:val="2"/>
            <w:tcMar>
              <w:top w:w="0" w:type="dxa"/>
              <w:bottom w:w="28" w:type="dxa"/>
            </w:tcMar>
          </w:tcPr>
          <w:p w14:paraId="408E7F38" w14:textId="3E54963D" w:rsidR="00F043E7" w:rsidRPr="00C6165A" w:rsidRDefault="00F043E7" w:rsidP="00E41B00">
            <w:pPr>
              <w:tabs>
                <w:tab w:val="left" w:pos="5415"/>
              </w:tabs>
              <w:rPr>
                <w:b/>
              </w:rPr>
            </w:pPr>
            <w:r w:rsidRPr="00C6165A">
              <w:rPr>
                <w:sz w:val="18"/>
                <w:szCs w:val="18"/>
                <w:lang w:eastAsia="es-ES"/>
              </w:rPr>
              <w:t>Fuente: Elaboración propia a partir de datos del Observatorio de precios de los productos agrícolas y ganaderos de Castilla y León</w:t>
            </w:r>
          </w:p>
        </w:tc>
      </w:tr>
    </w:tbl>
    <w:p w14:paraId="2D67A5C9" w14:textId="77777777" w:rsidR="00E41B00" w:rsidRPr="00C6165A" w:rsidRDefault="00E41B00" w:rsidP="00AA49C3">
      <w:pPr>
        <w:tabs>
          <w:tab w:val="left" w:pos="5415"/>
        </w:tabs>
        <w:rPr>
          <w:b/>
        </w:rPr>
      </w:pPr>
    </w:p>
    <w:p w14:paraId="0621650D" w14:textId="77777777" w:rsidR="00905852" w:rsidRPr="00C6165A" w:rsidRDefault="00905852" w:rsidP="00AA49C3">
      <w:pPr>
        <w:tabs>
          <w:tab w:val="left" w:pos="5415"/>
        </w:tabs>
        <w:rPr>
          <w:b/>
        </w:rPr>
      </w:pPr>
    </w:p>
    <w:p w14:paraId="0CBBB2D0" w14:textId="63EFEB43" w:rsidR="00AA49C3" w:rsidRPr="00C6165A" w:rsidRDefault="00AA49C3" w:rsidP="00AA49C3">
      <w:pPr>
        <w:tabs>
          <w:tab w:val="left" w:pos="5415"/>
        </w:tabs>
        <w:rPr>
          <w:b/>
        </w:rPr>
      </w:pPr>
      <w:r w:rsidRPr="00C6165A">
        <w:rPr>
          <w:b/>
        </w:rPr>
        <w:t>Maíz</w:t>
      </w:r>
    </w:p>
    <w:p w14:paraId="17C790AF" w14:textId="2BF131FC" w:rsidR="00AA49C3" w:rsidRPr="00C6165A" w:rsidRDefault="00AA49C3" w:rsidP="00AA49C3"/>
    <w:p w14:paraId="5E06491D" w14:textId="4ED1E3CC" w:rsidR="00AA49C3" w:rsidRPr="00C6165A" w:rsidRDefault="00AA49C3" w:rsidP="00AA49C3">
      <w:r w:rsidRPr="00C6165A">
        <w:t xml:space="preserve">En esta campaña se han sembrado en nuestra comunidad autónoma </w:t>
      </w:r>
      <w:r w:rsidR="00220B64" w:rsidRPr="00C6165A">
        <w:t>108.612</w:t>
      </w:r>
      <w:r w:rsidR="00C53AC7" w:rsidRPr="00C6165A">
        <w:t xml:space="preserve"> </w:t>
      </w:r>
      <w:r w:rsidRPr="00C6165A">
        <w:t xml:space="preserve">hectáreas de maíz, una superficie </w:t>
      </w:r>
      <w:r w:rsidR="00E41B00" w:rsidRPr="00C6165A">
        <w:t>11% meno</w:t>
      </w:r>
      <w:r w:rsidRPr="00C6165A">
        <w:t>r a la del año anterior</w:t>
      </w:r>
      <w:r w:rsidR="00D52620" w:rsidRPr="00C6165A">
        <w:t>,</w:t>
      </w:r>
      <w:r w:rsidR="00B81602" w:rsidRPr="00C6165A">
        <w:t xml:space="preserve"> </w:t>
      </w:r>
      <w:r w:rsidRPr="00C6165A">
        <w:t xml:space="preserve">con una estimación de producción de </w:t>
      </w:r>
      <w:r w:rsidR="00E41B00" w:rsidRPr="00C6165A">
        <w:t>1.323.407</w:t>
      </w:r>
      <w:r w:rsidR="00D52620" w:rsidRPr="00C6165A">
        <w:t xml:space="preserve"> </w:t>
      </w:r>
      <w:r w:rsidRPr="00C6165A">
        <w:t xml:space="preserve">toneladas, que supone </w:t>
      </w:r>
      <w:r w:rsidR="00E41B00" w:rsidRPr="00C6165A">
        <w:t>una disminución del 15,79%</w:t>
      </w:r>
      <w:r w:rsidRPr="00C6165A">
        <w:t xml:space="preserve"> </w:t>
      </w:r>
      <w:r w:rsidR="00905852" w:rsidRPr="00C6165A">
        <w:t xml:space="preserve">respecto a la </w:t>
      </w:r>
      <w:r w:rsidRPr="00C6165A">
        <w:t>pasada campaña.</w:t>
      </w:r>
    </w:p>
    <w:p w14:paraId="1552315D" w14:textId="77777777" w:rsidR="009A6892" w:rsidRPr="00C6165A" w:rsidRDefault="009A6892" w:rsidP="00AA49C3"/>
    <w:p w14:paraId="35C11A80" w14:textId="2A2EE40F" w:rsidR="00786C82" w:rsidRPr="00C6165A" w:rsidRDefault="009A6892" w:rsidP="00AA49C3">
      <w:r w:rsidRPr="00C6165A">
        <w:t>L</w:t>
      </w:r>
      <w:r w:rsidR="00B81602" w:rsidRPr="00C6165A">
        <w:t xml:space="preserve">a cotización de maíz </w:t>
      </w:r>
      <w:r w:rsidRPr="00C6165A">
        <w:t xml:space="preserve">ha seguido una evolución </w:t>
      </w:r>
      <w:r w:rsidR="00ED0AAB" w:rsidRPr="00C6165A">
        <w:t>ascendente a lo largo de todo el año</w:t>
      </w:r>
      <w:r w:rsidRPr="00C6165A">
        <w:t xml:space="preserve">, </w:t>
      </w:r>
      <w:r w:rsidR="00905852" w:rsidRPr="00C6165A">
        <w:t>comenzando con</w:t>
      </w:r>
      <w:r w:rsidRPr="00C6165A">
        <w:t xml:space="preserve"> precios </w:t>
      </w:r>
      <w:r w:rsidR="00905852" w:rsidRPr="00C6165A">
        <w:t xml:space="preserve">muy </w:t>
      </w:r>
      <w:r w:rsidR="00ED0AAB" w:rsidRPr="00C6165A">
        <w:t>superiores</w:t>
      </w:r>
      <w:r w:rsidRPr="00C6165A">
        <w:t xml:space="preserve"> a los de </w:t>
      </w:r>
      <w:r w:rsidR="00ED0AAB" w:rsidRPr="00C6165A">
        <w:t>202</w:t>
      </w:r>
      <w:r w:rsidR="00E41B00" w:rsidRPr="00C6165A">
        <w:t>1</w:t>
      </w:r>
      <w:r w:rsidR="00905852" w:rsidRPr="00C6165A">
        <w:t xml:space="preserve"> y</w:t>
      </w:r>
      <w:r w:rsidR="00753CD1" w:rsidRPr="00C6165A">
        <w:t xml:space="preserve"> </w:t>
      </w:r>
      <w:r w:rsidR="00E41B00" w:rsidRPr="00C6165A">
        <w:t>presentando una importante subida en el mes de marzo</w:t>
      </w:r>
      <w:r w:rsidR="00905852" w:rsidRPr="00C6165A">
        <w:t>. El cultivo ha a</w:t>
      </w:r>
      <w:r w:rsidR="00753CD1" w:rsidRPr="00C6165A">
        <w:t xml:space="preserve">lcanzado el precio máximo </w:t>
      </w:r>
      <w:r w:rsidR="00905852" w:rsidRPr="00C6165A">
        <w:t xml:space="preserve">en </w:t>
      </w:r>
      <w:r w:rsidR="00E41B00" w:rsidRPr="00C6165A">
        <w:t>los meses de mayo y junio, con valores de</w:t>
      </w:r>
      <w:r w:rsidR="00B06680" w:rsidRPr="00C6165A">
        <w:t xml:space="preserve"> </w:t>
      </w:r>
      <w:r w:rsidR="00E41B00" w:rsidRPr="00C6165A">
        <w:t>hasta 365</w:t>
      </w:r>
      <w:r w:rsidR="00B06680" w:rsidRPr="00C6165A">
        <w:t xml:space="preserve"> euros por tonelada, un </w:t>
      </w:r>
      <w:r w:rsidR="00CD3102" w:rsidRPr="00C6165A">
        <w:t>4</w:t>
      </w:r>
      <w:r w:rsidR="00E41B00" w:rsidRPr="00C6165A">
        <w:t>5,4</w:t>
      </w:r>
      <w:r w:rsidR="00154C4C" w:rsidRPr="00C6165A">
        <w:t>%</w:t>
      </w:r>
      <w:r w:rsidR="00B06680" w:rsidRPr="00C6165A">
        <w:t xml:space="preserve"> superior al del año pasado.</w:t>
      </w:r>
      <w:r w:rsidR="00753CD1" w:rsidRPr="00C6165A">
        <w:t xml:space="preserve"> </w:t>
      </w:r>
    </w:p>
    <w:p w14:paraId="0CB40581" w14:textId="36AEE74D" w:rsidR="00AA49C3" w:rsidRPr="00C6165A" w:rsidRDefault="00B472AF" w:rsidP="00B472AF">
      <w:pPr>
        <w:jc w:val="center"/>
      </w:pPr>
      <w:r w:rsidRPr="00C6165A">
        <w:rPr>
          <w:noProof/>
        </w:rPr>
        <w:drawing>
          <wp:inline distT="0" distB="0" distL="0" distR="0" wp14:anchorId="6EEC5434" wp14:editId="335D5C91">
            <wp:extent cx="3525635" cy="2304000"/>
            <wp:effectExtent l="0" t="0" r="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5635" cy="2304000"/>
                    </a:xfrm>
                    <a:prstGeom prst="rect">
                      <a:avLst/>
                    </a:prstGeom>
                    <a:noFill/>
                  </pic:spPr>
                </pic:pic>
              </a:graphicData>
            </a:graphic>
          </wp:inline>
        </w:drawing>
      </w:r>
    </w:p>
    <w:p w14:paraId="5220F9D9" w14:textId="77777777" w:rsidR="00AA49C3" w:rsidRPr="00C6165A" w:rsidRDefault="00AA49C3" w:rsidP="00AA49C3">
      <w:pPr>
        <w:spacing w:before="120" w:after="60"/>
        <w:jc w:val="center"/>
        <w:rPr>
          <w:sz w:val="16"/>
          <w:szCs w:val="16"/>
          <w:lang w:eastAsia="es-ES"/>
        </w:rPr>
      </w:pPr>
      <w:r w:rsidRPr="00C6165A">
        <w:rPr>
          <w:sz w:val="16"/>
          <w:szCs w:val="16"/>
          <w:lang w:eastAsia="es-ES"/>
        </w:rPr>
        <w:t>Fuente: Elaboración propia a partir de datos del Observatorio de precios de los productos agrícolas y ganaderos de Castilla y León</w:t>
      </w:r>
    </w:p>
    <w:p w14:paraId="561DD146" w14:textId="6407438B" w:rsidR="00AA49C3" w:rsidRPr="00C6165A" w:rsidRDefault="00AA49C3" w:rsidP="00AA49C3"/>
    <w:p w14:paraId="17E18B97" w14:textId="77777777" w:rsidR="004C3306" w:rsidRPr="00C6165A" w:rsidRDefault="004C3306" w:rsidP="00AA49C3"/>
    <w:p w14:paraId="50F2434B" w14:textId="7C9D9B63" w:rsidR="00AA49C3" w:rsidRPr="00C6165A" w:rsidRDefault="00AA49C3" w:rsidP="00AA49C3">
      <w:pPr>
        <w:rPr>
          <w:b/>
        </w:rPr>
      </w:pPr>
      <w:r w:rsidRPr="00C6165A">
        <w:rPr>
          <w:b/>
        </w:rPr>
        <w:t>Remolacha</w:t>
      </w:r>
      <w:bookmarkStart w:id="3" w:name="remolacha"/>
      <w:bookmarkEnd w:id="3"/>
    </w:p>
    <w:p w14:paraId="790C7E6B" w14:textId="77777777" w:rsidR="00AA49C3" w:rsidRPr="00C6165A" w:rsidRDefault="00AA49C3" w:rsidP="00AA49C3"/>
    <w:p w14:paraId="23BA222D" w14:textId="247688DB" w:rsidR="00700CE9" w:rsidRPr="00C6165A" w:rsidRDefault="009D0D84" w:rsidP="00700CE9">
      <w:r w:rsidRPr="00C6165A">
        <w:t>La</w:t>
      </w:r>
      <w:r w:rsidR="00D52620" w:rsidRPr="00C6165A">
        <w:t xml:space="preserve"> campaña </w:t>
      </w:r>
      <w:r w:rsidR="007B3440" w:rsidRPr="00C6165A">
        <w:t xml:space="preserve">2021/2022 </w:t>
      </w:r>
      <w:r w:rsidRPr="00C6165A">
        <w:t xml:space="preserve">en la </w:t>
      </w:r>
      <w:r w:rsidR="00CC7FA4" w:rsidRPr="00C6165A">
        <w:t>Z</w:t>
      </w:r>
      <w:r w:rsidRPr="00C6165A">
        <w:t xml:space="preserve">ona </w:t>
      </w:r>
      <w:r w:rsidR="00CC7FA4" w:rsidRPr="00C6165A">
        <w:t>N</w:t>
      </w:r>
      <w:r w:rsidRPr="00C6165A">
        <w:t>orte</w:t>
      </w:r>
      <w:r w:rsidR="00700CE9" w:rsidRPr="00C6165A">
        <w:t xml:space="preserve"> </w:t>
      </w:r>
      <w:r w:rsidR="007B3440">
        <w:t>tuvo</w:t>
      </w:r>
      <w:r w:rsidRPr="00C6165A">
        <w:t xml:space="preserve"> una duración de más de 150 días, </w:t>
      </w:r>
      <w:r w:rsidR="007B3440">
        <w:t>d</w:t>
      </w:r>
      <w:r w:rsidRPr="00C6165A">
        <w:t xml:space="preserve">el 4 de octubre de 2021 </w:t>
      </w:r>
      <w:r w:rsidR="007B3440">
        <w:t xml:space="preserve">que empezó </w:t>
      </w:r>
      <w:r w:rsidRPr="00C6165A">
        <w:t>la recepción de remolacha en</w:t>
      </w:r>
      <w:r w:rsidR="00CC7FA4" w:rsidRPr="00C6165A">
        <w:t xml:space="preserve"> Olmedo (</w:t>
      </w:r>
      <w:r w:rsidRPr="00C6165A">
        <w:t>ACOR</w:t>
      </w:r>
      <w:r w:rsidR="00CC7FA4" w:rsidRPr="00C6165A">
        <w:t>)</w:t>
      </w:r>
      <w:r w:rsidR="007B3440">
        <w:t xml:space="preserve"> hasta </w:t>
      </w:r>
      <w:r w:rsidRPr="00C6165A">
        <w:t xml:space="preserve">el 8 de marzo de 2022 </w:t>
      </w:r>
      <w:r w:rsidR="007B3440">
        <w:t xml:space="preserve">que cerró </w:t>
      </w:r>
      <w:r w:rsidRPr="00C6165A">
        <w:t>la fábrica de La Bañeza (Azucarera).</w:t>
      </w:r>
      <w:r w:rsidR="00D52620" w:rsidRPr="00C6165A">
        <w:t xml:space="preserve"> </w:t>
      </w:r>
      <w:r w:rsidR="007B3440">
        <w:t xml:space="preserve">Se recogieron </w:t>
      </w:r>
      <w:r w:rsidR="00700CE9" w:rsidRPr="00C6165A">
        <w:t>1.926.293 t de remolacha líquida</w:t>
      </w:r>
      <w:r w:rsidR="007B3440">
        <w:t xml:space="preserve"> en la Zona Norte</w:t>
      </w:r>
      <w:r w:rsidR="00700CE9" w:rsidRPr="00C6165A">
        <w:t>, que equivalen a 2.147.620 t de remolacha estandarizada.</w:t>
      </w:r>
    </w:p>
    <w:p w14:paraId="3AF3D8C4" w14:textId="096AE4A2" w:rsidR="005D3846" w:rsidRPr="00C6165A" w:rsidRDefault="005D3846" w:rsidP="005D3846">
      <w:r w:rsidRPr="00C6165A">
        <w:t xml:space="preserve">Productivamente se contabilizaron de media en torno a 102 toneladas líquidas por hectárea con una riqueza media de 17,67 º polarimétricos, aumentando la productividad en 10 puntos respecto al periodo anterior y manteniéndose una riqueza similar. En remolacha estándar se obtuvieron 113,4 toneladas tipo por hectárea, </w:t>
      </w:r>
      <w:r w:rsidR="00CC7FA4" w:rsidRPr="00C6165A">
        <w:t>valor muy cercano al de</w:t>
      </w:r>
      <w:r w:rsidRPr="00C6165A">
        <w:t xml:space="preserve"> la campaña anterior.</w:t>
      </w:r>
    </w:p>
    <w:p w14:paraId="5E6F75B4" w14:textId="7E3DE780" w:rsidR="0013033D" w:rsidRPr="00C6165A" w:rsidRDefault="0013033D" w:rsidP="00D52620">
      <w:r w:rsidRPr="00C6165A">
        <w:t xml:space="preserve">Respecto a la </w:t>
      </w:r>
      <w:r w:rsidR="00AB2547">
        <w:t>campaña actual</w:t>
      </w:r>
      <w:r w:rsidR="00DF6761">
        <w:t xml:space="preserve"> 2022/2023</w:t>
      </w:r>
      <w:r w:rsidR="00AB2547">
        <w:t xml:space="preserve">, la </w:t>
      </w:r>
      <w:r w:rsidRPr="00C6165A">
        <w:t>superficie contratada</w:t>
      </w:r>
      <w:r w:rsidR="00AB2547">
        <w:t xml:space="preserve"> en la Zona Norte asciende a</w:t>
      </w:r>
      <w:r w:rsidR="00DF6761" w:rsidRPr="00DF6761">
        <w:t xml:space="preserve"> </w:t>
      </w:r>
      <w:r w:rsidR="00DF6761">
        <w:t>16.880 ha,</w:t>
      </w:r>
      <w:r w:rsidR="00AB2547">
        <w:t xml:space="preserve"> </w:t>
      </w:r>
      <w:r w:rsidRPr="00C6165A">
        <w:t xml:space="preserve">el </w:t>
      </w:r>
      <w:r w:rsidR="00DF6761">
        <w:t>88</w:t>
      </w:r>
      <w:r w:rsidRPr="00C6165A">
        <w:t>% en Castilla y León</w:t>
      </w:r>
      <w:r w:rsidR="00A145BF">
        <w:t xml:space="preserve"> (14.854 has)</w:t>
      </w:r>
      <w:r w:rsidR="00DF6761">
        <w:t xml:space="preserve">. La </w:t>
      </w:r>
      <w:r w:rsidR="00B100FA">
        <w:t xml:space="preserve">caída de las </w:t>
      </w:r>
      <w:r w:rsidR="00DF6761">
        <w:t>siembra</w:t>
      </w:r>
      <w:r w:rsidR="00B100FA">
        <w:t>s en Castilla y León de</w:t>
      </w:r>
      <w:r w:rsidR="00DF6761">
        <w:t xml:space="preserve"> </w:t>
      </w:r>
      <w:r w:rsidR="00A145BF">
        <w:t>más de 4.000</w:t>
      </w:r>
      <w:r w:rsidR="00DF6761">
        <w:t xml:space="preserve"> has supone una bajada del </w:t>
      </w:r>
      <w:r w:rsidR="00A145BF">
        <w:t>2</w:t>
      </w:r>
      <w:r w:rsidR="00DF6761">
        <w:t>1,</w:t>
      </w:r>
      <w:r w:rsidR="00A145BF">
        <w:t>6</w:t>
      </w:r>
      <w:r w:rsidR="00DF6761">
        <w:t xml:space="preserve">% respecto al período anterior y </w:t>
      </w:r>
      <w:r w:rsidR="005D3846" w:rsidRPr="00C6165A">
        <w:t>comparad</w:t>
      </w:r>
      <w:r w:rsidR="00331ED7" w:rsidRPr="00C6165A">
        <w:t>o</w:t>
      </w:r>
      <w:r w:rsidR="005D3846" w:rsidRPr="00C6165A">
        <w:t xml:space="preserve"> </w:t>
      </w:r>
      <w:r w:rsidR="00B100FA">
        <w:t>con la superficie regional de</w:t>
      </w:r>
      <w:r w:rsidR="005D3846" w:rsidRPr="00C6165A">
        <w:t xml:space="preserve"> la última campaña normal en 2018</w:t>
      </w:r>
      <w:r w:rsidR="00331ED7" w:rsidRPr="00C6165A">
        <w:t>,</w:t>
      </w:r>
      <w:r w:rsidR="005D3846" w:rsidRPr="00C6165A">
        <w:t xml:space="preserve"> </w:t>
      </w:r>
      <w:r w:rsidR="00331ED7" w:rsidRPr="00C6165A">
        <w:t>supone una disminución de superficie de casi el 40%.</w:t>
      </w:r>
    </w:p>
    <w:p w14:paraId="4CE66457" w14:textId="27590510" w:rsidR="00CD503D" w:rsidRDefault="00CD503D" w:rsidP="00D52620">
      <w:r>
        <w:t xml:space="preserve">La bajada interanual de superficie </w:t>
      </w:r>
      <w:r w:rsidR="005270F4" w:rsidRPr="00C6165A">
        <w:t>está motiva</w:t>
      </w:r>
      <w:r>
        <w:t>da por</w:t>
      </w:r>
      <w:r w:rsidR="005270F4" w:rsidRPr="00C6165A">
        <w:t xml:space="preserve"> el aumento de los costes de </w:t>
      </w:r>
      <w:r w:rsidR="00700CE9" w:rsidRPr="00C6165A">
        <w:t>producción</w:t>
      </w:r>
      <w:r w:rsidR="005270F4" w:rsidRPr="00C6165A">
        <w:t xml:space="preserve">, como la luz, los combustibles y fertilizantes que aun respaldados por las ayudas directas que se han concedido para el riego con aguas subterráneas, no son suficientes. </w:t>
      </w:r>
      <w:r>
        <w:t xml:space="preserve">Si bien la crisis desde 2018 proviene de la bajada unilateral de los precios de la remolacha pagados por la industria y el fin de los Acuerdos Marco Interprofesionales que ofrecían unas condiciones de estabilidad a medio y largo plazo que ahora no tiene. </w:t>
      </w:r>
    </w:p>
    <w:p w14:paraId="07D24F5E" w14:textId="2DD9CF51" w:rsidR="00700CE9" w:rsidRPr="00C6165A" w:rsidRDefault="00700CE9" w:rsidP="00186A9C">
      <w:r w:rsidRPr="00C6165A">
        <w:t xml:space="preserve">En este momento la comunidad está en plena campaña de recolección, iniciada </w:t>
      </w:r>
      <w:r w:rsidR="00186A9C" w:rsidRPr="00C6165A">
        <w:t xml:space="preserve">el 3 de octubre de 2022 </w:t>
      </w:r>
      <w:r w:rsidRPr="00C6165A">
        <w:t xml:space="preserve">con la apertura de la fábrica de </w:t>
      </w:r>
      <w:r w:rsidR="00186A9C" w:rsidRPr="00C6165A">
        <w:t>Toro (Azucarera), seguida</w:t>
      </w:r>
      <w:r w:rsidRPr="00C6165A">
        <w:t xml:space="preserve"> de </w:t>
      </w:r>
      <w:r w:rsidR="00186A9C" w:rsidRPr="00C6165A">
        <w:t>la apertura de Olmedo (ACOR) el 20 de octubre.</w:t>
      </w:r>
    </w:p>
    <w:p w14:paraId="379E323D" w14:textId="77777777" w:rsidR="00700CE9" w:rsidRPr="00C6165A" w:rsidRDefault="00700CE9" w:rsidP="00700CE9">
      <w:r w:rsidRPr="00C6165A">
        <w:t>Las previsiones apuntan a buenos resultados de riqueza en azúcar, aunque las</w:t>
      </w:r>
    </w:p>
    <w:p w14:paraId="159873F1" w14:textId="4CCF3310" w:rsidR="00700CE9" w:rsidRPr="00C6165A" w:rsidRDefault="00700CE9" w:rsidP="00186A9C">
      <w:r w:rsidRPr="00C6165A">
        <w:t xml:space="preserve">raíces podrían tener pesos ligeramente inferiores a los de otras campañas </w:t>
      </w:r>
      <w:r w:rsidR="00186A9C" w:rsidRPr="00C6165A">
        <w:t xml:space="preserve">debido a que el ciclo de cultivo ha sido </w:t>
      </w:r>
      <w:r w:rsidRPr="00C6165A">
        <w:t>más</w:t>
      </w:r>
      <w:r w:rsidR="00186A9C" w:rsidRPr="00C6165A">
        <w:t xml:space="preserve"> </w:t>
      </w:r>
      <w:r w:rsidRPr="00C6165A">
        <w:t>corto de lo habitual</w:t>
      </w:r>
      <w:r w:rsidR="00186A9C" w:rsidRPr="00C6165A">
        <w:t>. Las siembras se retrasaron debido a las lluvias y las heladas de abril obligaron a realizar resiembras en algunas zonas.</w:t>
      </w:r>
      <w:r w:rsidRPr="00C6165A">
        <w:t xml:space="preserve"> </w:t>
      </w:r>
      <w:r w:rsidR="00186A9C" w:rsidRPr="00C6165A">
        <w:t>Asimismo, las temperaturas extremas del verano y los problemas que ha habido con la disponibilidad del agua de riego tampoco han ayudado al óptimo desarrollo del cultivo. Sin embargo, sanitariamente no se han detectado problemas graves</w:t>
      </w:r>
      <w:r w:rsidR="00CD503D">
        <w:t xml:space="preserve"> y el otoño ha sido benigno climatológicamente</w:t>
      </w:r>
      <w:r w:rsidR="00691148">
        <w:t>. La incesante lluvia caída en los últimos meses del año está obligando a retrasar la apertura de alguna fábrica e incluso al cierre temporal por no poder arrancarse la remolacha en el campo.</w:t>
      </w:r>
    </w:p>
    <w:p w14:paraId="0B350A72" w14:textId="77777777" w:rsidR="00CD503D" w:rsidRPr="00C6165A" w:rsidRDefault="00CD503D" w:rsidP="00CD503D">
      <w:r>
        <w:t>Desde hace unos meses el precio del azúcar en los mercados se ha disparado,</w:t>
      </w:r>
      <w:r w:rsidRPr="00C6165A">
        <w:t xml:space="preserve"> </w:t>
      </w:r>
      <w:r>
        <w:t>aumentando</w:t>
      </w:r>
      <w:r w:rsidRPr="00C6165A">
        <w:t xml:space="preserve"> un 42,6%</w:t>
      </w:r>
      <w:r>
        <w:t xml:space="preserve">. ASAJA ha pedido </w:t>
      </w:r>
      <w:r w:rsidRPr="00C6165A">
        <w:t xml:space="preserve">a la industria </w:t>
      </w:r>
      <w:r>
        <w:t xml:space="preserve">que repercuta al agricultor ese incremento haciendo </w:t>
      </w:r>
      <w:r w:rsidRPr="00C6165A">
        <w:t>un reparto justo</w:t>
      </w:r>
      <w:r>
        <w:t xml:space="preserve"> conforme a las nuevas cotizaciones.</w:t>
      </w:r>
    </w:p>
    <w:p w14:paraId="505496E9" w14:textId="77777777" w:rsidR="00516581" w:rsidRPr="00C6165A" w:rsidRDefault="00516581" w:rsidP="00AA49C3">
      <w:pPr>
        <w:rPr>
          <w:b/>
        </w:rPr>
      </w:pPr>
    </w:p>
    <w:p w14:paraId="4CC0B08B" w14:textId="5505888E" w:rsidR="00AA49C3" w:rsidRPr="00C6165A" w:rsidRDefault="00AA49C3" w:rsidP="00AA49C3">
      <w:pPr>
        <w:rPr>
          <w:b/>
        </w:rPr>
      </w:pPr>
      <w:r w:rsidRPr="00C6165A">
        <w:rPr>
          <w:b/>
        </w:rPr>
        <w:t>Patatas</w:t>
      </w:r>
    </w:p>
    <w:p w14:paraId="1741AB9A" w14:textId="77777777" w:rsidR="00AA49C3" w:rsidRPr="00C6165A" w:rsidRDefault="00AA49C3" w:rsidP="00AA49C3"/>
    <w:p w14:paraId="45105523" w14:textId="045DFF86" w:rsidR="00DD4D06" w:rsidRPr="00C6165A" w:rsidRDefault="00953DCF" w:rsidP="00953DCF">
      <w:pPr>
        <w:tabs>
          <w:tab w:val="left" w:pos="1095"/>
        </w:tabs>
      </w:pPr>
      <w:r w:rsidRPr="00C6165A">
        <w:t>La superficie plantada de patata</w:t>
      </w:r>
      <w:r w:rsidR="00186A9C" w:rsidRPr="00C6165A">
        <w:t xml:space="preserve"> en 2022</w:t>
      </w:r>
      <w:r w:rsidRPr="00C6165A">
        <w:t xml:space="preserve"> en Castilla y León ha sido de 16.410 hectáreas, que supone una disminución del 4,25% respecto a la campaña anterior</w:t>
      </w:r>
      <w:r w:rsidR="00DD4D06" w:rsidRPr="00C6165A">
        <w:t xml:space="preserve"> cuando la superficie de patata de la comunidad se situaba en las 17,138 hectáreas.</w:t>
      </w:r>
    </w:p>
    <w:p w14:paraId="19ACCEFD" w14:textId="5FB78192" w:rsidR="00953DCF" w:rsidRPr="00C6165A" w:rsidRDefault="00DD4D06" w:rsidP="00953DCF">
      <w:pPr>
        <w:tabs>
          <w:tab w:val="left" w:pos="1095"/>
        </w:tabs>
      </w:pPr>
      <w:r w:rsidRPr="00C6165A">
        <w:t>Los rendimientos estimados, según las últimas estadísticas oficiales son de 42,68 toneladas por hectárea, inferiores a los 46,7 de la campaña anterior, lo que supondría una producción total de 700.307 toneladas, un 8,6%</w:t>
      </w:r>
      <w:r w:rsidR="00953DCF" w:rsidRPr="00C6165A">
        <w:t xml:space="preserve"> </w:t>
      </w:r>
      <w:r w:rsidRPr="00C6165A">
        <w:t>menos que la campaña anterior y un 20% inferior a la media de los últimos años.</w:t>
      </w:r>
    </w:p>
    <w:p w14:paraId="7F0700EA" w14:textId="5F641D9E" w:rsidR="00DD4D06" w:rsidRPr="00C6165A" w:rsidRDefault="00FF0FDC" w:rsidP="00AA49C3">
      <w:pPr>
        <w:tabs>
          <w:tab w:val="left" w:pos="1095"/>
        </w:tabs>
      </w:pPr>
      <w:r w:rsidRPr="00C6165A">
        <w:t xml:space="preserve">Los precios de la patata en Castilla y León comenzaron su cotización en el mes de julio en torno a los 40 céntimos por kilo, precio un 55% superior al de 2021 en las mismas fechas. La tendencia ha </w:t>
      </w:r>
      <w:r w:rsidR="00186A9C" w:rsidRPr="00C6165A">
        <w:t>s</w:t>
      </w:r>
      <w:r w:rsidRPr="00C6165A">
        <w:t xml:space="preserve">ido </w:t>
      </w:r>
      <w:r w:rsidR="00186A9C" w:rsidRPr="00C6165A">
        <w:t>a la baja</w:t>
      </w:r>
      <w:r w:rsidRPr="00C6165A">
        <w:t xml:space="preserve"> hasta septiembre donde alcanzó su precio más bajo, 31 </w:t>
      </w:r>
      <w:r w:rsidR="00244615" w:rsidRPr="00C6165A">
        <w:t>céntimo</w:t>
      </w:r>
      <w:r w:rsidRPr="00C6165A">
        <w:t>s por kilo. A partir de ese momento se ha producido una subida lenta, llegando a cotizarse el kilo de patata a casi 38 céntimos a finales del mes de octubre.</w:t>
      </w:r>
    </w:p>
    <w:p w14:paraId="002D8770" w14:textId="77777777" w:rsidR="00C02ED4" w:rsidRPr="00C6165A" w:rsidRDefault="00C02ED4" w:rsidP="00AA49C3">
      <w:pPr>
        <w:tabs>
          <w:tab w:val="left" w:pos="1095"/>
        </w:tabs>
      </w:pPr>
    </w:p>
    <w:p w14:paraId="188AF511" w14:textId="518F9289" w:rsidR="002F27CB" w:rsidRPr="00C6165A" w:rsidRDefault="00FF0FDC" w:rsidP="00842DE8">
      <w:pPr>
        <w:tabs>
          <w:tab w:val="left" w:pos="1095"/>
        </w:tabs>
        <w:jc w:val="center"/>
      </w:pPr>
      <w:r w:rsidRPr="00C6165A">
        <w:rPr>
          <w:noProof/>
        </w:rPr>
        <w:drawing>
          <wp:inline distT="0" distB="0" distL="0" distR="0" wp14:anchorId="546CDBF4" wp14:editId="7D400892">
            <wp:extent cx="3541461" cy="2304000"/>
            <wp:effectExtent l="0" t="0" r="1905" b="127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1461" cy="2304000"/>
                    </a:xfrm>
                    <a:prstGeom prst="rect">
                      <a:avLst/>
                    </a:prstGeom>
                    <a:noFill/>
                  </pic:spPr>
                </pic:pic>
              </a:graphicData>
            </a:graphic>
          </wp:inline>
        </w:drawing>
      </w:r>
    </w:p>
    <w:p w14:paraId="25E839FC" w14:textId="77777777" w:rsidR="002323BB" w:rsidRPr="00C6165A" w:rsidRDefault="002323BB" w:rsidP="00842DE8">
      <w:pPr>
        <w:spacing w:before="120" w:after="60"/>
        <w:jc w:val="center"/>
        <w:rPr>
          <w:sz w:val="16"/>
          <w:szCs w:val="16"/>
          <w:lang w:eastAsia="es-ES"/>
        </w:rPr>
      </w:pPr>
      <w:r w:rsidRPr="00C6165A">
        <w:rPr>
          <w:sz w:val="16"/>
          <w:szCs w:val="16"/>
          <w:lang w:eastAsia="es-ES"/>
        </w:rPr>
        <w:t>Fuente: Elaboración propia a partir de datos del Observatorio de precios de los productos agrícolas y ganaderos de Castilla y León</w:t>
      </w:r>
    </w:p>
    <w:p w14:paraId="3814A2E4" w14:textId="77777777" w:rsidR="00186A9C" w:rsidRPr="00C6165A" w:rsidRDefault="00186A9C" w:rsidP="00186A9C">
      <w:pPr>
        <w:tabs>
          <w:tab w:val="left" w:pos="1095"/>
        </w:tabs>
      </w:pPr>
    </w:p>
    <w:p w14:paraId="1E1BCDE8" w14:textId="3E466E86" w:rsidR="00186A9C" w:rsidRPr="00C6165A" w:rsidRDefault="00186A9C" w:rsidP="00186A9C">
      <w:pPr>
        <w:tabs>
          <w:tab w:val="left" w:pos="1095"/>
        </w:tabs>
      </w:pPr>
      <w:r w:rsidRPr="00C6165A">
        <w:t>Respecto a la Organización Interprofesional de la Patata de Castilla y León (OIPACYL) cabe destacar que ha sido seleccionada, junto con otras 5 entidades nacionales, para el desarrollo de un proyecto de promoción europeo en el periodo comprendido entre 2023 y 2025 basado en la sostenibilidad y cuyo objetivo es que las variedades de patata de Castilla y León ganen cuota de mercado en todo el territorio de la Unión Europea. Para llevarlo a cabo se ha concedido una ayuda con un presupuesto de más de un millón de euros cofinanciado al 70% como máximo.</w:t>
      </w:r>
    </w:p>
    <w:p w14:paraId="590543D9" w14:textId="2BB7018B" w:rsidR="00AA49C3" w:rsidRPr="00C6165A" w:rsidRDefault="00186A9C" w:rsidP="00186A9C">
      <w:pPr>
        <w:tabs>
          <w:tab w:val="left" w:pos="1095"/>
        </w:tabs>
      </w:pPr>
      <w:r w:rsidRPr="00C6165A">
        <w:t>Asimismo, la entidad está realizando ensayos de biodegradabilidad de los residuos de patata por variedades y calculando su potencial metanogénico.</w:t>
      </w:r>
    </w:p>
    <w:p w14:paraId="51B233DF" w14:textId="77777777" w:rsidR="00516581" w:rsidRPr="00C6165A" w:rsidRDefault="00516581" w:rsidP="00AA49C3">
      <w:pPr>
        <w:tabs>
          <w:tab w:val="left" w:pos="1095"/>
        </w:tabs>
        <w:rPr>
          <w:b/>
        </w:rPr>
      </w:pPr>
    </w:p>
    <w:p w14:paraId="749AFA8C" w14:textId="19830060" w:rsidR="00AA49C3" w:rsidRPr="00C6165A" w:rsidRDefault="00AA49C3" w:rsidP="00AA49C3">
      <w:pPr>
        <w:tabs>
          <w:tab w:val="left" w:pos="1095"/>
        </w:tabs>
        <w:rPr>
          <w:b/>
        </w:rPr>
      </w:pPr>
      <w:r w:rsidRPr="00C6165A">
        <w:rPr>
          <w:b/>
        </w:rPr>
        <w:t>Leguminosas grano</w:t>
      </w:r>
    </w:p>
    <w:p w14:paraId="788AB9BA" w14:textId="77777777" w:rsidR="00AA49C3" w:rsidRPr="00C6165A" w:rsidRDefault="00AA49C3" w:rsidP="00AA49C3">
      <w:pPr>
        <w:tabs>
          <w:tab w:val="left" w:pos="1095"/>
        </w:tabs>
      </w:pPr>
    </w:p>
    <w:p w14:paraId="383484F4" w14:textId="4353BD75" w:rsidR="001C634D" w:rsidRPr="00C6165A" w:rsidRDefault="00F44BDD" w:rsidP="00AA49C3">
      <w:pPr>
        <w:tabs>
          <w:tab w:val="left" w:pos="1095"/>
        </w:tabs>
      </w:pPr>
      <w:r w:rsidRPr="00C6165A">
        <w:t xml:space="preserve">La superficie total de leguminosas grano cultivada en 2022 fue de 110.496 hectáreas. Esta cifra es un 10,5% superior a la de 2021, cuando </w:t>
      </w:r>
      <w:r w:rsidR="00186A9C" w:rsidRPr="00C6165A">
        <w:t>no se llegó a las 100.000</w:t>
      </w:r>
      <w:r w:rsidRPr="00C6165A">
        <w:t xml:space="preserve"> hectáreas. Sin embargo, la producción ha disminuido considerablemente, se han recogido 88.113 toneladas que suponen una caída del 34,5% respecto a lo obtenido el año anterior. Esta disminución se ha notado principalmente en los cultivos de lentejas, garbanzos, guisantes y vezas.</w:t>
      </w:r>
    </w:p>
    <w:p w14:paraId="20308698" w14:textId="48B4E215" w:rsidR="00AA49C3" w:rsidRPr="00C6165A" w:rsidRDefault="00AA49C3" w:rsidP="00AA49C3">
      <w:pPr>
        <w:tabs>
          <w:tab w:val="left" w:pos="1095"/>
        </w:tabs>
      </w:pPr>
      <w:r w:rsidRPr="00C6165A">
        <w:t xml:space="preserve">En la siguiente tabla se puede ver la evolución de la superficie y producción por cultivos respecto a </w:t>
      </w:r>
      <w:r w:rsidR="00AD1117" w:rsidRPr="00C6165A">
        <w:t>20</w:t>
      </w:r>
      <w:r w:rsidR="00F44BDD" w:rsidRPr="00C6165A">
        <w:t>21</w:t>
      </w:r>
      <w:r w:rsidRPr="00C6165A">
        <w:t>:</w:t>
      </w:r>
    </w:p>
    <w:p w14:paraId="57DA4546" w14:textId="6BA0821E" w:rsidR="0068303F" w:rsidRPr="00C6165A" w:rsidRDefault="0068303F" w:rsidP="00AA49C3">
      <w:pPr>
        <w:tabs>
          <w:tab w:val="left" w:pos="1095"/>
        </w:tabs>
      </w:pP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8"/>
        <w:gridCol w:w="971"/>
        <w:gridCol w:w="1158"/>
        <w:gridCol w:w="1200"/>
        <w:gridCol w:w="936"/>
        <w:gridCol w:w="998"/>
        <w:gridCol w:w="1538"/>
      </w:tblGrid>
      <w:tr w:rsidR="00C6165A" w:rsidRPr="00C6165A" w14:paraId="6B4E1B01" w14:textId="77777777" w:rsidTr="00A35A55">
        <w:trPr>
          <w:trHeight w:val="315"/>
          <w:jc w:val="center"/>
        </w:trPr>
        <w:tc>
          <w:tcPr>
            <w:tcW w:w="1699" w:type="dxa"/>
            <w:tcBorders>
              <w:top w:val="nil"/>
              <w:left w:val="nil"/>
              <w:bottom w:val="nil"/>
              <w:right w:val="single" w:sz="4" w:space="0" w:color="auto"/>
            </w:tcBorders>
            <w:shd w:val="clear" w:color="auto" w:fill="auto"/>
            <w:noWrap/>
            <w:vAlign w:val="center"/>
            <w:hideMark/>
          </w:tcPr>
          <w:p w14:paraId="39CBD8B1" w14:textId="77777777" w:rsidR="0068303F" w:rsidRPr="00C6165A" w:rsidRDefault="0068303F" w:rsidP="0068303F">
            <w:pPr>
              <w:jc w:val="left"/>
              <w:rPr>
                <w:sz w:val="22"/>
                <w:szCs w:val="22"/>
                <w:lang w:eastAsia="es-ES"/>
              </w:rPr>
            </w:pPr>
            <w:r w:rsidRPr="00C6165A">
              <w:rPr>
                <w:sz w:val="22"/>
                <w:szCs w:val="22"/>
                <w:lang w:eastAsia="es-ES"/>
              </w:rPr>
              <w:t> </w:t>
            </w:r>
          </w:p>
        </w:tc>
        <w:tc>
          <w:tcPr>
            <w:tcW w:w="3329" w:type="dxa"/>
            <w:gridSpan w:val="3"/>
            <w:tcBorders>
              <w:left w:val="single" w:sz="4" w:space="0" w:color="auto"/>
            </w:tcBorders>
            <w:shd w:val="clear" w:color="auto" w:fill="auto"/>
            <w:noWrap/>
            <w:vAlign w:val="center"/>
            <w:hideMark/>
          </w:tcPr>
          <w:p w14:paraId="5C44C927" w14:textId="77777777" w:rsidR="0068303F" w:rsidRPr="00C6165A" w:rsidRDefault="0068303F" w:rsidP="0068303F">
            <w:pPr>
              <w:jc w:val="center"/>
              <w:rPr>
                <w:b/>
                <w:bCs/>
                <w:sz w:val="22"/>
                <w:szCs w:val="22"/>
                <w:lang w:eastAsia="es-ES"/>
              </w:rPr>
            </w:pPr>
            <w:r w:rsidRPr="00C6165A">
              <w:rPr>
                <w:b/>
                <w:bCs/>
                <w:sz w:val="22"/>
                <w:szCs w:val="22"/>
                <w:lang w:eastAsia="es-ES"/>
              </w:rPr>
              <w:t>Superficie (ha)</w:t>
            </w:r>
          </w:p>
        </w:tc>
        <w:tc>
          <w:tcPr>
            <w:tcW w:w="3471" w:type="dxa"/>
            <w:gridSpan w:val="3"/>
            <w:shd w:val="clear" w:color="auto" w:fill="auto"/>
            <w:noWrap/>
            <w:vAlign w:val="center"/>
            <w:hideMark/>
          </w:tcPr>
          <w:p w14:paraId="55E5C89D" w14:textId="77777777" w:rsidR="0068303F" w:rsidRPr="00C6165A" w:rsidRDefault="0068303F" w:rsidP="0068303F">
            <w:pPr>
              <w:jc w:val="center"/>
              <w:rPr>
                <w:b/>
                <w:bCs/>
                <w:sz w:val="22"/>
                <w:szCs w:val="22"/>
                <w:lang w:eastAsia="es-ES"/>
              </w:rPr>
            </w:pPr>
            <w:r w:rsidRPr="00C6165A">
              <w:rPr>
                <w:b/>
                <w:bCs/>
                <w:sz w:val="22"/>
                <w:szCs w:val="22"/>
                <w:lang w:eastAsia="es-ES"/>
              </w:rPr>
              <w:t>Producción (t)</w:t>
            </w:r>
          </w:p>
        </w:tc>
      </w:tr>
      <w:tr w:rsidR="00C6165A" w:rsidRPr="00C6165A" w14:paraId="691B16E4" w14:textId="77777777" w:rsidTr="00A35A55">
        <w:trPr>
          <w:trHeight w:val="315"/>
          <w:jc w:val="center"/>
        </w:trPr>
        <w:tc>
          <w:tcPr>
            <w:tcW w:w="1699" w:type="dxa"/>
            <w:tcBorders>
              <w:top w:val="nil"/>
              <w:left w:val="nil"/>
              <w:bottom w:val="single" w:sz="4" w:space="0" w:color="auto"/>
              <w:right w:val="single" w:sz="4" w:space="0" w:color="auto"/>
            </w:tcBorders>
            <w:shd w:val="clear" w:color="auto" w:fill="auto"/>
            <w:noWrap/>
            <w:vAlign w:val="center"/>
            <w:hideMark/>
          </w:tcPr>
          <w:p w14:paraId="2E6EEBC0" w14:textId="77777777" w:rsidR="003C6EF6" w:rsidRPr="00C6165A" w:rsidRDefault="003C6EF6" w:rsidP="003C6EF6">
            <w:pPr>
              <w:jc w:val="left"/>
              <w:rPr>
                <w:sz w:val="22"/>
                <w:szCs w:val="22"/>
                <w:lang w:eastAsia="es-ES"/>
              </w:rPr>
            </w:pPr>
            <w:r w:rsidRPr="00C6165A">
              <w:rPr>
                <w:sz w:val="22"/>
                <w:szCs w:val="22"/>
                <w:lang w:eastAsia="es-ES"/>
              </w:rPr>
              <w:t> </w:t>
            </w:r>
          </w:p>
        </w:tc>
        <w:tc>
          <w:tcPr>
            <w:tcW w:w="971" w:type="dxa"/>
            <w:tcBorders>
              <w:left w:val="single" w:sz="4" w:space="0" w:color="auto"/>
            </w:tcBorders>
            <w:shd w:val="clear" w:color="auto" w:fill="auto"/>
            <w:noWrap/>
            <w:vAlign w:val="center"/>
            <w:hideMark/>
          </w:tcPr>
          <w:p w14:paraId="7056FE49" w14:textId="7FC1D412" w:rsidR="003C6EF6" w:rsidRPr="00C6165A" w:rsidRDefault="00F44BDD" w:rsidP="003C6EF6">
            <w:pPr>
              <w:jc w:val="center"/>
              <w:rPr>
                <w:b/>
                <w:bCs/>
                <w:sz w:val="22"/>
                <w:szCs w:val="22"/>
                <w:lang w:eastAsia="es-ES"/>
              </w:rPr>
            </w:pPr>
            <w:r w:rsidRPr="00C6165A">
              <w:rPr>
                <w:b/>
                <w:bCs/>
                <w:sz w:val="22"/>
                <w:szCs w:val="22"/>
              </w:rPr>
              <w:t>2021</w:t>
            </w:r>
          </w:p>
        </w:tc>
        <w:tc>
          <w:tcPr>
            <w:tcW w:w="1158" w:type="dxa"/>
            <w:shd w:val="clear" w:color="auto" w:fill="auto"/>
            <w:noWrap/>
            <w:vAlign w:val="center"/>
            <w:hideMark/>
          </w:tcPr>
          <w:p w14:paraId="5466390B" w14:textId="673BCB0F" w:rsidR="003C6EF6" w:rsidRPr="00C6165A" w:rsidRDefault="00F44BDD" w:rsidP="003C6EF6">
            <w:pPr>
              <w:jc w:val="center"/>
              <w:rPr>
                <w:b/>
                <w:bCs/>
                <w:sz w:val="22"/>
                <w:szCs w:val="22"/>
                <w:lang w:eastAsia="es-ES"/>
              </w:rPr>
            </w:pPr>
            <w:r w:rsidRPr="00C6165A">
              <w:rPr>
                <w:b/>
                <w:bCs/>
                <w:sz w:val="22"/>
                <w:szCs w:val="22"/>
              </w:rPr>
              <w:t>2022</w:t>
            </w:r>
          </w:p>
        </w:tc>
        <w:tc>
          <w:tcPr>
            <w:tcW w:w="1200" w:type="dxa"/>
            <w:shd w:val="clear" w:color="auto" w:fill="auto"/>
            <w:noWrap/>
            <w:vAlign w:val="center"/>
            <w:hideMark/>
          </w:tcPr>
          <w:p w14:paraId="70A74504" w14:textId="67DFE762" w:rsidR="003C6EF6" w:rsidRPr="00C6165A" w:rsidRDefault="003C6EF6" w:rsidP="003C6EF6">
            <w:pPr>
              <w:jc w:val="center"/>
              <w:rPr>
                <w:b/>
                <w:bCs/>
                <w:sz w:val="22"/>
                <w:szCs w:val="22"/>
                <w:lang w:eastAsia="es-ES"/>
              </w:rPr>
            </w:pPr>
            <w:r w:rsidRPr="00C6165A">
              <w:rPr>
                <w:b/>
                <w:bCs/>
                <w:sz w:val="22"/>
                <w:szCs w:val="22"/>
              </w:rPr>
              <w:t>Variación (%)</w:t>
            </w:r>
          </w:p>
        </w:tc>
        <w:tc>
          <w:tcPr>
            <w:tcW w:w="935" w:type="dxa"/>
            <w:shd w:val="clear" w:color="auto" w:fill="auto"/>
            <w:noWrap/>
            <w:vAlign w:val="center"/>
            <w:hideMark/>
          </w:tcPr>
          <w:p w14:paraId="5C0FAB7A" w14:textId="69A48DD6" w:rsidR="003C6EF6" w:rsidRPr="00C6165A" w:rsidRDefault="00F44BDD" w:rsidP="003C6EF6">
            <w:pPr>
              <w:jc w:val="center"/>
              <w:rPr>
                <w:b/>
                <w:bCs/>
                <w:sz w:val="22"/>
                <w:szCs w:val="22"/>
                <w:lang w:eastAsia="es-ES"/>
              </w:rPr>
            </w:pPr>
            <w:r w:rsidRPr="00C6165A">
              <w:rPr>
                <w:b/>
                <w:bCs/>
                <w:sz w:val="22"/>
                <w:szCs w:val="22"/>
              </w:rPr>
              <w:t>2021</w:t>
            </w:r>
          </w:p>
        </w:tc>
        <w:tc>
          <w:tcPr>
            <w:tcW w:w="998" w:type="dxa"/>
            <w:shd w:val="clear" w:color="auto" w:fill="auto"/>
            <w:noWrap/>
            <w:vAlign w:val="center"/>
            <w:hideMark/>
          </w:tcPr>
          <w:p w14:paraId="60325F6E" w14:textId="4843A5B2" w:rsidR="003C6EF6" w:rsidRPr="00C6165A" w:rsidRDefault="00F44BDD" w:rsidP="003C6EF6">
            <w:pPr>
              <w:jc w:val="center"/>
              <w:rPr>
                <w:b/>
                <w:bCs/>
                <w:sz w:val="22"/>
                <w:szCs w:val="22"/>
                <w:lang w:eastAsia="es-ES"/>
              </w:rPr>
            </w:pPr>
            <w:r w:rsidRPr="00C6165A">
              <w:rPr>
                <w:b/>
                <w:bCs/>
                <w:sz w:val="22"/>
                <w:szCs w:val="22"/>
              </w:rPr>
              <w:t>2022</w:t>
            </w:r>
          </w:p>
        </w:tc>
        <w:tc>
          <w:tcPr>
            <w:tcW w:w="1538" w:type="dxa"/>
            <w:shd w:val="clear" w:color="auto" w:fill="auto"/>
            <w:noWrap/>
            <w:vAlign w:val="center"/>
            <w:hideMark/>
          </w:tcPr>
          <w:p w14:paraId="0783DF53" w14:textId="4337A2D2" w:rsidR="003C6EF6" w:rsidRPr="00C6165A" w:rsidRDefault="003C6EF6" w:rsidP="003C6EF6">
            <w:pPr>
              <w:jc w:val="center"/>
              <w:rPr>
                <w:b/>
                <w:bCs/>
                <w:sz w:val="22"/>
                <w:szCs w:val="22"/>
                <w:lang w:eastAsia="es-ES"/>
              </w:rPr>
            </w:pPr>
            <w:r w:rsidRPr="00C6165A">
              <w:rPr>
                <w:b/>
                <w:bCs/>
                <w:sz w:val="22"/>
                <w:szCs w:val="22"/>
              </w:rPr>
              <w:t>Variación (%)</w:t>
            </w:r>
          </w:p>
        </w:tc>
      </w:tr>
      <w:tr w:rsidR="00C6165A" w:rsidRPr="00C6165A" w14:paraId="617A6622" w14:textId="77777777" w:rsidTr="00A35A55">
        <w:trPr>
          <w:trHeight w:val="315"/>
          <w:jc w:val="center"/>
        </w:trPr>
        <w:tc>
          <w:tcPr>
            <w:tcW w:w="1699" w:type="dxa"/>
            <w:tcBorders>
              <w:top w:val="single" w:sz="4" w:space="0" w:color="auto"/>
            </w:tcBorders>
            <w:shd w:val="clear" w:color="auto" w:fill="auto"/>
            <w:noWrap/>
            <w:vAlign w:val="center"/>
            <w:hideMark/>
          </w:tcPr>
          <w:p w14:paraId="4F4A1B51" w14:textId="77777777" w:rsidR="00F44BDD" w:rsidRPr="00C6165A" w:rsidRDefault="00F44BDD" w:rsidP="00F44BDD">
            <w:pPr>
              <w:jc w:val="left"/>
              <w:rPr>
                <w:sz w:val="22"/>
                <w:szCs w:val="22"/>
                <w:lang w:eastAsia="es-ES"/>
              </w:rPr>
            </w:pPr>
            <w:r w:rsidRPr="00C6165A">
              <w:rPr>
                <w:sz w:val="22"/>
                <w:szCs w:val="22"/>
                <w:lang w:eastAsia="es-ES"/>
              </w:rPr>
              <w:t>Judías secas</w:t>
            </w:r>
          </w:p>
        </w:tc>
        <w:tc>
          <w:tcPr>
            <w:tcW w:w="971" w:type="dxa"/>
            <w:shd w:val="clear" w:color="auto" w:fill="auto"/>
            <w:noWrap/>
            <w:vAlign w:val="center"/>
            <w:hideMark/>
          </w:tcPr>
          <w:p w14:paraId="6906E13E" w14:textId="72DC561E" w:rsidR="00F44BDD" w:rsidRPr="00C6165A" w:rsidRDefault="00F44BDD" w:rsidP="00F44BDD">
            <w:pPr>
              <w:jc w:val="center"/>
              <w:rPr>
                <w:sz w:val="22"/>
                <w:szCs w:val="22"/>
                <w:lang w:eastAsia="es-ES"/>
              </w:rPr>
            </w:pPr>
            <w:r w:rsidRPr="00C6165A">
              <w:rPr>
                <w:sz w:val="22"/>
                <w:szCs w:val="22"/>
              </w:rPr>
              <w:t>4.874</w:t>
            </w:r>
          </w:p>
        </w:tc>
        <w:tc>
          <w:tcPr>
            <w:tcW w:w="1158" w:type="dxa"/>
            <w:shd w:val="clear" w:color="auto" w:fill="auto"/>
            <w:noWrap/>
            <w:vAlign w:val="center"/>
            <w:hideMark/>
          </w:tcPr>
          <w:p w14:paraId="47FBFA2A" w14:textId="3A1A508E" w:rsidR="00F44BDD" w:rsidRPr="00C6165A" w:rsidRDefault="00F44BDD" w:rsidP="00F44BDD">
            <w:pPr>
              <w:jc w:val="center"/>
              <w:rPr>
                <w:sz w:val="22"/>
                <w:szCs w:val="22"/>
                <w:lang w:eastAsia="es-ES"/>
              </w:rPr>
            </w:pPr>
            <w:r w:rsidRPr="00C6165A">
              <w:rPr>
                <w:sz w:val="22"/>
                <w:szCs w:val="22"/>
              </w:rPr>
              <w:t>3.660</w:t>
            </w:r>
          </w:p>
        </w:tc>
        <w:tc>
          <w:tcPr>
            <w:tcW w:w="1200" w:type="dxa"/>
            <w:shd w:val="clear" w:color="auto" w:fill="auto"/>
            <w:noWrap/>
            <w:vAlign w:val="center"/>
            <w:hideMark/>
          </w:tcPr>
          <w:p w14:paraId="28B8F3A7" w14:textId="44416756" w:rsidR="00F44BDD" w:rsidRPr="00C6165A" w:rsidRDefault="00F44BDD" w:rsidP="00F44BDD">
            <w:pPr>
              <w:jc w:val="center"/>
              <w:rPr>
                <w:sz w:val="22"/>
                <w:szCs w:val="22"/>
                <w:lang w:eastAsia="es-ES"/>
              </w:rPr>
            </w:pPr>
            <w:r w:rsidRPr="00C6165A">
              <w:rPr>
                <w:sz w:val="22"/>
                <w:szCs w:val="22"/>
              </w:rPr>
              <w:t>-24,9%</w:t>
            </w:r>
          </w:p>
        </w:tc>
        <w:tc>
          <w:tcPr>
            <w:tcW w:w="935" w:type="dxa"/>
            <w:shd w:val="clear" w:color="auto" w:fill="auto"/>
            <w:noWrap/>
            <w:vAlign w:val="center"/>
            <w:hideMark/>
          </w:tcPr>
          <w:p w14:paraId="5A6811B4" w14:textId="0046AF03" w:rsidR="00F44BDD" w:rsidRPr="00C6165A" w:rsidRDefault="00F44BDD" w:rsidP="00F44BDD">
            <w:pPr>
              <w:jc w:val="center"/>
              <w:rPr>
                <w:sz w:val="22"/>
                <w:szCs w:val="22"/>
                <w:lang w:eastAsia="es-ES"/>
              </w:rPr>
            </w:pPr>
            <w:r w:rsidRPr="00C6165A">
              <w:rPr>
                <w:sz w:val="22"/>
                <w:szCs w:val="22"/>
              </w:rPr>
              <w:t>11.839</w:t>
            </w:r>
          </w:p>
        </w:tc>
        <w:tc>
          <w:tcPr>
            <w:tcW w:w="998" w:type="dxa"/>
            <w:shd w:val="clear" w:color="auto" w:fill="auto"/>
            <w:noWrap/>
            <w:vAlign w:val="center"/>
            <w:hideMark/>
          </w:tcPr>
          <w:p w14:paraId="657BFD88" w14:textId="571AE58F" w:rsidR="00F44BDD" w:rsidRPr="00C6165A" w:rsidRDefault="00F44BDD" w:rsidP="00F44BDD">
            <w:pPr>
              <w:jc w:val="center"/>
              <w:rPr>
                <w:sz w:val="22"/>
                <w:szCs w:val="22"/>
                <w:lang w:eastAsia="es-ES"/>
              </w:rPr>
            </w:pPr>
            <w:r w:rsidRPr="00C6165A">
              <w:rPr>
                <w:sz w:val="22"/>
                <w:szCs w:val="22"/>
              </w:rPr>
              <w:t>6.910</w:t>
            </w:r>
          </w:p>
        </w:tc>
        <w:tc>
          <w:tcPr>
            <w:tcW w:w="1538" w:type="dxa"/>
            <w:shd w:val="clear" w:color="auto" w:fill="auto"/>
            <w:noWrap/>
            <w:vAlign w:val="center"/>
            <w:hideMark/>
          </w:tcPr>
          <w:p w14:paraId="60BA2DC2" w14:textId="29E151D4" w:rsidR="00F44BDD" w:rsidRPr="00C6165A" w:rsidRDefault="00F44BDD" w:rsidP="00F44BDD">
            <w:pPr>
              <w:jc w:val="center"/>
              <w:rPr>
                <w:sz w:val="22"/>
                <w:szCs w:val="22"/>
                <w:lang w:eastAsia="es-ES"/>
              </w:rPr>
            </w:pPr>
            <w:r w:rsidRPr="00C6165A">
              <w:rPr>
                <w:sz w:val="22"/>
                <w:szCs w:val="22"/>
              </w:rPr>
              <w:t>-41,6%</w:t>
            </w:r>
          </w:p>
        </w:tc>
      </w:tr>
      <w:tr w:rsidR="00C6165A" w:rsidRPr="00C6165A" w14:paraId="7D89BFAF" w14:textId="77777777" w:rsidTr="00A35A55">
        <w:trPr>
          <w:trHeight w:val="315"/>
          <w:jc w:val="center"/>
        </w:trPr>
        <w:tc>
          <w:tcPr>
            <w:tcW w:w="1699" w:type="dxa"/>
            <w:shd w:val="clear" w:color="auto" w:fill="auto"/>
            <w:noWrap/>
            <w:vAlign w:val="center"/>
            <w:hideMark/>
          </w:tcPr>
          <w:p w14:paraId="2FAD0D74" w14:textId="77777777" w:rsidR="00F44BDD" w:rsidRPr="00C6165A" w:rsidRDefault="00F44BDD" w:rsidP="00F44BDD">
            <w:pPr>
              <w:jc w:val="left"/>
              <w:rPr>
                <w:sz w:val="22"/>
                <w:szCs w:val="22"/>
                <w:lang w:eastAsia="es-ES"/>
              </w:rPr>
            </w:pPr>
            <w:r w:rsidRPr="00C6165A">
              <w:rPr>
                <w:sz w:val="22"/>
                <w:szCs w:val="22"/>
                <w:lang w:eastAsia="es-ES"/>
              </w:rPr>
              <w:t>Habas secas</w:t>
            </w:r>
          </w:p>
        </w:tc>
        <w:tc>
          <w:tcPr>
            <w:tcW w:w="971" w:type="dxa"/>
            <w:shd w:val="clear" w:color="auto" w:fill="auto"/>
            <w:noWrap/>
            <w:vAlign w:val="center"/>
            <w:hideMark/>
          </w:tcPr>
          <w:p w14:paraId="1CE9F296" w14:textId="0C5370C0" w:rsidR="00F44BDD" w:rsidRPr="00C6165A" w:rsidRDefault="00F44BDD" w:rsidP="00F44BDD">
            <w:pPr>
              <w:jc w:val="center"/>
              <w:rPr>
                <w:sz w:val="22"/>
                <w:szCs w:val="22"/>
                <w:lang w:eastAsia="es-ES"/>
              </w:rPr>
            </w:pPr>
            <w:r w:rsidRPr="00C6165A">
              <w:rPr>
                <w:sz w:val="22"/>
                <w:szCs w:val="22"/>
              </w:rPr>
              <w:t>187</w:t>
            </w:r>
          </w:p>
        </w:tc>
        <w:tc>
          <w:tcPr>
            <w:tcW w:w="1158" w:type="dxa"/>
            <w:shd w:val="clear" w:color="auto" w:fill="auto"/>
            <w:noWrap/>
            <w:vAlign w:val="center"/>
            <w:hideMark/>
          </w:tcPr>
          <w:p w14:paraId="560C16FE" w14:textId="41E3355F" w:rsidR="00F44BDD" w:rsidRPr="00C6165A" w:rsidRDefault="00F44BDD" w:rsidP="00F44BDD">
            <w:pPr>
              <w:jc w:val="center"/>
              <w:rPr>
                <w:sz w:val="22"/>
                <w:szCs w:val="22"/>
                <w:lang w:eastAsia="es-ES"/>
              </w:rPr>
            </w:pPr>
            <w:r w:rsidRPr="00C6165A">
              <w:rPr>
                <w:sz w:val="22"/>
                <w:szCs w:val="22"/>
              </w:rPr>
              <w:t>268</w:t>
            </w:r>
          </w:p>
        </w:tc>
        <w:tc>
          <w:tcPr>
            <w:tcW w:w="1200" w:type="dxa"/>
            <w:shd w:val="clear" w:color="auto" w:fill="auto"/>
            <w:noWrap/>
            <w:vAlign w:val="center"/>
            <w:hideMark/>
          </w:tcPr>
          <w:p w14:paraId="28DAF873" w14:textId="7D1430DD" w:rsidR="00F44BDD" w:rsidRPr="00C6165A" w:rsidRDefault="00F44BDD" w:rsidP="00F44BDD">
            <w:pPr>
              <w:jc w:val="center"/>
              <w:rPr>
                <w:sz w:val="22"/>
                <w:szCs w:val="22"/>
                <w:lang w:eastAsia="es-ES"/>
              </w:rPr>
            </w:pPr>
            <w:r w:rsidRPr="00C6165A">
              <w:rPr>
                <w:sz w:val="22"/>
                <w:szCs w:val="22"/>
              </w:rPr>
              <w:t>43,3%</w:t>
            </w:r>
          </w:p>
        </w:tc>
        <w:tc>
          <w:tcPr>
            <w:tcW w:w="935" w:type="dxa"/>
            <w:shd w:val="clear" w:color="auto" w:fill="auto"/>
            <w:noWrap/>
            <w:vAlign w:val="center"/>
            <w:hideMark/>
          </w:tcPr>
          <w:p w14:paraId="737A1603" w14:textId="40E014AC" w:rsidR="00F44BDD" w:rsidRPr="00C6165A" w:rsidRDefault="00F44BDD" w:rsidP="00F44BDD">
            <w:pPr>
              <w:jc w:val="center"/>
              <w:rPr>
                <w:sz w:val="22"/>
                <w:szCs w:val="22"/>
                <w:lang w:eastAsia="es-ES"/>
              </w:rPr>
            </w:pPr>
            <w:r w:rsidRPr="00C6165A">
              <w:rPr>
                <w:sz w:val="22"/>
                <w:szCs w:val="22"/>
              </w:rPr>
              <w:t>508</w:t>
            </w:r>
          </w:p>
        </w:tc>
        <w:tc>
          <w:tcPr>
            <w:tcW w:w="998" w:type="dxa"/>
            <w:shd w:val="clear" w:color="auto" w:fill="auto"/>
            <w:noWrap/>
            <w:vAlign w:val="center"/>
            <w:hideMark/>
          </w:tcPr>
          <w:p w14:paraId="2DAB60CF" w14:textId="7F612CA3" w:rsidR="00F44BDD" w:rsidRPr="00C6165A" w:rsidRDefault="00F44BDD" w:rsidP="00F44BDD">
            <w:pPr>
              <w:jc w:val="center"/>
              <w:rPr>
                <w:sz w:val="22"/>
                <w:szCs w:val="22"/>
                <w:lang w:eastAsia="es-ES"/>
              </w:rPr>
            </w:pPr>
            <w:r w:rsidRPr="00C6165A">
              <w:rPr>
                <w:sz w:val="22"/>
                <w:szCs w:val="22"/>
              </w:rPr>
              <w:t>481</w:t>
            </w:r>
          </w:p>
        </w:tc>
        <w:tc>
          <w:tcPr>
            <w:tcW w:w="1538" w:type="dxa"/>
            <w:shd w:val="clear" w:color="auto" w:fill="auto"/>
            <w:noWrap/>
            <w:vAlign w:val="center"/>
            <w:hideMark/>
          </w:tcPr>
          <w:p w14:paraId="22ADB872" w14:textId="1CC1A791" w:rsidR="00F44BDD" w:rsidRPr="00C6165A" w:rsidRDefault="00F44BDD" w:rsidP="00F44BDD">
            <w:pPr>
              <w:jc w:val="center"/>
              <w:rPr>
                <w:sz w:val="22"/>
                <w:szCs w:val="22"/>
                <w:lang w:eastAsia="es-ES"/>
              </w:rPr>
            </w:pPr>
            <w:r w:rsidRPr="00C6165A">
              <w:rPr>
                <w:sz w:val="22"/>
                <w:szCs w:val="22"/>
              </w:rPr>
              <w:t>-5,3%</w:t>
            </w:r>
          </w:p>
        </w:tc>
      </w:tr>
      <w:tr w:rsidR="00C6165A" w:rsidRPr="00C6165A" w14:paraId="0163D6AA" w14:textId="77777777" w:rsidTr="00A35A55">
        <w:trPr>
          <w:trHeight w:val="315"/>
          <w:jc w:val="center"/>
        </w:trPr>
        <w:tc>
          <w:tcPr>
            <w:tcW w:w="1699" w:type="dxa"/>
            <w:shd w:val="clear" w:color="auto" w:fill="auto"/>
            <w:noWrap/>
            <w:vAlign w:val="center"/>
            <w:hideMark/>
          </w:tcPr>
          <w:p w14:paraId="288B8759" w14:textId="77777777" w:rsidR="00F44BDD" w:rsidRPr="00C6165A" w:rsidRDefault="00F44BDD" w:rsidP="00F44BDD">
            <w:pPr>
              <w:jc w:val="left"/>
              <w:rPr>
                <w:sz w:val="22"/>
                <w:szCs w:val="22"/>
                <w:lang w:eastAsia="es-ES"/>
              </w:rPr>
            </w:pPr>
            <w:r w:rsidRPr="00C6165A">
              <w:rPr>
                <w:sz w:val="22"/>
                <w:szCs w:val="22"/>
                <w:lang w:eastAsia="es-ES"/>
              </w:rPr>
              <w:t xml:space="preserve">Lentejas </w:t>
            </w:r>
          </w:p>
        </w:tc>
        <w:tc>
          <w:tcPr>
            <w:tcW w:w="971" w:type="dxa"/>
            <w:shd w:val="clear" w:color="auto" w:fill="auto"/>
            <w:noWrap/>
            <w:vAlign w:val="center"/>
            <w:hideMark/>
          </w:tcPr>
          <w:p w14:paraId="0BD43508" w14:textId="77D98D0B" w:rsidR="00F44BDD" w:rsidRPr="00C6165A" w:rsidRDefault="00F44BDD" w:rsidP="00F44BDD">
            <w:pPr>
              <w:jc w:val="center"/>
              <w:rPr>
                <w:sz w:val="22"/>
                <w:szCs w:val="22"/>
                <w:lang w:eastAsia="es-ES"/>
              </w:rPr>
            </w:pPr>
            <w:r w:rsidRPr="00C6165A">
              <w:rPr>
                <w:sz w:val="22"/>
                <w:szCs w:val="22"/>
              </w:rPr>
              <w:t>10.247</w:t>
            </w:r>
          </w:p>
        </w:tc>
        <w:tc>
          <w:tcPr>
            <w:tcW w:w="1158" w:type="dxa"/>
            <w:shd w:val="clear" w:color="auto" w:fill="auto"/>
            <w:noWrap/>
            <w:vAlign w:val="center"/>
            <w:hideMark/>
          </w:tcPr>
          <w:p w14:paraId="67032342" w14:textId="3956924C" w:rsidR="00F44BDD" w:rsidRPr="00C6165A" w:rsidRDefault="00F44BDD" w:rsidP="00F44BDD">
            <w:pPr>
              <w:jc w:val="center"/>
              <w:rPr>
                <w:sz w:val="22"/>
                <w:szCs w:val="22"/>
                <w:lang w:eastAsia="es-ES"/>
              </w:rPr>
            </w:pPr>
            <w:r w:rsidRPr="00C6165A">
              <w:rPr>
                <w:sz w:val="22"/>
                <w:szCs w:val="22"/>
              </w:rPr>
              <w:t>11.614</w:t>
            </w:r>
          </w:p>
        </w:tc>
        <w:tc>
          <w:tcPr>
            <w:tcW w:w="1200" w:type="dxa"/>
            <w:shd w:val="clear" w:color="auto" w:fill="auto"/>
            <w:noWrap/>
            <w:vAlign w:val="center"/>
            <w:hideMark/>
          </w:tcPr>
          <w:p w14:paraId="7E6C9362" w14:textId="66419507" w:rsidR="00F44BDD" w:rsidRPr="00C6165A" w:rsidRDefault="00F44BDD" w:rsidP="00F44BDD">
            <w:pPr>
              <w:jc w:val="center"/>
              <w:rPr>
                <w:sz w:val="22"/>
                <w:szCs w:val="22"/>
                <w:lang w:eastAsia="es-ES"/>
              </w:rPr>
            </w:pPr>
            <w:r w:rsidRPr="00C6165A">
              <w:rPr>
                <w:sz w:val="22"/>
                <w:szCs w:val="22"/>
              </w:rPr>
              <w:t>13,3%</w:t>
            </w:r>
          </w:p>
        </w:tc>
        <w:tc>
          <w:tcPr>
            <w:tcW w:w="935" w:type="dxa"/>
            <w:shd w:val="clear" w:color="auto" w:fill="auto"/>
            <w:noWrap/>
            <w:vAlign w:val="center"/>
            <w:hideMark/>
          </w:tcPr>
          <w:p w14:paraId="265F12D6" w14:textId="62FB3C08" w:rsidR="00F44BDD" w:rsidRPr="00C6165A" w:rsidRDefault="00F44BDD" w:rsidP="00F44BDD">
            <w:pPr>
              <w:jc w:val="center"/>
              <w:rPr>
                <w:sz w:val="22"/>
                <w:szCs w:val="22"/>
                <w:lang w:eastAsia="es-ES"/>
              </w:rPr>
            </w:pPr>
            <w:r w:rsidRPr="00C6165A">
              <w:rPr>
                <w:sz w:val="22"/>
                <w:szCs w:val="22"/>
              </w:rPr>
              <w:t>8.158</w:t>
            </w:r>
          </w:p>
        </w:tc>
        <w:tc>
          <w:tcPr>
            <w:tcW w:w="998" w:type="dxa"/>
            <w:shd w:val="clear" w:color="auto" w:fill="auto"/>
            <w:noWrap/>
            <w:vAlign w:val="center"/>
            <w:hideMark/>
          </w:tcPr>
          <w:p w14:paraId="28625583" w14:textId="00E6AC05" w:rsidR="00F44BDD" w:rsidRPr="00C6165A" w:rsidRDefault="00F44BDD" w:rsidP="00F44BDD">
            <w:pPr>
              <w:jc w:val="center"/>
              <w:rPr>
                <w:sz w:val="22"/>
                <w:szCs w:val="22"/>
                <w:lang w:eastAsia="es-ES"/>
              </w:rPr>
            </w:pPr>
            <w:r w:rsidRPr="00C6165A">
              <w:rPr>
                <w:sz w:val="22"/>
                <w:szCs w:val="22"/>
              </w:rPr>
              <w:t>5.724</w:t>
            </w:r>
          </w:p>
        </w:tc>
        <w:tc>
          <w:tcPr>
            <w:tcW w:w="1538" w:type="dxa"/>
            <w:shd w:val="clear" w:color="auto" w:fill="auto"/>
            <w:noWrap/>
            <w:vAlign w:val="center"/>
            <w:hideMark/>
          </w:tcPr>
          <w:p w14:paraId="5F775E27" w14:textId="45C98F0A" w:rsidR="00F44BDD" w:rsidRPr="00C6165A" w:rsidRDefault="00F44BDD" w:rsidP="00F44BDD">
            <w:pPr>
              <w:jc w:val="center"/>
              <w:rPr>
                <w:sz w:val="22"/>
                <w:szCs w:val="22"/>
                <w:lang w:eastAsia="es-ES"/>
              </w:rPr>
            </w:pPr>
            <w:r w:rsidRPr="00C6165A">
              <w:rPr>
                <w:sz w:val="22"/>
                <w:szCs w:val="22"/>
              </w:rPr>
              <w:t>-29,8%</w:t>
            </w:r>
          </w:p>
        </w:tc>
      </w:tr>
      <w:tr w:rsidR="00C6165A" w:rsidRPr="00C6165A" w14:paraId="02316791" w14:textId="77777777" w:rsidTr="00A35A55">
        <w:trPr>
          <w:trHeight w:val="315"/>
          <w:jc w:val="center"/>
        </w:trPr>
        <w:tc>
          <w:tcPr>
            <w:tcW w:w="1699" w:type="dxa"/>
            <w:shd w:val="clear" w:color="auto" w:fill="auto"/>
            <w:noWrap/>
            <w:vAlign w:val="center"/>
            <w:hideMark/>
          </w:tcPr>
          <w:p w14:paraId="6E2ED8B9" w14:textId="77777777" w:rsidR="00F44BDD" w:rsidRPr="00C6165A" w:rsidRDefault="00F44BDD" w:rsidP="00F44BDD">
            <w:pPr>
              <w:jc w:val="left"/>
              <w:rPr>
                <w:sz w:val="22"/>
                <w:szCs w:val="22"/>
                <w:lang w:eastAsia="es-ES"/>
              </w:rPr>
            </w:pPr>
            <w:r w:rsidRPr="00C6165A">
              <w:rPr>
                <w:sz w:val="22"/>
                <w:szCs w:val="22"/>
                <w:lang w:eastAsia="es-ES"/>
              </w:rPr>
              <w:t>Garbanzos</w:t>
            </w:r>
          </w:p>
        </w:tc>
        <w:tc>
          <w:tcPr>
            <w:tcW w:w="971" w:type="dxa"/>
            <w:shd w:val="clear" w:color="auto" w:fill="auto"/>
            <w:noWrap/>
            <w:vAlign w:val="center"/>
            <w:hideMark/>
          </w:tcPr>
          <w:p w14:paraId="163D2E6B" w14:textId="0278615F" w:rsidR="00F44BDD" w:rsidRPr="00C6165A" w:rsidRDefault="00F44BDD" w:rsidP="00F44BDD">
            <w:pPr>
              <w:jc w:val="center"/>
              <w:rPr>
                <w:sz w:val="22"/>
                <w:szCs w:val="22"/>
                <w:lang w:eastAsia="es-ES"/>
              </w:rPr>
            </w:pPr>
            <w:r w:rsidRPr="00C6165A">
              <w:rPr>
                <w:sz w:val="22"/>
                <w:szCs w:val="22"/>
              </w:rPr>
              <w:t>8.529</w:t>
            </w:r>
          </w:p>
        </w:tc>
        <w:tc>
          <w:tcPr>
            <w:tcW w:w="1158" w:type="dxa"/>
            <w:shd w:val="clear" w:color="auto" w:fill="auto"/>
            <w:noWrap/>
            <w:vAlign w:val="center"/>
            <w:hideMark/>
          </w:tcPr>
          <w:p w14:paraId="442A6B9A" w14:textId="591979DB" w:rsidR="00F44BDD" w:rsidRPr="00C6165A" w:rsidRDefault="00F44BDD" w:rsidP="00F44BDD">
            <w:pPr>
              <w:jc w:val="center"/>
              <w:rPr>
                <w:sz w:val="22"/>
                <w:szCs w:val="22"/>
                <w:lang w:eastAsia="es-ES"/>
              </w:rPr>
            </w:pPr>
            <w:r w:rsidRPr="00C6165A">
              <w:rPr>
                <w:sz w:val="22"/>
                <w:szCs w:val="22"/>
              </w:rPr>
              <w:t>8.118</w:t>
            </w:r>
          </w:p>
        </w:tc>
        <w:tc>
          <w:tcPr>
            <w:tcW w:w="1200" w:type="dxa"/>
            <w:shd w:val="clear" w:color="auto" w:fill="auto"/>
            <w:noWrap/>
            <w:vAlign w:val="center"/>
            <w:hideMark/>
          </w:tcPr>
          <w:p w14:paraId="2A6EDDA5" w14:textId="4B7305D9" w:rsidR="00F44BDD" w:rsidRPr="00C6165A" w:rsidRDefault="00F44BDD" w:rsidP="00F44BDD">
            <w:pPr>
              <w:jc w:val="center"/>
              <w:rPr>
                <w:sz w:val="22"/>
                <w:szCs w:val="22"/>
                <w:lang w:eastAsia="es-ES"/>
              </w:rPr>
            </w:pPr>
            <w:r w:rsidRPr="00C6165A">
              <w:rPr>
                <w:sz w:val="22"/>
                <w:szCs w:val="22"/>
              </w:rPr>
              <w:t>-4,8%</w:t>
            </w:r>
          </w:p>
        </w:tc>
        <w:tc>
          <w:tcPr>
            <w:tcW w:w="935" w:type="dxa"/>
            <w:shd w:val="clear" w:color="auto" w:fill="auto"/>
            <w:noWrap/>
            <w:vAlign w:val="center"/>
            <w:hideMark/>
          </w:tcPr>
          <w:p w14:paraId="7A39CF97" w14:textId="1AE31C28" w:rsidR="00F44BDD" w:rsidRPr="00C6165A" w:rsidRDefault="00F44BDD" w:rsidP="00F44BDD">
            <w:pPr>
              <w:jc w:val="center"/>
              <w:rPr>
                <w:sz w:val="22"/>
                <w:szCs w:val="22"/>
                <w:lang w:eastAsia="es-ES"/>
              </w:rPr>
            </w:pPr>
            <w:r w:rsidRPr="00C6165A">
              <w:rPr>
                <w:sz w:val="22"/>
                <w:szCs w:val="22"/>
              </w:rPr>
              <w:t>7.521</w:t>
            </w:r>
          </w:p>
        </w:tc>
        <w:tc>
          <w:tcPr>
            <w:tcW w:w="998" w:type="dxa"/>
            <w:shd w:val="clear" w:color="auto" w:fill="auto"/>
            <w:noWrap/>
            <w:vAlign w:val="center"/>
            <w:hideMark/>
          </w:tcPr>
          <w:p w14:paraId="16DDCD18" w14:textId="6648E17A" w:rsidR="00F44BDD" w:rsidRPr="00C6165A" w:rsidRDefault="00F44BDD" w:rsidP="00F44BDD">
            <w:pPr>
              <w:jc w:val="center"/>
              <w:rPr>
                <w:sz w:val="22"/>
                <w:szCs w:val="22"/>
                <w:lang w:eastAsia="es-ES"/>
              </w:rPr>
            </w:pPr>
            <w:r w:rsidRPr="00C6165A">
              <w:rPr>
                <w:sz w:val="22"/>
                <w:szCs w:val="22"/>
              </w:rPr>
              <w:t>4.400</w:t>
            </w:r>
          </w:p>
        </w:tc>
        <w:tc>
          <w:tcPr>
            <w:tcW w:w="1538" w:type="dxa"/>
            <w:shd w:val="clear" w:color="auto" w:fill="auto"/>
            <w:noWrap/>
            <w:vAlign w:val="center"/>
            <w:hideMark/>
          </w:tcPr>
          <w:p w14:paraId="5611C14C" w14:textId="166CB864" w:rsidR="00F44BDD" w:rsidRPr="00C6165A" w:rsidRDefault="00F44BDD" w:rsidP="00F44BDD">
            <w:pPr>
              <w:jc w:val="center"/>
              <w:rPr>
                <w:sz w:val="22"/>
                <w:szCs w:val="22"/>
                <w:lang w:eastAsia="es-ES"/>
              </w:rPr>
            </w:pPr>
            <w:r w:rsidRPr="00C6165A">
              <w:rPr>
                <w:sz w:val="22"/>
                <w:szCs w:val="22"/>
              </w:rPr>
              <w:t>-41,5%</w:t>
            </w:r>
          </w:p>
        </w:tc>
      </w:tr>
      <w:tr w:rsidR="00C6165A" w:rsidRPr="00C6165A" w14:paraId="4C8401A5" w14:textId="77777777" w:rsidTr="00A35A55">
        <w:trPr>
          <w:trHeight w:val="315"/>
          <w:jc w:val="center"/>
        </w:trPr>
        <w:tc>
          <w:tcPr>
            <w:tcW w:w="1699" w:type="dxa"/>
            <w:shd w:val="clear" w:color="auto" w:fill="auto"/>
            <w:noWrap/>
            <w:vAlign w:val="center"/>
            <w:hideMark/>
          </w:tcPr>
          <w:p w14:paraId="3C5EC8D1" w14:textId="77777777" w:rsidR="00F44BDD" w:rsidRPr="00C6165A" w:rsidRDefault="00F44BDD" w:rsidP="00F44BDD">
            <w:pPr>
              <w:jc w:val="left"/>
              <w:rPr>
                <w:sz w:val="22"/>
                <w:szCs w:val="22"/>
                <w:lang w:eastAsia="es-ES"/>
              </w:rPr>
            </w:pPr>
            <w:r w:rsidRPr="00C6165A">
              <w:rPr>
                <w:sz w:val="22"/>
                <w:szCs w:val="22"/>
                <w:lang w:eastAsia="es-ES"/>
              </w:rPr>
              <w:t>Guisantes secos</w:t>
            </w:r>
          </w:p>
        </w:tc>
        <w:tc>
          <w:tcPr>
            <w:tcW w:w="971" w:type="dxa"/>
            <w:shd w:val="clear" w:color="auto" w:fill="auto"/>
            <w:noWrap/>
            <w:vAlign w:val="center"/>
            <w:hideMark/>
          </w:tcPr>
          <w:p w14:paraId="1B4ADB0A" w14:textId="1F8E9A81" w:rsidR="00F44BDD" w:rsidRPr="00C6165A" w:rsidRDefault="00F44BDD" w:rsidP="00F44BDD">
            <w:pPr>
              <w:jc w:val="center"/>
              <w:rPr>
                <w:sz w:val="22"/>
                <w:szCs w:val="22"/>
                <w:lang w:eastAsia="es-ES"/>
              </w:rPr>
            </w:pPr>
            <w:r w:rsidRPr="00C6165A">
              <w:rPr>
                <w:sz w:val="22"/>
                <w:szCs w:val="22"/>
              </w:rPr>
              <w:t>36.389</w:t>
            </w:r>
          </w:p>
        </w:tc>
        <w:tc>
          <w:tcPr>
            <w:tcW w:w="1158" w:type="dxa"/>
            <w:shd w:val="clear" w:color="auto" w:fill="auto"/>
            <w:noWrap/>
            <w:vAlign w:val="center"/>
            <w:hideMark/>
          </w:tcPr>
          <w:p w14:paraId="21C1C256" w14:textId="36888599" w:rsidR="00F44BDD" w:rsidRPr="00C6165A" w:rsidRDefault="00F44BDD" w:rsidP="00F44BDD">
            <w:pPr>
              <w:jc w:val="center"/>
              <w:rPr>
                <w:sz w:val="22"/>
                <w:szCs w:val="22"/>
                <w:lang w:eastAsia="es-ES"/>
              </w:rPr>
            </w:pPr>
            <w:r w:rsidRPr="00C6165A">
              <w:rPr>
                <w:sz w:val="22"/>
                <w:szCs w:val="22"/>
              </w:rPr>
              <w:t>42.765</w:t>
            </w:r>
          </w:p>
        </w:tc>
        <w:tc>
          <w:tcPr>
            <w:tcW w:w="1200" w:type="dxa"/>
            <w:shd w:val="clear" w:color="auto" w:fill="auto"/>
            <w:noWrap/>
            <w:vAlign w:val="center"/>
            <w:hideMark/>
          </w:tcPr>
          <w:p w14:paraId="21491D75" w14:textId="196462CF" w:rsidR="00F44BDD" w:rsidRPr="00C6165A" w:rsidRDefault="00F44BDD" w:rsidP="00F44BDD">
            <w:pPr>
              <w:jc w:val="center"/>
              <w:rPr>
                <w:sz w:val="22"/>
                <w:szCs w:val="22"/>
                <w:lang w:eastAsia="es-ES"/>
              </w:rPr>
            </w:pPr>
            <w:r w:rsidRPr="00C6165A">
              <w:rPr>
                <w:sz w:val="22"/>
                <w:szCs w:val="22"/>
              </w:rPr>
              <w:t>17,5%</w:t>
            </w:r>
          </w:p>
        </w:tc>
        <w:tc>
          <w:tcPr>
            <w:tcW w:w="935" w:type="dxa"/>
            <w:shd w:val="clear" w:color="auto" w:fill="auto"/>
            <w:noWrap/>
            <w:vAlign w:val="center"/>
            <w:hideMark/>
          </w:tcPr>
          <w:p w14:paraId="0CFBDE89" w14:textId="26129404" w:rsidR="00F44BDD" w:rsidRPr="00C6165A" w:rsidRDefault="00F44BDD" w:rsidP="00F44BDD">
            <w:pPr>
              <w:jc w:val="center"/>
              <w:rPr>
                <w:sz w:val="22"/>
                <w:szCs w:val="22"/>
                <w:lang w:eastAsia="es-ES"/>
              </w:rPr>
            </w:pPr>
            <w:r w:rsidRPr="00C6165A">
              <w:rPr>
                <w:sz w:val="22"/>
                <w:szCs w:val="22"/>
              </w:rPr>
              <w:t>60.662</w:t>
            </w:r>
          </w:p>
        </w:tc>
        <w:tc>
          <w:tcPr>
            <w:tcW w:w="998" w:type="dxa"/>
            <w:shd w:val="clear" w:color="auto" w:fill="auto"/>
            <w:noWrap/>
            <w:vAlign w:val="center"/>
            <w:hideMark/>
          </w:tcPr>
          <w:p w14:paraId="3594D6C2" w14:textId="724F334D" w:rsidR="00F44BDD" w:rsidRPr="00C6165A" w:rsidRDefault="00F44BDD" w:rsidP="00F44BDD">
            <w:pPr>
              <w:jc w:val="center"/>
              <w:rPr>
                <w:sz w:val="22"/>
                <w:szCs w:val="22"/>
                <w:lang w:eastAsia="es-ES"/>
              </w:rPr>
            </w:pPr>
            <w:r w:rsidRPr="00C6165A">
              <w:rPr>
                <w:sz w:val="22"/>
                <w:szCs w:val="22"/>
              </w:rPr>
              <w:t>41.221</w:t>
            </w:r>
          </w:p>
        </w:tc>
        <w:tc>
          <w:tcPr>
            <w:tcW w:w="1538" w:type="dxa"/>
            <w:shd w:val="clear" w:color="auto" w:fill="auto"/>
            <w:noWrap/>
            <w:vAlign w:val="center"/>
            <w:hideMark/>
          </w:tcPr>
          <w:p w14:paraId="29FF91AA" w14:textId="59A6A741" w:rsidR="00F44BDD" w:rsidRPr="00C6165A" w:rsidRDefault="00F44BDD" w:rsidP="00F44BDD">
            <w:pPr>
              <w:jc w:val="center"/>
              <w:rPr>
                <w:sz w:val="22"/>
                <w:szCs w:val="22"/>
                <w:lang w:eastAsia="es-ES"/>
              </w:rPr>
            </w:pPr>
            <w:r w:rsidRPr="00C6165A">
              <w:rPr>
                <w:sz w:val="22"/>
                <w:szCs w:val="22"/>
              </w:rPr>
              <w:t>-32,0%</w:t>
            </w:r>
          </w:p>
        </w:tc>
      </w:tr>
      <w:tr w:rsidR="00C6165A" w:rsidRPr="00C6165A" w14:paraId="473C10B9" w14:textId="77777777" w:rsidTr="00A35A55">
        <w:trPr>
          <w:trHeight w:val="315"/>
          <w:jc w:val="center"/>
        </w:trPr>
        <w:tc>
          <w:tcPr>
            <w:tcW w:w="1699" w:type="dxa"/>
            <w:shd w:val="clear" w:color="auto" w:fill="auto"/>
            <w:noWrap/>
            <w:vAlign w:val="center"/>
            <w:hideMark/>
          </w:tcPr>
          <w:p w14:paraId="7F3FFD71" w14:textId="77777777" w:rsidR="00F44BDD" w:rsidRPr="00C6165A" w:rsidRDefault="00F44BDD" w:rsidP="00F44BDD">
            <w:pPr>
              <w:jc w:val="left"/>
              <w:rPr>
                <w:sz w:val="22"/>
                <w:szCs w:val="22"/>
                <w:lang w:eastAsia="es-ES"/>
              </w:rPr>
            </w:pPr>
            <w:r w:rsidRPr="00C6165A">
              <w:rPr>
                <w:sz w:val="22"/>
                <w:szCs w:val="22"/>
                <w:lang w:eastAsia="es-ES"/>
              </w:rPr>
              <w:t>Veza</w:t>
            </w:r>
          </w:p>
        </w:tc>
        <w:tc>
          <w:tcPr>
            <w:tcW w:w="971" w:type="dxa"/>
            <w:shd w:val="clear" w:color="auto" w:fill="auto"/>
            <w:noWrap/>
            <w:vAlign w:val="center"/>
            <w:hideMark/>
          </w:tcPr>
          <w:p w14:paraId="54EAC479" w14:textId="2EFCA618" w:rsidR="00F44BDD" w:rsidRPr="00C6165A" w:rsidRDefault="00F44BDD" w:rsidP="00F44BDD">
            <w:pPr>
              <w:jc w:val="center"/>
              <w:rPr>
                <w:sz w:val="22"/>
                <w:szCs w:val="22"/>
                <w:lang w:eastAsia="es-ES"/>
              </w:rPr>
            </w:pPr>
            <w:r w:rsidRPr="00C6165A">
              <w:rPr>
                <w:sz w:val="22"/>
                <w:szCs w:val="22"/>
              </w:rPr>
              <w:t>32.417</w:t>
            </w:r>
          </w:p>
        </w:tc>
        <w:tc>
          <w:tcPr>
            <w:tcW w:w="1158" w:type="dxa"/>
            <w:shd w:val="clear" w:color="auto" w:fill="auto"/>
            <w:noWrap/>
            <w:vAlign w:val="center"/>
            <w:hideMark/>
          </w:tcPr>
          <w:p w14:paraId="4D802980" w14:textId="53F80144" w:rsidR="00F44BDD" w:rsidRPr="00C6165A" w:rsidRDefault="00F44BDD" w:rsidP="00F44BDD">
            <w:pPr>
              <w:jc w:val="center"/>
              <w:rPr>
                <w:sz w:val="22"/>
                <w:szCs w:val="22"/>
                <w:lang w:eastAsia="es-ES"/>
              </w:rPr>
            </w:pPr>
            <w:r w:rsidRPr="00C6165A">
              <w:rPr>
                <w:sz w:val="22"/>
                <w:szCs w:val="22"/>
              </w:rPr>
              <w:t>35.406</w:t>
            </w:r>
          </w:p>
        </w:tc>
        <w:tc>
          <w:tcPr>
            <w:tcW w:w="1200" w:type="dxa"/>
            <w:shd w:val="clear" w:color="auto" w:fill="auto"/>
            <w:noWrap/>
            <w:vAlign w:val="center"/>
            <w:hideMark/>
          </w:tcPr>
          <w:p w14:paraId="48C501A5" w14:textId="26B68B89" w:rsidR="00F44BDD" w:rsidRPr="00C6165A" w:rsidRDefault="00F44BDD" w:rsidP="00F44BDD">
            <w:pPr>
              <w:jc w:val="center"/>
              <w:rPr>
                <w:sz w:val="22"/>
                <w:szCs w:val="22"/>
                <w:lang w:eastAsia="es-ES"/>
              </w:rPr>
            </w:pPr>
            <w:r w:rsidRPr="00C6165A">
              <w:rPr>
                <w:sz w:val="22"/>
                <w:szCs w:val="22"/>
              </w:rPr>
              <w:t>9,2%</w:t>
            </w:r>
          </w:p>
        </w:tc>
        <w:tc>
          <w:tcPr>
            <w:tcW w:w="935" w:type="dxa"/>
            <w:shd w:val="clear" w:color="auto" w:fill="auto"/>
            <w:noWrap/>
            <w:vAlign w:val="center"/>
            <w:hideMark/>
          </w:tcPr>
          <w:p w14:paraId="48DCF13B" w14:textId="480FE431" w:rsidR="00F44BDD" w:rsidRPr="00C6165A" w:rsidRDefault="00F44BDD" w:rsidP="00F44BDD">
            <w:pPr>
              <w:jc w:val="center"/>
              <w:rPr>
                <w:sz w:val="22"/>
                <w:szCs w:val="22"/>
                <w:lang w:eastAsia="es-ES"/>
              </w:rPr>
            </w:pPr>
            <w:r w:rsidRPr="00C6165A">
              <w:rPr>
                <w:sz w:val="22"/>
                <w:szCs w:val="22"/>
              </w:rPr>
              <w:t>34.413</w:t>
            </w:r>
          </w:p>
        </w:tc>
        <w:tc>
          <w:tcPr>
            <w:tcW w:w="998" w:type="dxa"/>
            <w:shd w:val="clear" w:color="auto" w:fill="auto"/>
            <w:noWrap/>
            <w:vAlign w:val="center"/>
            <w:hideMark/>
          </w:tcPr>
          <w:p w14:paraId="5F1F398D" w14:textId="5B7B42AA" w:rsidR="00F44BDD" w:rsidRPr="00C6165A" w:rsidRDefault="00F44BDD" w:rsidP="00F44BDD">
            <w:pPr>
              <w:jc w:val="center"/>
              <w:rPr>
                <w:sz w:val="22"/>
                <w:szCs w:val="22"/>
                <w:lang w:eastAsia="es-ES"/>
              </w:rPr>
            </w:pPr>
            <w:r w:rsidRPr="00C6165A">
              <w:rPr>
                <w:sz w:val="22"/>
                <w:szCs w:val="22"/>
              </w:rPr>
              <w:t>21.305</w:t>
            </w:r>
          </w:p>
        </w:tc>
        <w:tc>
          <w:tcPr>
            <w:tcW w:w="1538" w:type="dxa"/>
            <w:shd w:val="clear" w:color="auto" w:fill="auto"/>
            <w:noWrap/>
            <w:vAlign w:val="center"/>
            <w:hideMark/>
          </w:tcPr>
          <w:p w14:paraId="4BEFBD40" w14:textId="3B9D6457" w:rsidR="00F44BDD" w:rsidRPr="00C6165A" w:rsidRDefault="00F44BDD" w:rsidP="00F44BDD">
            <w:pPr>
              <w:jc w:val="center"/>
              <w:rPr>
                <w:sz w:val="22"/>
                <w:szCs w:val="22"/>
                <w:lang w:eastAsia="es-ES"/>
              </w:rPr>
            </w:pPr>
            <w:r w:rsidRPr="00C6165A">
              <w:rPr>
                <w:sz w:val="22"/>
                <w:szCs w:val="22"/>
              </w:rPr>
              <w:t>-38,1%</w:t>
            </w:r>
          </w:p>
        </w:tc>
      </w:tr>
      <w:tr w:rsidR="00C6165A" w:rsidRPr="00C6165A" w14:paraId="667D6029" w14:textId="77777777" w:rsidTr="00A35A55">
        <w:trPr>
          <w:trHeight w:val="315"/>
          <w:jc w:val="center"/>
        </w:trPr>
        <w:tc>
          <w:tcPr>
            <w:tcW w:w="1699" w:type="dxa"/>
            <w:shd w:val="clear" w:color="auto" w:fill="auto"/>
            <w:noWrap/>
            <w:vAlign w:val="center"/>
            <w:hideMark/>
          </w:tcPr>
          <w:p w14:paraId="665A6631" w14:textId="77777777" w:rsidR="00F44BDD" w:rsidRPr="00C6165A" w:rsidRDefault="00F44BDD" w:rsidP="00F44BDD">
            <w:pPr>
              <w:jc w:val="left"/>
              <w:rPr>
                <w:sz w:val="22"/>
                <w:szCs w:val="22"/>
                <w:lang w:eastAsia="es-ES"/>
              </w:rPr>
            </w:pPr>
            <w:r w:rsidRPr="00C6165A">
              <w:rPr>
                <w:sz w:val="22"/>
                <w:szCs w:val="22"/>
                <w:lang w:eastAsia="es-ES"/>
              </w:rPr>
              <w:t>Altramuz dulce</w:t>
            </w:r>
          </w:p>
        </w:tc>
        <w:tc>
          <w:tcPr>
            <w:tcW w:w="971" w:type="dxa"/>
            <w:shd w:val="clear" w:color="auto" w:fill="auto"/>
            <w:noWrap/>
            <w:vAlign w:val="center"/>
            <w:hideMark/>
          </w:tcPr>
          <w:p w14:paraId="350F4F9A" w14:textId="22BB04BD" w:rsidR="00F44BDD" w:rsidRPr="00C6165A" w:rsidRDefault="00F44BDD" w:rsidP="00F44BDD">
            <w:pPr>
              <w:jc w:val="center"/>
              <w:rPr>
                <w:sz w:val="22"/>
                <w:szCs w:val="22"/>
                <w:lang w:eastAsia="es-ES"/>
              </w:rPr>
            </w:pPr>
            <w:r w:rsidRPr="00C6165A">
              <w:rPr>
                <w:sz w:val="22"/>
                <w:szCs w:val="22"/>
              </w:rPr>
              <w:t>50</w:t>
            </w:r>
          </w:p>
        </w:tc>
        <w:tc>
          <w:tcPr>
            <w:tcW w:w="1158" w:type="dxa"/>
            <w:shd w:val="clear" w:color="auto" w:fill="auto"/>
            <w:noWrap/>
            <w:vAlign w:val="center"/>
            <w:hideMark/>
          </w:tcPr>
          <w:p w14:paraId="276D8CB5" w14:textId="656E86D0" w:rsidR="00F44BDD" w:rsidRPr="00C6165A" w:rsidRDefault="00F44BDD" w:rsidP="00F44BDD">
            <w:pPr>
              <w:jc w:val="center"/>
              <w:rPr>
                <w:sz w:val="22"/>
                <w:szCs w:val="22"/>
                <w:lang w:eastAsia="es-ES"/>
              </w:rPr>
            </w:pPr>
            <w:r w:rsidRPr="00C6165A">
              <w:rPr>
                <w:sz w:val="22"/>
                <w:szCs w:val="22"/>
              </w:rPr>
              <w:t>63</w:t>
            </w:r>
          </w:p>
        </w:tc>
        <w:tc>
          <w:tcPr>
            <w:tcW w:w="1200" w:type="dxa"/>
            <w:shd w:val="clear" w:color="auto" w:fill="auto"/>
            <w:noWrap/>
            <w:vAlign w:val="center"/>
            <w:hideMark/>
          </w:tcPr>
          <w:p w14:paraId="30BBB35A" w14:textId="3C67673E" w:rsidR="00F44BDD" w:rsidRPr="00C6165A" w:rsidRDefault="00F44BDD" w:rsidP="00F44BDD">
            <w:pPr>
              <w:jc w:val="center"/>
              <w:rPr>
                <w:sz w:val="22"/>
                <w:szCs w:val="22"/>
                <w:lang w:eastAsia="es-ES"/>
              </w:rPr>
            </w:pPr>
            <w:r w:rsidRPr="00C6165A">
              <w:rPr>
                <w:sz w:val="22"/>
                <w:szCs w:val="22"/>
              </w:rPr>
              <w:t>26,0%</w:t>
            </w:r>
          </w:p>
        </w:tc>
        <w:tc>
          <w:tcPr>
            <w:tcW w:w="935" w:type="dxa"/>
            <w:shd w:val="clear" w:color="auto" w:fill="auto"/>
            <w:noWrap/>
            <w:vAlign w:val="center"/>
            <w:hideMark/>
          </w:tcPr>
          <w:p w14:paraId="2BDC54FE" w14:textId="5703C81D" w:rsidR="00F44BDD" w:rsidRPr="00C6165A" w:rsidRDefault="00F44BDD" w:rsidP="00F44BDD">
            <w:pPr>
              <w:jc w:val="center"/>
              <w:rPr>
                <w:sz w:val="22"/>
                <w:szCs w:val="22"/>
                <w:lang w:eastAsia="es-ES"/>
              </w:rPr>
            </w:pPr>
            <w:r w:rsidRPr="00C6165A">
              <w:rPr>
                <w:sz w:val="22"/>
                <w:szCs w:val="22"/>
              </w:rPr>
              <w:t>45</w:t>
            </w:r>
          </w:p>
        </w:tc>
        <w:tc>
          <w:tcPr>
            <w:tcW w:w="998" w:type="dxa"/>
            <w:shd w:val="clear" w:color="auto" w:fill="auto"/>
            <w:noWrap/>
            <w:vAlign w:val="center"/>
            <w:hideMark/>
          </w:tcPr>
          <w:p w14:paraId="3EB5712F" w14:textId="54381198" w:rsidR="00F44BDD" w:rsidRPr="00C6165A" w:rsidRDefault="00F44BDD" w:rsidP="00F44BDD">
            <w:pPr>
              <w:jc w:val="center"/>
              <w:rPr>
                <w:sz w:val="22"/>
                <w:szCs w:val="22"/>
                <w:lang w:eastAsia="es-ES"/>
              </w:rPr>
            </w:pPr>
            <w:r w:rsidRPr="00C6165A">
              <w:rPr>
                <w:sz w:val="22"/>
                <w:szCs w:val="22"/>
              </w:rPr>
              <w:t>38</w:t>
            </w:r>
          </w:p>
        </w:tc>
        <w:tc>
          <w:tcPr>
            <w:tcW w:w="1538" w:type="dxa"/>
            <w:shd w:val="clear" w:color="auto" w:fill="auto"/>
            <w:noWrap/>
            <w:vAlign w:val="center"/>
            <w:hideMark/>
          </w:tcPr>
          <w:p w14:paraId="51C3FAE7" w14:textId="77D74052" w:rsidR="00F44BDD" w:rsidRPr="00C6165A" w:rsidRDefault="00F44BDD" w:rsidP="00F44BDD">
            <w:pPr>
              <w:jc w:val="center"/>
              <w:rPr>
                <w:sz w:val="22"/>
                <w:szCs w:val="22"/>
                <w:lang w:eastAsia="es-ES"/>
              </w:rPr>
            </w:pPr>
            <w:r w:rsidRPr="00C6165A">
              <w:rPr>
                <w:sz w:val="22"/>
                <w:szCs w:val="22"/>
              </w:rPr>
              <w:t>-15,6%</w:t>
            </w:r>
          </w:p>
        </w:tc>
      </w:tr>
      <w:tr w:rsidR="00C6165A" w:rsidRPr="00C6165A" w14:paraId="39F1648E" w14:textId="77777777" w:rsidTr="00A35A55">
        <w:trPr>
          <w:trHeight w:val="315"/>
          <w:jc w:val="center"/>
        </w:trPr>
        <w:tc>
          <w:tcPr>
            <w:tcW w:w="1699" w:type="dxa"/>
            <w:shd w:val="clear" w:color="auto" w:fill="auto"/>
            <w:noWrap/>
            <w:vAlign w:val="center"/>
            <w:hideMark/>
          </w:tcPr>
          <w:p w14:paraId="72DEE27A" w14:textId="77777777" w:rsidR="00F44BDD" w:rsidRPr="00C6165A" w:rsidRDefault="00F44BDD" w:rsidP="00F44BDD">
            <w:pPr>
              <w:jc w:val="left"/>
              <w:rPr>
                <w:sz w:val="22"/>
                <w:szCs w:val="22"/>
                <w:lang w:eastAsia="es-ES"/>
              </w:rPr>
            </w:pPr>
            <w:r w:rsidRPr="00C6165A">
              <w:rPr>
                <w:sz w:val="22"/>
                <w:szCs w:val="22"/>
                <w:lang w:eastAsia="es-ES"/>
              </w:rPr>
              <w:t>Yeros</w:t>
            </w:r>
          </w:p>
        </w:tc>
        <w:tc>
          <w:tcPr>
            <w:tcW w:w="971" w:type="dxa"/>
            <w:shd w:val="clear" w:color="auto" w:fill="auto"/>
            <w:noWrap/>
            <w:vAlign w:val="center"/>
            <w:hideMark/>
          </w:tcPr>
          <w:p w14:paraId="6BA35D80" w14:textId="675BCC32" w:rsidR="00F44BDD" w:rsidRPr="00C6165A" w:rsidRDefault="00F44BDD" w:rsidP="00F44BDD">
            <w:pPr>
              <w:jc w:val="center"/>
              <w:rPr>
                <w:sz w:val="22"/>
                <w:szCs w:val="22"/>
                <w:lang w:eastAsia="es-ES"/>
              </w:rPr>
            </w:pPr>
            <w:r w:rsidRPr="00C6165A">
              <w:rPr>
                <w:sz w:val="22"/>
                <w:szCs w:val="22"/>
              </w:rPr>
              <w:t>7.264</w:t>
            </w:r>
          </w:p>
        </w:tc>
        <w:tc>
          <w:tcPr>
            <w:tcW w:w="1158" w:type="dxa"/>
            <w:shd w:val="clear" w:color="auto" w:fill="auto"/>
            <w:noWrap/>
            <w:vAlign w:val="center"/>
            <w:hideMark/>
          </w:tcPr>
          <w:p w14:paraId="7546E903" w14:textId="751AF6CC" w:rsidR="00F44BDD" w:rsidRPr="00C6165A" w:rsidRDefault="00F44BDD" w:rsidP="00F44BDD">
            <w:pPr>
              <w:jc w:val="center"/>
              <w:rPr>
                <w:sz w:val="22"/>
                <w:szCs w:val="22"/>
                <w:lang w:eastAsia="es-ES"/>
              </w:rPr>
            </w:pPr>
            <w:r w:rsidRPr="00C6165A">
              <w:rPr>
                <w:sz w:val="22"/>
                <w:szCs w:val="22"/>
              </w:rPr>
              <w:t>8.602</w:t>
            </w:r>
          </w:p>
        </w:tc>
        <w:tc>
          <w:tcPr>
            <w:tcW w:w="1200" w:type="dxa"/>
            <w:shd w:val="clear" w:color="auto" w:fill="auto"/>
            <w:noWrap/>
            <w:vAlign w:val="center"/>
            <w:hideMark/>
          </w:tcPr>
          <w:p w14:paraId="3C661F7C" w14:textId="51378EB7" w:rsidR="00F44BDD" w:rsidRPr="00C6165A" w:rsidRDefault="00F44BDD" w:rsidP="00F44BDD">
            <w:pPr>
              <w:jc w:val="center"/>
              <w:rPr>
                <w:sz w:val="22"/>
                <w:szCs w:val="22"/>
                <w:lang w:eastAsia="es-ES"/>
              </w:rPr>
            </w:pPr>
            <w:r w:rsidRPr="00C6165A">
              <w:rPr>
                <w:sz w:val="22"/>
                <w:szCs w:val="22"/>
              </w:rPr>
              <w:t>18,4%</w:t>
            </w:r>
          </w:p>
        </w:tc>
        <w:tc>
          <w:tcPr>
            <w:tcW w:w="935" w:type="dxa"/>
            <w:shd w:val="clear" w:color="auto" w:fill="auto"/>
            <w:noWrap/>
            <w:vAlign w:val="center"/>
            <w:hideMark/>
          </w:tcPr>
          <w:p w14:paraId="34D2BA94" w14:textId="2CAA31F0" w:rsidR="00F44BDD" w:rsidRPr="00C6165A" w:rsidRDefault="00F44BDD" w:rsidP="00F44BDD">
            <w:pPr>
              <w:jc w:val="center"/>
              <w:rPr>
                <w:sz w:val="22"/>
                <w:szCs w:val="22"/>
                <w:lang w:eastAsia="es-ES"/>
              </w:rPr>
            </w:pPr>
            <w:r w:rsidRPr="00C6165A">
              <w:rPr>
                <w:sz w:val="22"/>
                <w:szCs w:val="22"/>
              </w:rPr>
              <w:t>11.302</w:t>
            </w:r>
          </w:p>
        </w:tc>
        <w:tc>
          <w:tcPr>
            <w:tcW w:w="998" w:type="dxa"/>
            <w:shd w:val="clear" w:color="auto" w:fill="auto"/>
            <w:noWrap/>
            <w:vAlign w:val="center"/>
            <w:hideMark/>
          </w:tcPr>
          <w:p w14:paraId="134C9423" w14:textId="7FD438C6" w:rsidR="00F44BDD" w:rsidRPr="00C6165A" w:rsidRDefault="00F44BDD" w:rsidP="00F44BDD">
            <w:pPr>
              <w:jc w:val="center"/>
              <w:rPr>
                <w:sz w:val="22"/>
                <w:szCs w:val="22"/>
                <w:lang w:eastAsia="es-ES"/>
              </w:rPr>
            </w:pPr>
            <w:r w:rsidRPr="00C6165A">
              <w:rPr>
                <w:sz w:val="22"/>
                <w:szCs w:val="22"/>
              </w:rPr>
              <w:t>8.034</w:t>
            </w:r>
          </w:p>
        </w:tc>
        <w:tc>
          <w:tcPr>
            <w:tcW w:w="1538" w:type="dxa"/>
            <w:shd w:val="clear" w:color="auto" w:fill="auto"/>
            <w:noWrap/>
            <w:vAlign w:val="center"/>
            <w:hideMark/>
          </w:tcPr>
          <w:p w14:paraId="7BDBCA6B" w14:textId="2276F9A6" w:rsidR="00F44BDD" w:rsidRPr="00C6165A" w:rsidRDefault="00F44BDD" w:rsidP="00F44BDD">
            <w:pPr>
              <w:jc w:val="center"/>
              <w:rPr>
                <w:sz w:val="22"/>
                <w:szCs w:val="22"/>
                <w:lang w:eastAsia="es-ES"/>
              </w:rPr>
            </w:pPr>
            <w:r w:rsidRPr="00C6165A">
              <w:rPr>
                <w:sz w:val="22"/>
                <w:szCs w:val="22"/>
              </w:rPr>
              <w:t>-28,9%</w:t>
            </w:r>
          </w:p>
        </w:tc>
      </w:tr>
      <w:tr w:rsidR="00C6165A" w:rsidRPr="00C6165A" w14:paraId="610C90D9" w14:textId="77777777" w:rsidTr="00A35A55">
        <w:trPr>
          <w:trHeight w:val="315"/>
          <w:jc w:val="center"/>
        </w:trPr>
        <w:tc>
          <w:tcPr>
            <w:tcW w:w="1699" w:type="dxa"/>
            <w:tcBorders>
              <w:bottom w:val="single" w:sz="4" w:space="0" w:color="auto"/>
            </w:tcBorders>
            <w:shd w:val="clear" w:color="auto" w:fill="auto"/>
            <w:noWrap/>
            <w:vAlign w:val="center"/>
            <w:hideMark/>
          </w:tcPr>
          <w:p w14:paraId="7CAB74D2" w14:textId="77777777" w:rsidR="00F44BDD" w:rsidRPr="00C6165A" w:rsidRDefault="00F44BDD" w:rsidP="00F44BDD">
            <w:pPr>
              <w:jc w:val="left"/>
              <w:rPr>
                <w:b/>
                <w:bCs/>
                <w:i/>
                <w:iCs/>
                <w:sz w:val="22"/>
                <w:szCs w:val="22"/>
                <w:lang w:eastAsia="es-ES"/>
              </w:rPr>
            </w:pPr>
            <w:r w:rsidRPr="00C6165A">
              <w:rPr>
                <w:b/>
                <w:bCs/>
                <w:i/>
                <w:iCs/>
                <w:sz w:val="22"/>
                <w:szCs w:val="22"/>
                <w:lang w:eastAsia="es-ES"/>
              </w:rPr>
              <w:t>Total</w:t>
            </w:r>
          </w:p>
        </w:tc>
        <w:tc>
          <w:tcPr>
            <w:tcW w:w="971" w:type="dxa"/>
            <w:tcBorders>
              <w:bottom w:val="single" w:sz="4" w:space="0" w:color="auto"/>
            </w:tcBorders>
            <w:shd w:val="clear" w:color="auto" w:fill="auto"/>
            <w:noWrap/>
            <w:vAlign w:val="center"/>
            <w:hideMark/>
          </w:tcPr>
          <w:p w14:paraId="58ADA94E" w14:textId="1CD31B1E" w:rsidR="00F44BDD" w:rsidRPr="00C6165A" w:rsidRDefault="00F44BDD" w:rsidP="00F44BDD">
            <w:pPr>
              <w:jc w:val="center"/>
              <w:rPr>
                <w:b/>
                <w:bCs/>
                <w:i/>
                <w:iCs/>
                <w:sz w:val="22"/>
                <w:szCs w:val="22"/>
                <w:lang w:eastAsia="es-ES"/>
              </w:rPr>
            </w:pPr>
            <w:r w:rsidRPr="00C6165A">
              <w:rPr>
                <w:b/>
                <w:bCs/>
                <w:i/>
                <w:iCs/>
                <w:sz w:val="22"/>
                <w:szCs w:val="22"/>
              </w:rPr>
              <w:t>99.957</w:t>
            </w:r>
          </w:p>
        </w:tc>
        <w:tc>
          <w:tcPr>
            <w:tcW w:w="1158" w:type="dxa"/>
            <w:tcBorders>
              <w:bottom w:val="single" w:sz="4" w:space="0" w:color="auto"/>
            </w:tcBorders>
            <w:shd w:val="clear" w:color="auto" w:fill="auto"/>
            <w:noWrap/>
            <w:vAlign w:val="center"/>
            <w:hideMark/>
          </w:tcPr>
          <w:p w14:paraId="1944E97C" w14:textId="3B48AB25" w:rsidR="00F44BDD" w:rsidRPr="00C6165A" w:rsidRDefault="00F44BDD" w:rsidP="00F44BDD">
            <w:pPr>
              <w:jc w:val="center"/>
              <w:rPr>
                <w:b/>
                <w:bCs/>
                <w:i/>
                <w:iCs/>
                <w:sz w:val="22"/>
                <w:szCs w:val="22"/>
                <w:lang w:eastAsia="es-ES"/>
              </w:rPr>
            </w:pPr>
            <w:r w:rsidRPr="00C6165A">
              <w:rPr>
                <w:b/>
                <w:bCs/>
                <w:i/>
                <w:iCs/>
                <w:sz w:val="22"/>
                <w:szCs w:val="22"/>
              </w:rPr>
              <w:t>110.496</w:t>
            </w:r>
          </w:p>
        </w:tc>
        <w:tc>
          <w:tcPr>
            <w:tcW w:w="1200" w:type="dxa"/>
            <w:tcBorders>
              <w:bottom w:val="single" w:sz="4" w:space="0" w:color="auto"/>
            </w:tcBorders>
            <w:shd w:val="clear" w:color="auto" w:fill="auto"/>
            <w:noWrap/>
            <w:vAlign w:val="center"/>
            <w:hideMark/>
          </w:tcPr>
          <w:p w14:paraId="03BDECDA" w14:textId="6FD894F1" w:rsidR="00F44BDD" w:rsidRPr="00C6165A" w:rsidRDefault="00F44BDD" w:rsidP="00F44BDD">
            <w:pPr>
              <w:jc w:val="center"/>
              <w:rPr>
                <w:b/>
                <w:bCs/>
                <w:i/>
                <w:iCs/>
                <w:sz w:val="22"/>
                <w:szCs w:val="22"/>
                <w:lang w:eastAsia="es-ES"/>
              </w:rPr>
            </w:pPr>
            <w:r w:rsidRPr="00C6165A">
              <w:rPr>
                <w:b/>
                <w:bCs/>
                <w:i/>
                <w:iCs/>
                <w:sz w:val="22"/>
                <w:szCs w:val="22"/>
              </w:rPr>
              <w:t>10,5%</w:t>
            </w:r>
          </w:p>
        </w:tc>
        <w:tc>
          <w:tcPr>
            <w:tcW w:w="935" w:type="dxa"/>
            <w:tcBorders>
              <w:bottom w:val="single" w:sz="4" w:space="0" w:color="auto"/>
            </w:tcBorders>
            <w:shd w:val="clear" w:color="auto" w:fill="auto"/>
            <w:noWrap/>
            <w:vAlign w:val="center"/>
            <w:hideMark/>
          </w:tcPr>
          <w:p w14:paraId="28342084" w14:textId="679706C2" w:rsidR="00F44BDD" w:rsidRPr="00C6165A" w:rsidRDefault="00F44BDD" w:rsidP="00F44BDD">
            <w:pPr>
              <w:jc w:val="center"/>
              <w:rPr>
                <w:b/>
                <w:bCs/>
                <w:i/>
                <w:iCs/>
                <w:sz w:val="22"/>
                <w:szCs w:val="22"/>
                <w:lang w:eastAsia="es-ES"/>
              </w:rPr>
            </w:pPr>
            <w:r w:rsidRPr="00C6165A">
              <w:rPr>
                <w:b/>
                <w:bCs/>
                <w:i/>
                <w:iCs/>
                <w:sz w:val="22"/>
                <w:szCs w:val="22"/>
              </w:rPr>
              <w:t>134.448</w:t>
            </w:r>
          </w:p>
        </w:tc>
        <w:tc>
          <w:tcPr>
            <w:tcW w:w="998" w:type="dxa"/>
            <w:tcBorders>
              <w:bottom w:val="single" w:sz="4" w:space="0" w:color="auto"/>
            </w:tcBorders>
            <w:shd w:val="clear" w:color="auto" w:fill="auto"/>
            <w:noWrap/>
            <w:vAlign w:val="center"/>
            <w:hideMark/>
          </w:tcPr>
          <w:p w14:paraId="72D04011" w14:textId="01AB039C" w:rsidR="00F44BDD" w:rsidRPr="00C6165A" w:rsidRDefault="00F44BDD" w:rsidP="00F44BDD">
            <w:pPr>
              <w:jc w:val="center"/>
              <w:rPr>
                <w:b/>
                <w:bCs/>
                <w:i/>
                <w:iCs/>
                <w:sz w:val="22"/>
                <w:szCs w:val="22"/>
                <w:lang w:eastAsia="es-ES"/>
              </w:rPr>
            </w:pPr>
            <w:r w:rsidRPr="00C6165A">
              <w:rPr>
                <w:b/>
                <w:bCs/>
                <w:i/>
                <w:iCs/>
                <w:sz w:val="22"/>
                <w:szCs w:val="22"/>
              </w:rPr>
              <w:t>88.113</w:t>
            </w:r>
          </w:p>
        </w:tc>
        <w:tc>
          <w:tcPr>
            <w:tcW w:w="1538" w:type="dxa"/>
            <w:tcBorders>
              <w:bottom w:val="single" w:sz="4" w:space="0" w:color="auto"/>
            </w:tcBorders>
            <w:shd w:val="clear" w:color="auto" w:fill="auto"/>
            <w:noWrap/>
            <w:vAlign w:val="center"/>
            <w:hideMark/>
          </w:tcPr>
          <w:p w14:paraId="3A36BD65" w14:textId="20237CA9" w:rsidR="00F44BDD" w:rsidRPr="00C6165A" w:rsidRDefault="00F44BDD" w:rsidP="00F44BDD">
            <w:pPr>
              <w:jc w:val="center"/>
              <w:rPr>
                <w:b/>
                <w:bCs/>
                <w:i/>
                <w:iCs/>
                <w:sz w:val="22"/>
                <w:szCs w:val="22"/>
                <w:lang w:eastAsia="es-ES"/>
              </w:rPr>
            </w:pPr>
            <w:r w:rsidRPr="00C6165A">
              <w:rPr>
                <w:b/>
                <w:bCs/>
                <w:i/>
                <w:iCs/>
                <w:sz w:val="22"/>
                <w:szCs w:val="22"/>
              </w:rPr>
              <w:t>-34,5%</w:t>
            </w:r>
          </w:p>
        </w:tc>
      </w:tr>
      <w:tr w:rsidR="003C6EF6" w:rsidRPr="00C6165A" w14:paraId="0DC182DD" w14:textId="77777777" w:rsidTr="00A35A55">
        <w:trPr>
          <w:trHeight w:val="315"/>
          <w:jc w:val="center"/>
        </w:trPr>
        <w:tc>
          <w:tcPr>
            <w:tcW w:w="8499" w:type="dxa"/>
            <w:gridSpan w:val="7"/>
            <w:tcBorders>
              <w:left w:val="nil"/>
              <w:bottom w:val="nil"/>
              <w:right w:val="nil"/>
            </w:tcBorders>
            <w:shd w:val="clear" w:color="auto" w:fill="auto"/>
            <w:noWrap/>
            <w:vAlign w:val="center"/>
          </w:tcPr>
          <w:p w14:paraId="4707B542" w14:textId="4EA64CDF" w:rsidR="0068303F" w:rsidRPr="00C6165A" w:rsidRDefault="00897B8A" w:rsidP="0068303F">
            <w:pPr>
              <w:jc w:val="center"/>
              <w:rPr>
                <w:b/>
                <w:bCs/>
                <w:i/>
                <w:iCs/>
                <w:sz w:val="22"/>
                <w:szCs w:val="22"/>
                <w:lang w:eastAsia="es-ES"/>
              </w:rPr>
            </w:pPr>
            <w:r w:rsidRPr="00C6165A">
              <w:rPr>
                <w:sz w:val="22"/>
                <w:szCs w:val="22"/>
                <w:lang w:eastAsia="es-ES"/>
              </w:rPr>
              <w:t>Fuente: Elaboración propia a partir de los avances de superficies y producciones de la Consejería de Agricultura</w:t>
            </w:r>
            <w:r w:rsidR="00CB5999" w:rsidRPr="00C6165A">
              <w:rPr>
                <w:sz w:val="22"/>
                <w:szCs w:val="22"/>
                <w:lang w:eastAsia="es-ES"/>
              </w:rPr>
              <w:t>, Ganadería y Desarrollo Rural</w:t>
            </w:r>
          </w:p>
        </w:tc>
      </w:tr>
    </w:tbl>
    <w:p w14:paraId="400E38FA" w14:textId="77777777" w:rsidR="00AA49C3" w:rsidRPr="00C6165A" w:rsidRDefault="00AA49C3" w:rsidP="00AA49C3">
      <w:pPr>
        <w:tabs>
          <w:tab w:val="left" w:pos="1095"/>
        </w:tabs>
      </w:pPr>
    </w:p>
    <w:p w14:paraId="7CAC9A92" w14:textId="626DE7F5" w:rsidR="00AA49C3" w:rsidRPr="00C6165A" w:rsidRDefault="00516581" w:rsidP="00AA49C3">
      <w:pPr>
        <w:tabs>
          <w:tab w:val="left" w:pos="1095"/>
        </w:tabs>
      </w:pPr>
      <w:r w:rsidRPr="00C6165A">
        <w:t>Respecto a</w:t>
      </w:r>
      <w:r w:rsidR="00AA49C3" w:rsidRPr="00C6165A">
        <w:t xml:space="preserve"> los precios</w:t>
      </w:r>
      <w:r w:rsidRPr="00C6165A">
        <w:t xml:space="preserve">, en las siguientes gráficas </w:t>
      </w:r>
      <w:r w:rsidR="00AA49C3" w:rsidRPr="00C6165A">
        <w:t xml:space="preserve">de las principales leguminosas grano se pueden ver </w:t>
      </w:r>
      <w:r w:rsidRPr="00C6165A">
        <w:t>las variaciones</w:t>
      </w:r>
      <w:r w:rsidR="00AA49C3" w:rsidRPr="00C6165A">
        <w:t xml:space="preserve">, </w:t>
      </w:r>
      <w:r w:rsidR="009B4D40" w:rsidRPr="00C6165A">
        <w:t>apreciándose</w:t>
      </w:r>
      <w:r w:rsidR="008C3AEE" w:rsidRPr="00C6165A">
        <w:t xml:space="preserve"> en todas ellas que los precios de salida a venta son muy superiores a los de la campaña anterior. </w:t>
      </w:r>
      <w:r w:rsidR="00186A9C" w:rsidRPr="00C6165A">
        <w:t>En algunos casos se han duplicado, como ocurre con</w:t>
      </w:r>
      <w:r w:rsidR="00731393" w:rsidRPr="00C6165A">
        <w:t xml:space="preserve"> la veza grano, situándose en el mes de octubre a 0,44 euros el kilo.</w:t>
      </w:r>
    </w:p>
    <w:p w14:paraId="3ADCCD55" w14:textId="77777777" w:rsidR="006D0214" w:rsidRPr="00C6165A" w:rsidRDefault="006D0214" w:rsidP="00AA49C3">
      <w:pPr>
        <w:tabs>
          <w:tab w:val="left" w:pos="1095"/>
        </w:tabs>
      </w:pPr>
    </w:p>
    <w:tbl>
      <w:tblPr>
        <w:tblStyle w:val="Tablaconcuadrcula"/>
        <w:tblW w:w="984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986"/>
      </w:tblGrid>
      <w:tr w:rsidR="00C6165A" w:rsidRPr="00C6165A" w14:paraId="446E4094" w14:textId="77777777" w:rsidTr="00516581">
        <w:tc>
          <w:tcPr>
            <w:tcW w:w="4857" w:type="dxa"/>
            <w:tcMar>
              <w:top w:w="113" w:type="dxa"/>
              <w:bottom w:w="113" w:type="dxa"/>
            </w:tcMar>
          </w:tcPr>
          <w:p w14:paraId="20B37E7A" w14:textId="6848AFBA" w:rsidR="006D0214" w:rsidRPr="00C6165A" w:rsidRDefault="00F44BDD" w:rsidP="00AA49C3">
            <w:pPr>
              <w:tabs>
                <w:tab w:val="left" w:pos="1095"/>
              </w:tabs>
            </w:pPr>
            <w:r w:rsidRPr="00C6165A">
              <w:rPr>
                <w:noProof/>
              </w:rPr>
              <w:drawing>
                <wp:inline distT="0" distB="0" distL="0" distR="0" wp14:anchorId="4E8B6B4B" wp14:editId="254AE8A3">
                  <wp:extent cx="2812947" cy="1836000"/>
                  <wp:effectExtent l="0" t="0" r="698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2947" cy="1836000"/>
                          </a:xfrm>
                          <a:prstGeom prst="rect">
                            <a:avLst/>
                          </a:prstGeom>
                          <a:noFill/>
                        </pic:spPr>
                      </pic:pic>
                    </a:graphicData>
                  </a:graphic>
                </wp:inline>
              </w:drawing>
            </w:r>
          </w:p>
        </w:tc>
        <w:tc>
          <w:tcPr>
            <w:tcW w:w="4986" w:type="dxa"/>
            <w:tcMar>
              <w:top w:w="113" w:type="dxa"/>
              <w:bottom w:w="113" w:type="dxa"/>
            </w:tcMar>
          </w:tcPr>
          <w:p w14:paraId="2107D475" w14:textId="66ACA060" w:rsidR="006D0214" w:rsidRPr="00C6165A" w:rsidRDefault="00F44BDD" w:rsidP="00AA49C3">
            <w:pPr>
              <w:tabs>
                <w:tab w:val="left" w:pos="1095"/>
              </w:tabs>
            </w:pPr>
            <w:r w:rsidRPr="00C6165A">
              <w:rPr>
                <w:noProof/>
              </w:rPr>
              <w:drawing>
                <wp:inline distT="0" distB="0" distL="0" distR="0" wp14:anchorId="73BA1B9F" wp14:editId="6084788C">
                  <wp:extent cx="2812947" cy="1836000"/>
                  <wp:effectExtent l="0" t="0" r="698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2947" cy="1836000"/>
                          </a:xfrm>
                          <a:prstGeom prst="rect">
                            <a:avLst/>
                          </a:prstGeom>
                          <a:noFill/>
                        </pic:spPr>
                      </pic:pic>
                    </a:graphicData>
                  </a:graphic>
                </wp:inline>
              </w:drawing>
            </w:r>
          </w:p>
        </w:tc>
      </w:tr>
      <w:tr w:rsidR="00C6165A" w:rsidRPr="00C6165A" w14:paraId="6894151F" w14:textId="77777777" w:rsidTr="00516581">
        <w:trPr>
          <w:trHeight w:val="3061"/>
        </w:trPr>
        <w:tc>
          <w:tcPr>
            <w:tcW w:w="4857" w:type="dxa"/>
            <w:tcMar>
              <w:top w:w="113" w:type="dxa"/>
              <w:bottom w:w="113" w:type="dxa"/>
            </w:tcMar>
            <w:vAlign w:val="bottom"/>
          </w:tcPr>
          <w:p w14:paraId="04ECEC85" w14:textId="478A722C" w:rsidR="00420FFA" w:rsidRPr="00C6165A" w:rsidRDefault="00516581" w:rsidP="00516581">
            <w:pPr>
              <w:tabs>
                <w:tab w:val="left" w:pos="1095"/>
              </w:tabs>
              <w:jc w:val="left"/>
            </w:pPr>
            <w:r w:rsidRPr="00C6165A">
              <w:rPr>
                <w:noProof/>
              </w:rPr>
              <w:drawing>
                <wp:anchor distT="0" distB="0" distL="114300" distR="114300" simplePos="0" relativeHeight="251658240" behindDoc="0" locked="0" layoutInCell="1" allowOverlap="1" wp14:anchorId="380A48A3" wp14:editId="6735B1CE">
                  <wp:simplePos x="0" y="0"/>
                  <wp:positionH relativeFrom="column">
                    <wp:posOffset>-3175</wp:posOffset>
                  </wp:positionH>
                  <wp:positionV relativeFrom="paragraph">
                    <wp:posOffset>-1744980</wp:posOffset>
                  </wp:positionV>
                  <wp:extent cx="2809875" cy="183578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9875" cy="1835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4986" w:type="dxa"/>
            <w:vAlign w:val="center"/>
          </w:tcPr>
          <w:p w14:paraId="0B196714" w14:textId="7AC65450" w:rsidR="00420FFA" w:rsidRPr="00C6165A" w:rsidRDefault="00F44BDD" w:rsidP="006D0214">
            <w:pPr>
              <w:tabs>
                <w:tab w:val="left" w:pos="1095"/>
              </w:tabs>
              <w:jc w:val="center"/>
            </w:pPr>
            <w:r w:rsidRPr="00C6165A">
              <w:rPr>
                <w:noProof/>
              </w:rPr>
              <w:drawing>
                <wp:anchor distT="0" distB="0" distL="114300" distR="114300" simplePos="0" relativeHeight="251659264" behindDoc="0" locked="0" layoutInCell="1" allowOverlap="1" wp14:anchorId="74453959" wp14:editId="551CEA94">
                  <wp:simplePos x="0" y="0"/>
                  <wp:positionH relativeFrom="column">
                    <wp:posOffset>14605</wp:posOffset>
                  </wp:positionH>
                  <wp:positionV relativeFrom="paragraph">
                    <wp:posOffset>-65405</wp:posOffset>
                  </wp:positionV>
                  <wp:extent cx="2814320" cy="1835785"/>
                  <wp:effectExtent l="0" t="0" r="508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4320" cy="1835785"/>
                          </a:xfrm>
                          <a:prstGeom prst="rect">
                            <a:avLst/>
                          </a:prstGeom>
                          <a:noFill/>
                        </pic:spPr>
                      </pic:pic>
                    </a:graphicData>
                  </a:graphic>
                  <wp14:sizeRelH relativeFrom="margin">
                    <wp14:pctWidth>0</wp14:pctWidth>
                  </wp14:sizeRelH>
                  <wp14:sizeRelV relativeFrom="margin">
                    <wp14:pctHeight>0</wp14:pctHeight>
                  </wp14:sizeRelV>
                </wp:anchor>
              </w:drawing>
            </w:r>
          </w:p>
        </w:tc>
      </w:tr>
      <w:tr w:rsidR="00C6165A" w:rsidRPr="00C6165A" w14:paraId="23CFE10F" w14:textId="77777777" w:rsidTr="00516581">
        <w:trPr>
          <w:trHeight w:val="21"/>
        </w:trPr>
        <w:tc>
          <w:tcPr>
            <w:tcW w:w="9843" w:type="dxa"/>
            <w:gridSpan w:val="2"/>
            <w:tcMar>
              <w:top w:w="113" w:type="dxa"/>
              <w:bottom w:w="113" w:type="dxa"/>
            </w:tcMar>
          </w:tcPr>
          <w:p w14:paraId="7CD8CA25" w14:textId="48DAD580" w:rsidR="008C3AEE" w:rsidRPr="00C6165A" w:rsidRDefault="008C3AEE" w:rsidP="008C3AEE">
            <w:pPr>
              <w:tabs>
                <w:tab w:val="left" w:pos="1095"/>
              </w:tabs>
              <w:jc w:val="center"/>
              <w:rPr>
                <w:noProof/>
              </w:rPr>
            </w:pPr>
            <w:r w:rsidRPr="00C6165A">
              <w:rPr>
                <w:sz w:val="16"/>
                <w:szCs w:val="16"/>
                <w:lang w:eastAsia="es-ES"/>
              </w:rPr>
              <w:t>Fuente: Elaboración propia a partir de datos del Observatorio de precios de los productos agrícolas y ganaderos de Castilla y León</w:t>
            </w:r>
          </w:p>
        </w:tc>
      </w:tr>
    </w:tbl>
    <w:p w14:paraId="1CFF1829" w14:textId="77777777" w:rsidR="00731393" w:rsidRPr="00C6165A" w:rsidRDefault="00731393" w:rsidP="00AA49C3">
      <w:pPr>
        <w:rPr>
          <w:b/>
        </w:rPr>
      </w:pPr>
    </w:p>
    <w:p w14:paraId="178A6274" w14:textId="2D687FE4" w:rsidR="00AA49C3" w:rsidRPr="00C6165A" w:rsidRDefault="00AA49C3" w:rsidP="00AA49C3">
      <w:pPr>
        <w:rPr>
          <w:b/>
        </w:rPr>
      </w:pPr>
      <w:r w:rsidRPr="00C6165A">
        <w:rPr>
          <w:b/>
        </w:rPr>
        <w:t>Girasol</w:t>
      </w:r>
    </w:p>
    <w:p w14:paraId="32EFB29D" w14:textId="5913827B" w:rsidR="00AA49C3" w:rsidRPr="00C6165A" w:rsidRDefault="00AA49C3" w:rsidP="00AA49C3">
      <w:pPr>
        <w:tabs>
          <w:tab w:val="left" w:pos="1095"/>
        </w:tabs>
      </w:pPr>
    </w:p>
    <w:p w14:paraId="177B483E" w14:textId="5B86C5B4" w:rsidR="004404B2" w:rsidRPr="00C6165A" w:rsidRDefault="004404B2" w:rsidP="00AA49C3">
      <w:pPr>
        <w:tabs>
          <w:tab w:val="left" w:pos="1095"/>
        </w:tabs>
      </w:pPr>
      <w:r w:rsidRPr="00C6165A">
        <w:t>En este año 2022 se han sembrado en Castilla y León 387.178 hectáreas de girasol que suponen un incremento de 136.284 hectáreas respecto al año anterior. En porcentaje, el aumento asciende al 54,3% rompiendo el descenso que comenzó en 2020.</w:t>
      </w:r>
      <w:r w:rsidR="00731393" w:rsidRPr="00C6165A">
        <w:t xml:space="preserve"> </w:t>
      </w:r>
    </w:p>
    <w:p w14:paraId="6F286F22" w14:textId="446BC6B7" w:rsidR="004404B2" w:rsidRPr="00C6165A" w:rsidRDefault="004404B2" w:rsidP="00AA49C3">
      <w:pPr>
        <w:tabs>
          <w:tab w:val="left" w:pos="1095"/>
        </w:tabs>
      </w:pPr>
      <w:r w:rsidRPr="00C6165A">
        <w:t>Sin embargo, comparando producciones no ha habido mucha diferencia. Este año se han cosechado 330.231 toneladas, tan sólo un 0,1% más que en 2021 con unos rendimientos medios de 853 kilos por hectárea. Estos rendimientos son un 35% inferiores a los de la campaña anterior.</w:t>
      </w:r>
    </w:p>
    <w:p w14:paraId="75B32BDA" w14:textId="5C5B67C0" w:rsidR="004404B2" w:rsidRPr="00C6165A" w:rsidRDefault="004404B2" w:rsidP="00AA49C3">
      <w:pPr>
        <w:tabs>
          <w:tab w:val="left" w:pos="1095"/>
        </w:tabs>
      </w:pPr>
      <w:r w:rsidRPr="00C6165A">
        <w:t>Respecto al precio, el girasol comenzó a cotizar en el mes de septiembre con un precio de casi 667 euros por tonelada,</w:t>
      </w:r>
      <w:r w:rsidR="00A216A9" w:rsidRPr="00C6165A">
        <w:t xml:space="preserve"> </w:t>
      </w:r>
      <w:r w:rsidRPr="00C6165A">
        <w:t xml:space="preserve">un 41,8% superior al del año pasado. </w:t>
      </w:r>
      <w:r w:rsidR="00A216A9" w:rsidRPr="00C6165A">
        <w:t>Estos valores han ido disminuyendo lentamente cada mes, situándose en su punto más bajo en el mes de noviembre, con 626 euros por tonelada.</w:t>
      </w:r>
    </w:p>
    <w:p w14:paraId="39A81707" w14:textId="61B4378E" w:rsidR="00731393" w:rsidRPr="00C6165A" w:rsidRDefault="00731393" w:rsidP="00AA49C3">
      <w:pPr>
        <w:tabs>
          <w:tab w:val="left" w:pos="1095"/>
        </w:tabs>
      </w:pPr>
      <w:r w:rsidRPr="00C6165A">
        <w:t>El incremento en las superficies de siembra ha sido incentivado por la situación de guerra en Ucrania, pues se necesitaba producto y había buenas expectativas de precio de venta que al final no fueron lo esperado.</w:t>
      </w:r>
    </w:p>
    <w:p w14:paraId="63C41652" w14:textId="77777777" w:rsidR="0043424B" w:rsidRPr="00C6165A" w:rsidRDefault="0043424B" w:rsidP="0043424B">
      <w:pPr>
        <w:tabs>
          <w:tab w:val="left" w:pos="1095"/>
        </w:tabs>
      </w:pPr>
    </w:p>
    <w:p w14:paraId="55980689" w14:textId="152C540A" w:rsidR="00AA49C3" w:rsidRPr="00C6165A" w:rsidRDefault="004404B2" w:rsidP="00AA49C3">
      <w:pPr>
        <w:tabs>
          <w:tab w:val="left" w:pos="1095"/>
        </w:tabs>
        <w:jc w:val="center"/>
      </w:pPr>
      <w:r w:rsidRPr="00C6165A">
        <w:rPr>
          <w:noProof/>
        </w:rPr>
        <w:drawing>
          <wp:inline distT="0" distB="0" distL="0" distR="0" wp14:anchorId="1E0CBD06" wp14:editId="3B0A0D92">
            <wp:extent cx="3525636" cy="2304000"/>
            <wp:effectExtent l="0" t="0" r="0" b="127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25636" cy="2304000"/>
                    </a:xfrm>
                    <a:prstGeom prst="rect">
                      <a:avLst/>
                    </a:prstGeom>
                    <a:noFill/>
                  </pic:spPr>
                </pic:pic>
              </a:graphicData>
            </a:graphic>
          </wp:inline>
        </w:drawing>
      </w:r>
    </w:p>
    <w:p w14:paraId="443F94DB" w14:textId="77777777" w:rsidR="006B6B74" w:rsidRPr="00C6165A" w:rsidRDefault="006B6B74" w:rsidP="006B6B74">
      <w:pPr>
        <w:spacing w:before="120"/>
        <w:jc w:val="center"/>
        <w:rPr>
          <w:sz w:val="16"/>
          <w:szCs w:val="16"/>
          <w:lang w:eastAsia="es-ES"/>
        </w:rPr>
      </w:pPr>
      <w:r w:rsidRPr="00C6165A">
        <w:rPr>
          <w:sz w:val="16"/>
          <w:szCs w:val="16"/>
          <w:lang w:eastAsia="es-ES"/>
        </w:rPr>
        <w:t>Fuente: Elaboración propia a partir de datos del Observatorio de precios de los productos agrícolas y ganaderos de Castilla y León</w:t>
      </w:r>
    </w:p>
    <w:p w14:paraId="563E5C4A" w14:textId="77777777" w:rsidR="00AA49C3" w:rsidRPr="00C6165A" w:rsidRDefault="00AA49C3" w:rsidP="00AA49C3">
      <w:pPr>
        <w:tabs>
          <w:tab w:val="left" w:pos="1095"/>
        </w:tabs>
      </w:pPr>
    </w:p>
    <w:p w14:paraId="444EF29D" w14:textId="77777777" w:rsidR="00A216A9" w:rsidRPr="00C6165A" w:rsidRDefault="00A216A9" w:rsidP="00AA49C3">
      <w:pPr>
        <w:rPr>
          <w:b/>
        </w:rPr>
      </w:pPr>
    </w:p>
    <w:p w14:paraId="31676EB5" w14:textId="3E9A662F" w:rsidR="00AA49C3" w:rsidRPr="00C6165A" w:rsidRDefault="00AA49C3" w:rsidP="00AA49C3">
      <w:pPr>
        <w:rPr>
          <w:b/>
        </w:rPr>
      </w:pPr>
      <w:r w:rsidRPr="00C6165A">
        <w:rPr>
          <w:b/>
        </w:rPr>
        <w:t>Forrajes</w:t>
      </w:r>
    </w:p>
    <w:p w14:paraId="680ED7D7" w14:textId="77777777" w:rsidR="00AA49C3" w:rsidRPr="00C6165A" w:rsidRDefault="00AA49C3" w:rsidP="00AA49C3"/>
    <w:p w14:paraId="1147AE4A" w14:textId="77777777" w:rsidR="000020CD" w:rsidRPr="00C6165A" w:rsidRDefault="000020CD" w:rsidP="00595E58">
      <w:r w:rsidRPr="00C6165A">
        <w:t>En Castilla y León los cultivos forrajeros has sufrido una disminución de la superficie del 2,5%, situándose en las 193.570 hectáreas de superficie cultivada. En estos términos, el cultivo que más ha aumentado su superficie ha sido la veza para forraje, un 5,8%.</w:t>
      </w:r>
    </w:p>
    <w:p w14:paraId="7EF0DCE1" w14:textId="79BC3BD0" w:rsidR="000020CD" w:rsidRPr="00C6165A" w:rsidRDefault="000020CD" w:rsidP="00595E58">
      <w:r w:rsidRPr="00C6165A">
        <w:t>La producción total también ha bajado. Este año se han recogido 3.172.798 toneladas, un 23,4% menos que en la campaña anterior donde se obtuvieron 4.141.873 toneladas. Cabe destacar</w:t>
      </w:r>
      <w:r w:rsidR="00217EF1" w:rsidRPr="00C6165A">
        <w:t xml:space="preserve"> la enorme caída de producción de la veza para forraje, pues en 2021 se situaba en torno a los 12.000 kilos por hectárea y en este último periodo esa producción se ha reducido hasta los 8.740. Para el resto de los cultivos, las producciones han sido muy similares respecto al periodo anterior.</w:t>
      </w:r>
    </w:p>
    <w:p w14:paraId="1C7B34E4" w14:textId="1FD33C89" w:rsidR="00AA49C3" w:rsidRPr="00C6165A" w:rsidRDefault="00217EF1" w:rsidP="00595E58">
      <w:r w:rsidRPr="00C6165A">
        <w:t>En la siguiente tabla se muestra la evolución de las superficies y producciones por cultivos:</w:t>
      </w:r>
    </w:p>
    <w:p w14:paraId="168ABC95" w14:textId="77777777" w:rsidR="00954AC2" w:rsidRPr="00C6165A" w:rsidRDefault="00954AC2" w:rsidP="00595E58"/>
    <w:tbl>
      <w:tblPr>
        <w:tblW w:w="8494" w:type="dxa"/>
        <w:tblCellMar>
          <w:left w:w="70" w:type="dxa"/>
          <w:right w:w="70" w:type="dxa"/>
        </w:tblCellMar>
        <w:tblLook w:val="04A0" w:firstRow="1" w:lastRow="0" w:firstColumn="1" w:lastColumn="0" w:noHBand="0" w:noVBand="1"/>
      </w:tblPr>
      <w:tblGrid>
        <w:gridCol w:w="1599"/>
        <w:gridCol w:w="1076"/>
        <w:gridCol w:w="1029"/>
        <w:gridCol w:w="1123"/>
        <w:gridCol w:w="1224"/>
        <w:gridCol w:w="1320"/>
        <w:gridCol w:w="1123"/>
      </w:tblGrid>
      <w:tr w:rsidR="00C6165A" w:rsidRPr="00C6165A" w14:paraId="21F8827C" w14:textId="77777777" w:rsidTr="00A35A55">
        <w:trPr>
          <w:trHeight w:val="315"/>
        </w:trPr>
        <w:tc>
          <w:tcPr>
            <w:tcW w:w="1612" w:type="dxa"/>
            <w:vMerge w:val="restart"/>
            <w:tcBorders>
              <w:right w:val="single" w:sz="4" w:space="0" w:color="auto"/>
            </w:tcBorders>
            <w:shd w:val="clear" w:color="auto" w:fill="auto"/>
            <w:noWrap/>
            <w:vAlign w:val="bottom"/>
            <w:hideMark/>
          </w:tcPr>
          <w:p w14:paraId="71CE3514" w14:textId="77777777" w:rsidR="00412F6E" w:rsidRPr="00C6165A" w:rsidRDefault="00412F6E" w:rsidP="00954AC2">
            <w:pPr>
              <w:jc w:val="left"/>
              <w:rPr>
                <w:sz w:val="22"/>
                <w:szCs w:val="22"/>
                <w:lang w:eastAsia="es-ES"/>
              </w:rPr>
            </w:pPr>
            <w:r w:rsidRPr="00C6165A">
              <w:rPr>
                <w:sz w:val="22"/>
                <w:szCs w:val="22"/>
                <w:lang w:eastAsia="es-ES"/>
              </w:rPr>
              <w:t> </w:t>
            </w:r>
          </w:p>
          <w:p w14:paraId="517A63BD" w14:textId="0ED742F2" w:rsidR="00412F6E" w:rsidRPr="00C6165A" w:rsidRDefault="00412F6E" w:rsidP="00954AC2">
            <w:pPr>
              <w:jc w:val="left"/>
              <w:rPr>
                <w:sz w:val="22"/>
                <w:szCs w:val="22"/>
                <w:lang w:eastAsia="es-ES"/>
              </w:rPr>
            </w:pPr>
            <w:r w:rsidRPr="00C6165A">
              <w:rPr>
                <w:sz w:val="22"/>
                <w:szCs w:val="22"/>
                <w:lang w:eastAsia="es-ES"/>
              </w:rPr>
              <w:t> </w:t>
            </w:r>
          </w:p>
        </w:tc>
        <w:tc>
          <w:tcPr>
            <w:tcW w:w="32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1236C" w14:textId="77777777" w:rsidR="00412F6E" w:rsidRPr="00C6165A" w:rsidRDefault="00412F6E" w:rsidP="00954AC2">
            <w:pPr>
              <w:jc w:val="center"/>
              <w:rPr>
                <w:b/>
                <w:bCs/>
                <w:sz w:val="22"/>
                <w:szCs w:val="22"/>
                <w:lang w:eastAsia="es-ES"/>
              </w:rPr>
            </w:pPr>
            <w:r w:rsidRPr="00C6165A">
              <w:rPr>
                <w:b/>
                <w:bCs/>
                <w:sz w:val="22"/>
                <w:szCs w:val="22"/>
                <w:lang w:eastAsia="es-ES"/>
              </w:rPr>
              <w:t>Superficie (ha)</w:t>
            </w:r>
          </w:p>
        </w:tc>
        <w:tc>
          <w:tcPr>
            <w:tcW w:w="3674" w:type="dxa"/>
            <w:gridSpan w:val="3"/>
            <w:tcBorders>
              <w:top w:val="single" w:sz="8" w:space="0" w:color="auto"/>
              <w:left w:val="single" w:sz="4" w:space="0" w:color="auto"/>
              <w:bottom w:val="single" w:sz="4" w:space="0" w:color="auto"/>
              <w:right w:val="single" w:sz="8" w:space="0" w:color="000000"/>
            </w:tcBorders>
            <w:shd w:val="clear" w:color="auto" w:fill="auto"/>
            <w:noWrap/>
            <w:vAlign w:val="center"/>
            <w:hideMark/>
          </w:tcPr>
          <w:p w14:paraId="46C8D74D" w14:textId="77777777" w:rsidR="00412F6E" w:rsidRPr="00C6165A" w:rsidRDefault="00412F6E" w:rsidP="00954AC2">
            <w:pPr>
              <w:jc w:val="center"/>
              <w:rPr>
                <w:b/>
                <w:bCs/>
                <w:sz w:val="22"/>
                <w:szCs w:val="22"/>
                <w:lang w:eastAsia="es-ES"/>
              </w:rPr>
            </w:pPr>
            <w:r w:rsidRPr="00C6165A">
              <w:rPr>
                <w:b/>
                <w:bCs/>
                <w:sz w:val="22"/>
                <w:szCs w:val="22"/>
                <w:lang w:eastAsia="es-ES"/>
              </w:rPr>
              <w:t>Producción (t)</w:t>
            </w:r>
          </w:p>
        </w:tc>
      </w:tr>
      <w:tr w:rsidR="00C6165A" w:rsidRPr="00C6165A" w14:paraId="666A0154" w14:textId="77777777" w:rsidTr="00A35A55">
        <w:trPr>
          <w:trHeight w:val="315"/>
        </w:trPr>
        <w:tc>
          <w:tcPr>
            <w:tcW w:w="1612" w:type="dxa"/>
            <w:vMerge/>
            <w:tcBorders>
              <w:bottom w:val="single" w:sz="4" w:space="0" w:color="auto"/>
              <w:right w:val="single" w:sz="4" w:space="0" w:color="auto"/>
            </w:tcBorders>
            <w:shd w:val="clear" w:color="auto" w:fill="auto"/>
            <w:noWrap/>
            <w:vAlign w:val="bottom"/>
            <w:hideMark/>
          </w:tcPr>
          <w:p w14:paraId="55B29CE5" w14:textId="3F927CE5" w:rsidR="0088606C" w:rsidRPr="00C6165A" w:rsidRDefault="0088606C" w:rsidP="0088606C">
            <w:pPr>
              <w:jc w:val="left"/>
              <w:rPr>
                <w:sz w:val="22"/>
                <w:szCs w:val="22"/>
                <w:lang w:eastAsia="es-ES"/>
              </w:rPr>
            </w:pP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9F2D4" w14:textId="7D8E9E83" w:rsidR="0088606C" w:rsidRPr="00C6165A" w:rsidRDefault="0088606C" w:rsidP="0088606C">
            <w:pPr>
              <w:jc w:val="center"/>
              <w:rPr>
                <w:b/>
                <w:bCs/>
                <w:sz w:val="22"/>
                <w:szCs w:val="22"/>
                <w:lang w:eastAsia="es-ES"/>
              </w:rPr>
            </w:pPr>
            <w:r w:rsidRPr="00C6165A">
              <w:rPr>
                <w:b/>
                <w:bCs/>
                <w:sz w:val="22"/>
                <w:szCs w:val="22"/>
              </w:rPr>
              <w:t>20</w:t>
            </w:r>
            <w:r w:rsidR="00217EF1" w:rsidRPr="00C6165A">
              <w:rPr>
                <w:b/>
                <w:bCs/>
                <w:sz w:val="22"/>
                <w:szCs w:val="22"/>
              </w:rPr>
              <w:t>21</w:t>
            </w:r>
          </w:p>
        </w:tc>
        <w:tc>
          <w:tcPr>
            <w:tcW w:w="103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A258F9A" w14:textId="302546EC" w:rsidR="0088606C" w:rsidRPr="00C6165A" w:rsidRDefault="00217EF1" w:rsidP="0088606C">
            <w:pPr>
              <w:jc w:val="center"/>
              <w:rPr>
                <w:b/>
                <w:bCs/>
                <w:sz w:val="22"/>
                <w:szCs w:val="22"/>
                <w:lang w:eastAsia="es-ES"/>
              </w:rPr>
            </w:pPr>
            <w:r w:rsidRPr="00C6165A">
              <w:rPr>
                <w:b/>
                <w:bCs/>
                <w:sz w:val="22"/>
                <w:szCs w:val="22"/>
              </w:rPr>
              <w:t>2022</w:t>
            </w:r>
          </w:p>
        </w:tc>
        <w:tc>
          <w:tcPr>
            <w:tcW w:w="1087" w:type="dxa"/>
            <w:tcBorders>
              <w:top w:val="single" w:sz="8" w:space="0" w:color="auto"/>
              <w:left w:val="nil"/>
              <w:bottom w:val="single" w:sz="8" w:space="0" w:color="auto"/>
              <w:right w:val="single" w:sz="8" w:space="0" w:color="auto"/>
            </w:tcBorders>
            <w:shd w:val="clear" w:color="auto" w:fill="auto"/>
            <w:noWrap/>
            <w:vAlign w:val="center"/>
            <w:hideMark/>
          </w:tcPr>
          <w:p w14:paraId="5E02BF97" w14:textId="44E1B654" w:rsidR="0088606C" w:rsidRPr="00C6165A" w:rsidRDefault="0088606C" w:rsidP="0088606C">
            <w:pPr>
              <w:jc w:val="center"/>
              <w:rPr>
                <w:b/>
                <w:bCs/>
                <w:sz w:val="22"/>
                <w:szCs w:val="22"/>
                <w:lang w:eastAsia="es-ES"/>
              </w:rPr>
            </w:pPr>
            <w:r w:rsidRPr="00C6165A">
              <w:rPr>
                <w:b/>
                <w:bCs/>
                <w:sz w:val="22"/>
                <w:szCs w:val="22"/>
              </w:rPr>
              <w:t>Variación</w:t>
            </w:r>
          </w:p>
        </w:tc>
        <w:tc>
          <w:tcPr>
            <w:tcW w:w="1233" w:type="dxa"/>
            <w:tcBorders>
              <w:top w:val="single" w:sz="8" w:space="0" w:color="auto"/>
              <w:left w:val="nil"/>
              <w:bottom w:val="single" w:sz="8" w:space="0" w:color="auto"/>
              <w:right w:val="single" w:sz="8" w:space="0" w:color="auto"/>
            </w:tcBorders>
            <w:shd w:val="clear" w:color="auto" w:fill="auto"/>
            <w:noWrap/>
            <w:vAlign w:val="center"/>
            <w:hideMark/>
          </w:tcPr>
          <w:p w14:paraId="2A7CE9FC" w14:textId="5AB639C6" w:rsidR="0088606C" w:rsidRPr="00C6165A" w:rsidRDefault="00217EF1" w:rsidP="0088606C">
            <w:pPr>
              <w:jc w:val="center"/>
              <w:rPr>
                <w:b/>
                <w:bCs/>
                <w:sz w:val="22"/>
                <w:szCs w:val="22"/>
                <w:lang w:eastAsia="es-ES"/>
              </w:rPr>
            </w:pPr>
            <w:r w:rsidRPr="00C6165A">
              <w:rPr>
                <w:b/>
                <w:bCs/>
                <w:sz w:val="22"/>
                <w:szCs w:val="22"/>
              </w:rPr>
              <w:t>2021</w:t>
            </w:r>
          </w:p>
        </w:tc>
        <w:tc>
          <w:tcPr>
            <w:tcW w:w="1330" w:type="dxa"/>
            <w:tcBorders>
              <w:top w:val="single" w:sz="8" w:space="0" w:color="auto"/>
              <w:left w:val="nil"/>
              <w:bottom w:val="single" w:sz="8" w:space="0" w:color="auto"/>
              <w:right w:val="single" w:sz="8" w:space="0" w:color="auto"/>
            </w:tcBorders>
            <w:shd w:val="clear" w:color="auto" w:fill="auto"/>
            <w:noWrap/>
            <w:vAlign w:val="center"/>
            <w:hideMark/>
          </w:tcPr>
          <w:p w14:paraId="15293221" w14:textId="639AB1FC" w:rsidR="0088606C" w:rsidRPr="00C6165A" w:rsidRDefault="00217EF1" w:rsidP="0088606C">
            <w:pPr>
              <w:jc w:val="center"/>
              <w:rPr>
                <w:b/>
                <w:bCs/>
                <w:sz w:val="22"/>
                <w:szCs w:val="22"/>
                <w:lang w:eastAsia="es-ES"/>
              </w:rPr>
            </w:pPr>
            <w:r w:rsidRPr="00C6165A">
              <w:rPr>
                <w:b/>
                <w:bCs/>
                <w:sz w:val="22"/>
                <w:szCs w:val="22"/>
              </w:rPr>
              <w:t>2022</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6874DDB3" w14:textId="464E128B" w:rsidR="0088606C" w:rsidRPr="00C6165A" w:rsidRDefault="0088606C" w:rsidP="0088606C">
            <w:pPr>
              <w:jc w:val="center"/>
              <w:rPr>
                <w:b/>
                <w:bCs/>
                <w:sz w:val="22"/>
                <w:szCs w:val="22"/>
                <w:lang w:eastAsia="es-ES"/>
              </w:rPr>
            </w:pPr>
            <w:r w:rsidRPr="00C6165A">
              <w:rPr>
                <w:b/>
                <w:bCs/>
                <w:sz w:val="22"/>
                <w:szCs w:val="22"/>
              </w:rPr>
              <w:t>Variación</w:t>
            </w:r>
          </w:p>
        </w:tc>
      </w:tr>
      <w:tr w:rsidR="00C6165A" w:rsidRPr="00C6165A" w14:paraId="29D50C30" w14:textId="77777777" w:rsidTr="00A35A55">
        <w:trPr>
          <w:trHeight w:val="315"/>
        </w:trPr>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1E389" w14:textId="77777777" w:rsidR="00217EF1" w:rsidRPr="00C6165A" w:rsidRDefault="00217EF1" w:rsidP="00217EF1">
            <w:pPr>
              <w:jc w:val="left"/>
              <w:rPr>
                <w:sz w:val="22"/>
                <w:szCs w:val="22"/>
                <w:lang w:eastAsia="es-ES"/>
              </w:rPr>
            </w:pPr>
            <w:r w:rsidRPr="00C6165A">
              <w:rPr>
                <w:sz w:val="22"/>
                <w:szCs w:val="22"/>
                <w:lang w:eastAsia="es-ES"/>
              </w:rPr>
              <w:t>Maíz forrajero</w:t>
            </w:r>
          </w:p>
        </w:tc>
        <w:tc>
          <w:tcPr>
            <w:tcW w:w="1084"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2842C774" w14:textId="4E924C63" w:rsidR="00217EF1" w:rsidRPr="00C6165A" w:rsidRDefault="00217EF1" w:rsidP="00217EF1">
            <w:pPr>
              <w:jc w:val="center"/>
              <w:rPr>
                <w:sz w:val="22"/>
                <w:szCs w:val="22"/>
                <w:lang w:eastAsia="es-ES"/>
              </w:rPr>
            </w:pPr>
            <w:r w:rsidRPr="00C6165A">
              <w:rPr>
                <w:sz w:val="22"/>
                <w:szCs w:val="22"/>
              </w:rPr>
              <w:t>11.096</w:t>
            </w:r>
          </w:p>
        </w:tc>
        <w:tc>
          <w:tcPr>
            <w:tcW w:w="1037" w:type="dxa"/>
            <w:tcBorders>
              <w:top w:val="single" w:sz="8" w:space="0" w:color="auto"/>
              <w:left w:val="nil"/>
              <w:bottom w:val="single" w:sz="8" w:space="0" w:color="auto"/>
              <w:right w:val="single" w:sz="8" w:space="0" w:color="auto"/>
            </w:tcBorders>
            <w:shd w:val="clear" w:color="auto" w:fill="auto"/>
            <w:noWrap/>
            <w:vAlign w:val="center"/>
            <w:hideMark/>
          </w:tcPr>
          <w:p w14:paraId="24EA67F6" w14:textId="765EF8D1" w:rsidR="00217EF1" w:rsidRPr="00C6165A" w:rsidRDefault="00217EF1" w:rsidP="00217EF1">
            <w:pPr>
              <w:jc w:val="center"/>
              <w:rPr>
                <w:sz w:val="22"/>
                <w:szCs w:val="22"/>
                <w:lang w:eastAsia="es-ES"/>
              </w:rPr>
            </w:pPr>
            <w:r w:rsidRPr="00C6165A">
              <w:rPr>
                <w:sz w:val="22"/>
                <w:szCs w:val="22"/>
              </w:rPr>
              <w:t>11.031</w:t>
            </w:r>
          </w:p>
        </w:tc>
        <w:tc>
          <w:tcPr>
            <w:tcW w:w="1087" w:type="dxa"/>
            <w:tcBorders>
              <w:top w:val="single" w:sz="8" w:space="0" w:color="auto"/>
              <w:left w:val="nil"/>
              <w:bottom w:val="single" w:sz="8" w:space="0" w:color="auto"/>
              <w:right w:val="single" w:sz="8" w:space="0" w:color="auto"/>
            </w:tcBorders>
            <w:shd w:val="clear" w:color="auto" w:fill="auto"/>
            <w:noWrap/>
            <w:vAlign w:val="center"/>
            <w:hideMark/>
          </w:tcPr>
          <w:p w14:paraId="4FA31265" w14:textId="2268181A" w:rsidR="00217EF1" w:rsidRPr="00C6165A" w:rsidRDefault="00217EF1" w:rsidP="00217EF1">
            <w:pPr>
              <w:jc w:val="center"/>
              <w:rPr>
                <w:sz w:val="22"/>
                <w:szCs w:val="22"/>
                <w:lang w:eastAsia="es-ES"/>
              </w:rPr>
            </w:pPr>
            <w:r w:rsidRPr="00C6165A">
              <w:rPr>
                <w:sz w:val="22"/>
                <w:szCs w:val="22"/>
              </w:rPr>
              <w:t>-0,6%</w:t>
            </w:r>
          </w:p>
        </w:tc>
        <w:tc>
          <w:tcPr>
            <w:tcW w:w="1233" w:type="dxa"/>
            <w:tcBorders>
              <w:top w:val="single" w:sz="8" w:space="0" w:color="auto"/>
              <w:left w:val="nil"/>
              <w:bottom w:val="single" w:sz="8" w:space="0" w:color="auto"/>
              <w:right w:val="single" w:sz="8" w:space="0" w:color="auto"/>
            </w:tcBorders>
            <w:shd w:val="clear" w:color="auto" w:fill="auto"/>
            <w:noWrap/>
            <w:vAlign w:val="center"/>
            <w:hideMark/>
          </w:tcPr>
          <w:p w14:paraId="3E059837" w14:textId="2EAA0358" w:rsidR="00217EF1" w:rsidRPr="00C6165A" w:rsidRDefault="00217EF1" w:rsidP="00217EF1">
            <w:pPr>
              <w:jc w:val="center"/>
              <w:rPr>
                <w:sz w:val="22"/>
                <w:szCs w:val="22"/>
                <w:lang w:eastAsia="es-ES"/>
              </w:rPr>
            </w:pPr>
            <w:r w:rsidRPr="00C6165A">
              <w:rPr>
                <w:sz w:val="22"/>
                <w:szCs w:val="22"/>
              </w:rPr>
              <w:t>665.748</w:t>
            </w:r>
          </w:p>
        </w:tc>
        <w:tc>
          <w:tcPr>
            <w:tcW w:w="1330" w:type="dxa"/>
            <w:tcBorders>
              <w:top w:val="single" w:sz="8" w:space="0" w:color="auto"/>
              <w:left w:val="nil"/>
              <w:bottom w:val="single" w:sz="8" w:space="0" w:color="auto"/>
              <w:right w:val="single" w:sz="8" w:space="0" w:color="auto"/>
            </w:tcBorders>
            <w:shd w:val="clear" w:color="auto" w:fill="auto"/>
            <w:noWrap/>
            <w:vAlign w:val="center"/>
            <w:hideMark/>
          </w:tcPr>
          <w:p w14:paraId="77AD428E" w14:textId="33D02C36" w:rsidR="00217EF1" w:rsidRPr="00C6165A" w:rsidRDefault="00217EF1" w:rsidP="00217EF1">
            <w:pPr>
              <w:jc w:val="center"/>
              <w:rPr>
                <w:sz w:val="22"/>
                <w:szCs w:val="22"/>
                <w:lang w:eastAsia="es-ES"/>
              </w:rPr>
            </w:pPr>
            <w:r w:rsidRPr="00C6165A">
              <w:rPr>
                <w:sz w:val="22"/>
                <w:szCs w:val="22"/>
              </w:rPr>
              <w:t>559.478</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4CDF33DA" w14:textId="3EC7E630" w:rsidR="00217EF1" w:rsidRPr="00C6165A" w:rsidRDefault="00217EF1" w:rsidP="00217EF1">
            <w:pPr>
              <w:jc w:val="center"/>
              <w:rPr>
                <w:sz w:val="22"/>
                <w:szCs w:val="22"/>
                <w:lang w:eastAsia="es-ES"/>
              </w:rPr>
            </w:pPr>
            <w:r w:rsidRPr="00C6165A">
              <w:rPr>
                <w:sz w:val="22"/>
                <w:szCs w:val="22"/>
              </w:rPr>
              <w:t>-16,0%</w:t>
            </w:r>
          </w:p>
        </w:tc>
      </w:tr>
      <w:tr w:rsidR="00C6165A" w:rsidRPr="00C6165A" w14:paraId="485D3B29" w14:textId="77777777" w:rsidTr="00A35A55">
        <w:trPr>
          <w:trHeight w:val="315"/>
        </w:trPr>
        <w:tc>
          <w:tcPr>
            <w:tcW w:w="161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D4146AE" w14:textId="77777777" w:rsidR="00217EF1" w:rsidRPr="00C6165A" w:rsidRDefault="00217EF1" w:rsidP="00217EF1">
            <w:pPr>
              <w:jc w:val="left"/>
              <w:rPr>
                <w:sz w:val="22"/>
                <w:szCs w:val="22"/>
                <w:lang w:eastAsia="es-ES"/>
              </w:rPr>
            </w:pPr>
            <w:r w:rsidRPr="00C6165A">
              <w:rPr>
                <w:sz w:val="22"/>
                <w:szCs w:val="22"/>
                <w:lang w:eastAsia="es-ES"/>
              </w:rPr>
              <w:t>Alfalfa</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14:paraId="7C4178B8" w14:textId="637E3914" w:rsidR="00217EF1" w:rsidRPr="00C6165A" w:rsidRDefault="00217EF1" w:rsidP="00217EF1">
            <w:pPr>
              <w:jc w:val="center"/>
              <w:rPr>
                <w:sz w:val="22"/>
                <w:szCs w:val="22"/>
                <w:lang w:eastAsia="es-ES"/>
              </w:rPr>
            </w:pPr>
            <w:r w:rsidRPr="00C6165A">
              <w:rPr>
                <w:sz w:val="22"/>
                <w:szCs w:val="22"/>
              </w:rPr>
              <w:t>91.408</w:t>
            </w:r>
          </w:p>
        </w:tc>
        <w:tc>
          <w:tcPr>
            <w:tcW w:w="1037" w:type="dxa"/>
            <w:tcBorders>
              <w:top w:val="single" w:sz="8" w:space="0" w:color="auto"/>
              <w:left w:val="nil"/>
              <w:bottom w:val="single" w:sz="8" w:space="0" w:color="auto"/>
              <w:right w:val="single" w:sz="8" w:space="0" w:color="auto"/>
            </w:tcBorders>
            <w:shd w:val="clear" w:color="auto" w:fill="auto"/>
            <w:noWrap/>
            <w:vAlign w:val="center"/>
            <w:hideMark/>
          </w:tcPr>
          <w:p w14:paraId="76C12041" w14:textId="1FF34B14" w:rsidR="00217EF1" w:rsidRPr="00C6165A" w:rsidRDefault="00217EF1" w:rsidP="00217EF1">
            <w:pPr>
              <w:jc w:val="center"/>
              <w:rPr>
                <w:sz w:val="22"/>
                <w:szCs w:val="22"/>
                <w:lang w:eastAsia="es-ES"/>
              </w:rPr>
            </w:pPr>
            <w:r w:rsidRPr="00C6165A">
              <w:rPr>
                <w:sz w:val="22"/>
                <w:szCs w:val="22"/>
              </w:rPr>
              <w:t>80.896</w:t>
            </w:r>
          </w:p>
        </w:tc>
        <w:tc>
          <w:tcPr>
            <w:tcW w:w="1087" w:type="dxa"/>
            <w:tcBorders>
              <w:top w:val="single" w:sz="8" w:space="0" w:color="auto"/>
              <w:left w:val="nil"/>
              <w:bottom w:val="single" w:sz="8" w:space="0" w:color="auto"/>
              <w:right w:val="single" w:sz="8" w:space="0" w:color="auto"/>
            </w:tcBorders>
            <w:shd w:val="clear" w:color="auto" w:fill="auto"/>
            <w:noWrap/>
            <w:vAlign w:val="center"/>
            <w:hideMark/>
          </w:tcPr>
          <w:p w14:paraId="69FF4FBA" w14:textId="6DB9572D" w:rsidR="00217EF1" w:rsidRPr="00C6165A" w:rsidRDefault="00217EF1" w:rsidP="00217EF1">
            <w:pPr>
              <w:jc w:val="center"/>
              <w:rPr>
                <w:sz w:val="22"/>
                <w:szCs w:val="22"/>
                <w:lang w:eastAsia="es-ES"/>
              </w:rPr>
            </w:pPr>
            <w:r w:rsidRPr="00C6165A">
              <w:rPr>
                <w:sz w:val="22"/>
                <w:szCs w:val="22"/>
              </w:rPr>
              <w:t>-11,5%</w:t>
            </w:r>
          </w:p>
        </w:tc>
        <w:tc>
          <w:tcPr>
            <w:tcW w:w="1233" w:type="dxa"/>
            <w:tcBorders>
              <w:top w:val="single" w:sz="8" w:space="0" w:color="auto"/>
              <w:left w:val="nil"/>
              <w:bottom w:val="single" w:sz="8" w:space="0" w:color="auto"/>
              <w:right w:val="single" w:sz="8" w:space="0" w:color="auto"/>
            </w:tcBorders>
            <w:shd w:val="clear" w:color="auto" w:fill="auto"/>
            <w:noWrap/>
            <w:vAlign w:val="center"/>
            <w:hideMark/>
          </w:tcPr>
          <w:p w14:paraId="02A284FD" w14:textId="41B8A533" w:rsidR="00217EF1" w:rsidRPr="00C6165A" w:rsidRDefault="00217EF1" w:rsidP="00217EF1">
            <w:pPr>
              <w:jc w:val="center"/>
              <w:rPr>
                <w:sz w:val="22"/>
                <w:szCs w:val="22"/>
                <w:lang w:eastAsia="es-ES"/>
              </w:rPr>
            </w:pPr>
            <w:r w:rsidRPr="00C6165A">
              <w:rPr>
                <w:sz w:val="22"/>
                <w:szCs w:val="22"/>
              </w:rPr>
              <w:t>2.317.399</w:t>
            </w:r>
          </w:p>
        </w:tc>
        <w:tc>
          <w:tcPr>
            <w:tcW w:w="1330" w:type="dxa"/>
            <w:tcBorders>
              <w:top w:val="single" w:sz="8" w:space="0" w:color="auto"/>
              <w:left w:val="nil"/>
              <w:bottom w:val="single" w:sz="8" w:space="0" w:color="auto"/>
              <w:right w:val="single" w:sz="8" w:space="0" w:color="auto"/>
            </w:tcBorders>
            <w:shd w:val="clear" w:color="auto" w:fill="auto"/>
            <w:noWrap/>
            <w:vAlign w:val="center"/>
            <w:hideMark/>
          </w:tcPr>
          <w:p w14:paraId="2FD49F66" w14:textId="7FE09F49" w:rsidR="00217EF1" w:rsidRPr="00C6165A" w:rsidRDefault="00217EF1" w:rsidP="00217EF1">
            <w:pPr>
              <w:jc w:val="center"/>
              <w:rPr>
                <w:sz w:val="22"/>
                <w:szCs w:val="22"/>
                <w:lang w:eastAsia="es-ES"/>
              </w:rPr>
            </w:pPr>
            <w:r w:rsidRPr="00C6165A">
              <w:rPr>
                <w:sz w:val="22"/>
                <w:szCs w:val="22"/>
              </w:rPr>
              <w:t>1.725.171</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0AF3DC75" w14:textId="5FD87F54" w:rsidR="00217EF1" w:rsidRPr="00C6165A" w:rsidRDefault="00217EF1" w:rsidP="00217EF1">
            <w:pPr>
              <w:jc w:val="center"/>
              <w:rPr>
                <w:sz w:val="22"/>
                <w:szCs w:val="22"/>
                <w:lang w:eastAsia="es-ES"/>
              </w:rPr>
            </w:pPr>
            <w:r w:rsidRPr="00C6165A">
              <w:rPr>
                <w:sz w:val="22"/>
                <w:szCs w:val="22"/>
              </w:rPr>
              <w:t>-25,6%</w:t>
            </w:r>
          </w:p>
        </w:tc>
      </w:tr>
      <w:tr w:rsidR="00C6165A" w:rsidRPr="00C6165A" w14:paraId="32857D86" w14:textId="77777777" w:rsidTr="00A35A55">
        <w:trPr>
          <w:trHeight w:val="315"/>
        </w:trPr>
        <w:tc>
          <w:tcPr>
            <w:tcW w:w="16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B378C0" w14:textId="77777777" w:rsidR="00217EF1" w:rsidRPr="00C6165A" w:rsidRDefault="00217EF1" w:rsidP="00217EF1">
            <w:pPr>
              <w:jc w:val="left"/>
              <w:rPr>
                <w:sz w:val="22"/>
                <w:szCs w:val="22"/>
                <w:lang w:eastAsia="es-ES"/>
              </w:rPr>
            </w:pPr>
            <w:r w:rsidRPr="00C6165A">
              <w:rPr>
                <w:sz w:val="22"/>
                <w:szCs w:val="22"/>
                <w:lang w:eastAsia="es-ES"/>
              </w:rPr>
              <w:t>Veza para forraje</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14:paraId="6F2C23F5" w14:textId="15BECD4E" w:rsidR="00217EF1" w:rsidRPr="00C6165A" w:rsidRDefault="00217EF1" w:rsidP="00217EF1">
            <w:pPr>
              <w:jc w:val="center"/>
              <w:rPr>
                <w:sz w:val="22"/>
                <w:szCs w:val="22"/>
                <w:lang w:eastAsia="es-ES"/>
              </w:rPr>
            </w:pPr>
            <w:r w:rsidRPr="00C6165A">
              <w:rPr>
                <w:sz w:val="22"/>
                <w:szCs w:val="22"/>
              </w:rPr>
              <w:t>96.036</w:t>
            </w:r>
          </w:p>
        </w:tc>
        <w:tc>
          <w:tcPr>
            <w:tcW w:w="1037" w:type="dxa"/>
            <w:tcBorders>
              <w:top w:val="single" w:sz="8" w:space="0" w:color="auto"/>
              <w:left w:val="nil"/>
              <w:bottom w:val="single" w:sz="8" w:space="0" w:color="auto"/>
              <w:right w:val="single" w:sz="8" w:space="0" w:color="auto"/>
            </w:tcBorders>
            <w:shd w:val="clear" w:color="auto" w:fill="auto"/>
            <w:noWrap/>
            <w:vAlign w:val="center"/>
            <w:hideMark/>
          </w:tcPr>
          <w:p w14:paraId="0B6C4F6A" w14:textId="7751AD2B" w:rsidR="00217EF1" w:rsidRPr="00C6165A" w:rsidRDefault="00217EF1" w:rsidP="00217EF1">
            <w:pPr>
              <w:jc w:val="center"/>
              <w:rPr>
                <w:sz w:val="22"/>
                <w:szCs w:val="22"/>
                <w:lang w:eastAsia="es-ES"/>
              </w:rPr>
            </w:pPr>
            <w:r w:rsidRPr="00C6165A">
              <w:rPr>
                <w:sz w:val="22"/>
                <w:szCs w:val="22"/>
              </w:rPr>
              <w:t>101.643</w:t>
            </w:r>
          </w:p>
        </w:tc>
        <w:tc>
          <w:tcPr>
            <w:tcW w:w="1087" w:type="dxa"/>
            <w:tcBorders>
              <w:top w:val="single" w:sz="8" w:space="0" w:color="auto"/>
              <w:left w:val="nil"/>
              <w:bottom w:val="single" w:sz="8" w:space="0" w:color="auto"/>
              <w:right w:val="single" w:sz="8" w:space="0" w:color="auto"/>
            </w:tcBorders>
            <w:shd w:val="clear" w:color="auto" w:fill="auto"/>
            <w:noWrap/>
            <w:vAlign w:val="center"/>
            <w:hideMark/>
          </w:tcPr>
          <w:p w14:paraId="552F4E14" w14:textId="610207D0" w:rsidR="00217EF1" w:rsidRPr="00C6165A" w:rsidRDefault="00217EF1" w:rsidP="00217EF1">
            <w:pPr>
              <w:jc w:val="center"/>
              <w:rPr>
                <w:sz w:val="22"/>
                <w:szCs w:val="22"/>
                <w:lang w:eastAsia="es-ES"/>
              </w:rPr>
            </w:pPr>
            <w:r w:rsidRPr="00C6165A">
              <w:rPr>
                <w:sz w:val="22"/>
                <w:szCs w:val="22"/>
              </w:rPr>
              <w:t>5,8%</w:t>
            </w:r>
          </w:p>
        </w:tc>
        <w:tc>
          <w:tcPr>
            <w:tcW w:w="1233" w:type="dxa"/>
            <w:tcBorders>
              <w:top w:val="single" w:sz="8" w:space="0" w:color="auto"/>
              <w:left w:val="nil"/>
              <w:bottom w:val="single" w:sz="8" w:space="0" w:color="auto"/>
              <w:right w:val="single" w:sz="8" w:space="0" w:color="auto"/>
            </w:tcBorders>
            <w:shd w:val="clear" w:color="auto" w:fill="auto"/>
            <w:noWrap/>
            <w:vAlign w:val="center"/>
            <w:hideMark/>
          </w:tcPr>
          <w:p w14:paraId="12D3346D" w14:textId="660AAC0B" w:rsidR="00217EF1" w:rsidRPr="00C6165A" w:rsidRDefault="00217EF1" w:rsidP="00217EF1">
            <w:pPr>
              <w:jc w:val="center"/>
              <w:rPr>
                <w:sz w:val="22"/>
                <w:szCs w:val="22"/>
                <w:lang w:eastAsia="es-ES"/>
              </w:rPr>
            </w:pPr>
            <w:r w:rsidRPr="00C6165A">
              <w:rPr>
                <w:sz w:val="22"/>
                <w:szCs w:val="22"/>
              </w:rPr>
              <w:t>1.158.726</w:t>
            </w:r>
          </w:p>
        </w:tc>
        <w:tc>
          <w:tcPr>
            <w:tcW w:w="1330" w:type="dxa"/>
            <w:tcBorders>
              <w:top w:val="single" w:sz="8" w:space="0" w:color="auto"/>
              <w:left w:val="nil"/>
              <w:bottom w:val="single" w:sz="8" w:space="0" w:color="auto"/>
              <w:right w:val="single" w:sz="8" w:space="0" w:color="auto"/>
            </w:tcBorders>
            <w:shd w:val="clear" w:color="auto" w:fill="auto"/>
            <w:noWrap/>
            <w:vAlign w:val="center"/>
            <w:hideMark/>
          </w:tcPr>
          <w:p w14:paraId="4B8F074C" w14:textId="6E3FBD84" w:rsidR="00217EF1" w:rsidRPr="00C6165A" w:rsidRDefault="00217EF1" w:rsidP="00217EF1">
            <w:pPr>
              <w:jc w:val="center"/>
              <w:rPr>
                <w:sz w:val="22"/>
                <w:szCs w:val="22"/>
                <w:lang w:eastAsia="es-ES"/>
              </w:rPr>
            </w:pPr>
            <w:r w:rsidRPr="00C6165A">
              <w:rPr>
                <w:sz w:val="22"/>
                <w:szCs w:val="22"/>
              </w:rPr>
              <w:t>888.149</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4917D64F" w14:textId="758D79DC" w:rsidR="00217EF1" w:rsidRPr="00C6165A" w:rsidRDefault="00217EF1" w:rsidP="00217EF1">
            <w:pPr>
              <w:jc w:val="center"/>
              <w:rPr>
                <w:sz w:val="22"/>
                <w:szCs w:val="22"/>
                <w:lang w:eastAsia="es-ES"/>
              </w:rPr>
            </w:pPr>
            <w:r w:rsidRPr="00C6165A">
              <w:rPr>
                <w:sz w:val="22"/>
                <w:szCs w:val="22"/>
              </w:rPr>
              <w:t>-23,4%</w:t>
            </w:r>
          </w:p>
        </w:tc>
      </w:tr>
      <w:tr w:rsidR="00C6165A" w:rsidRPr="00C6165A" w14:paraId="75C740C7" w14:textId="77777777" w:rsidTr="00A35A55">
        <w:trPr>
          <w:trHeight w:val="315"/>
        </w:trPr>
        <w:tc>
          <w:tcPr>
            <w:tcW w:w="16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2D5BF0" w14:textId="77777777" w:rsidR="00217EF1" w:rsidRPr="00C6165A" w:rsidRDefault="00217EF1" w:rsidP="00217EF1">
            <w:pPr>
              <w:jc w:val="left"/>
              <w:rPr>
                <w:b/>
                <w:bCs/>
                <w:i/>
                <w:iCs/>
                <w:sz w:val="22"/>
                <w:szCs w:val="22"/>
                <w:lang w:eastAsia="es-ES"/>
              </w:rPr>
            </w:pPr>
            <w:r w:rsidRPr="00C6165A">
              <w:rPr>
                <w:b/>
                <w:bCs/>
                <w:i/>
                <w:iCs/>
                <w:sz w:val="22"/>
                <w:szCs w:val="22"/>
                <w:lang w:eastAsia="es-ES"/>
              </w:rPr>
              <w:t>Total</w:t>
            </w:r>
          </w:p>
        </w:tc>
        <w:tc>
          <w:tcPr>
            <w:tcW w:w="10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2CF35B" w14:textId="4FD5FAC9" w:rsidR="00217EF1" w:rsidRPr="00C6165A" w:rsidRDefault="00217EF1" w:rsidP="00217EF1">
            <w:pPr>
              <w:jc w:val="center"/>
              <w:rPr>
                <w:b/>
                <w:bCs/>
                <w:i/>
                <w:iCs/>
                <w:sz w:val="22"/>
                <w:szCs w:val="22"/>
                <w:lang w:eastAsia="es-ES"/>
              </w:rPr>
            </w:pPr>
            <w:r w:rsidRPr="00C6165A">
              <w:rPr>
                <w:b/>
                <w:bCs/>
                <w:sz w:val="22"/>
                <w:szCs w:val="22"/>
              </w:rPr>
              <w:t>198.540</w:t>
            </w:r>
          </w:p>
        </w:tc>
        <w:tc>
          <w:tcPr>
            <w:tcW w:w="103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80DCD9" w14:textId="0C43A808" w:rsidR="00217EF1" w:rsidRPr="00C6165A" w:rsidRDefault="00217EF1" w:rsidP="00217EF1">
            <w:pPr>
              <w:jc w:val="center"/>
              <w:rPr>
                <w:b/>
                <w:bCs/>
                <w:i/>
                <w:iCs/>
                <w:sz w:val="22"/>
                <w:szCs w:val="22"/>
                <w:lang w:eastAsia="es-ES"/>
              </w:rPr>
            </w:pPr>
            <w:r w:rsidRPr="00C6165A">
              <w:rPr>
                <w:b/>
                <w:bCs/>
                <w:sz w:val="22"/>
                <w:szCs w:val="22"/>
              </w:rPr>
              <w:t>193.570</w:t>
            </w:r>
          </w:p>
        </w:tc>
        <w:tc>
          <w:tcPr>
            <w:tcW w:w="10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A55529" w14:textId="6E0539A8" w:rsidR="00217EF1" w:rsidRPr="00C6165A" w:rsidRDefault="00217EF1" w:rsidP="00217EF1">
            <w:pPr>
              <w:jc w:val="center"/>
              <w:rPr>
                <w:b/>
                <w:bCs/>
                <w:i/>
                <w:iCs/>
                <w:sz w:val="22"/>
                <w:szCs w:val="22"/>
                <w:lang w:eastAsia="es-ES"/>
              </w:rPr>
            </w:pPr>
            <w:r w:rsidRPr="00C6165A">
              <w:rPr>
                <w:b/>
                <w:bCs/>
                <w:sz w:val="22"/>
                <w:szCs w:val="22"/>
              </w:rPr>
              <w:t>-2,5%</w:t>
            </w:r>
          </w:p>
        </w:tc>
        <w:tc>
          <w:tcPr>
            <w:tcW w:w="12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C0E80D" w14:textId="634D3219" w:rsidR="00217EF1" w:rsidRPr="00C6165A" w:rsidRDefault="00217EF1" w:rsidP="00217EF1">
            <w:pPr>
              <w:jc w:val="center"/>
              <w:rPr>
                <w:b/>
                <w:bCs/>
                <w:i/>
                <w:iCs/>
                <w:sz w:val="22"/>
                <w:szCs w:val="22"/>
                <w:lang w:eastAsia="es-ES"/>
              </w:rPr>
            </w:pPr>
            <w:r w:rsidRPr="00C6165A">
              <w:rPr>
                <w:b/>
                <w:bCs/>
                <w:sz w:val="22"/>
                <w:szCs w:val="22"/>
              </w:rPr>
              <w:t>4.141.873</w:t>
            </w:r>
          </w:p>
        </w:tc>
        <w:tc>
          <w:tcPr>
            <w:tcW w:w="13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93129E" w14:textId="2A284B17" w:rsidR="00217EF1" w:rsidRPr="00C6165A" w:rsidRDefault="00217EF1" w:rsidP="00217EF1">
            <w:pPr>
              <w:jc w:val="center"/>
              <w:rPr>
                <w:b/>
                <w:bCs/>
                <w:i/>
                <w:iCs/>
                <w:sz w:val="22"/>
                <w:szCs w:val="22"/>
                <w:lang w:eastAsia="es-ES"/>
              </w:rPr>
            </w:pPr>
            <w:r w:rsidRPr="00C6165A">
              <w:rPr>
                <w:b/>
                <w:bCs/>
                <w:sz w:val="22"/>
                <w:szCs w:val="22"/>
              </w:rPr>
              <w:t>3.172.798</w:t>
            </w:r>
          </w:p>
        </w:tc>
        <w:tc>
          <w:tcPr>
            <w:tcW w:w="1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3DED59" w14:textId="25C05793" w:rsidR="00217EF1" w:rsidRPr="00C6165A" w:rsidRDefault="00217EF1" w:rsidP="00217EF1">
            <w:pPr>
              <w:jc w:val="center"/>
              <w:rPr>
                <w:b/>
                <w:bCs/>
                <w:i/>
                <w:iCs/>
                <w:sz w:val="22"/>
                <w:szCs w:val="22"/>
                <w:lang w:eastAsia="es-ES"/>
              </w:rPr>
            </w:pPr>
            <w:r w:rsidRPr="00C6165A">
              <w:rPr>
                <w:b/>
                <w:bCs/>
                <w:sz w:val="22"/>
                <w:szCs w:val="22"/>
              </w:rPr>
              <w:t>-23,4%</w:t>
            </w:r>
          </w:p>
        </w:tc>
      </w:tr>
      <w:tr w:rsidR="0088606C" w:rsidRPr="00C6165A" w14:paraId="18C7BB06" w14:textId="77777777" w:rsidTr="00A35A55">
        <w:trPr>
          <w:trHeight w:val="315"/>
        </w:trPr>
        <w:tc>
          <w:tcPr>
            <w:tcW w:w="8494" w:type="dxa"/>
            <w:gridSpan w:val="7"/>
            <w:tcBorders>
              <w:top w:val="single" w:sz="4" w:space="0" w:color="auto"/>
            </w:tcBorders>
            <w:shd w:val="clear" w:color="auto" w:fill="auto"/>
            <w:noWrap/>
            <w:vAlign w:val="center"/>
          </w:tcPr>
          <w:p w14:paraId="3AF309B2" w14:textId="2BF51762" w:rsidR="00897B8A" w:rsidRPr="00C6165A" w:rsidRDefault="00897B8A" w:rsidP="00897B8A">
            <w:pPr>
              <w:jc w:val="left"/>
              <w:rPr>
                <w:b/>
                <w:bCs/>
                <w:i/>
                <w:iCs/>
                <w:sz w:val="22"/>
                <w:szCs w:val="22"/>
                <w:lang w:eastAsia="es-ES"/>
              </w:rPr>
            </w:pPr>
            <w:r w:rsidRPr="00C6165A">
              <w:rPr>
                <w:sz w:val="16"/>
                <w:szCs w:val="16"/>
                <w:lang w:eastAsia="es-ES"/>
              </w:rPr>
              <w:t>Fuente: Elaboración propia a partir de los avances de superficies y producciones de la Consejería de Agricultura</w:t>
            </w:r>
            <w:r w:rsidR="00CB5999" w:rsidRPr="00C6165A">
              <w:rPr>
                <w:sz w:val="16"/>
                <w:szCs w:val="16"/>
                <w:lang w:eastAsia="es-ES"/>
              </w:rPr>
              <w:t>, Ganadería y Desarrollo</w:t>
            </w:r>
            <w:r w:rsidR="00217EF1" w:rsidRPr="00C6165A">
              <w:rPr>
                <w:sz w:val="16"/>
                <w:szCs w:val="16"/>
                <w:lang w:eastAsia="es-ES"/>
              </w:rPr>
              <w:t xml:space="preserve"> </w:t>
            </w:r>
            <w:r w:rsidR="00CB5999" w:rsidRPr="00C6165A">
              <w:rPr>
                <w:sz w:val="16"/>
                <w:szCs w:val="16"/>
                <w:lang w:eastAsia="es-ES"/>
              </w:rPr>
              <w:t>Rural</w:t>
            </w:r>
          </w:p>
        </w:tc>
      </w:tr>
    </w:tbl>
    <w:p w14:paraId="6F405762" w14:textId="7C90BFAB" w:rsidR="00954AC2" w:rsidRPr="00C6165A" w:rsidRDefault="00954AC2" w:rsidP="00595E58"/>
    <w:p w14:paraId="27B95F5B" w14:textId="2CFF4D24" w:rsidR="00217EF1" w:rsidRPr="00C6165A" w:rsidRDefault="00217EF1" w:rsidP="00AA49C3">
      <w:r w:rsidRPr="00C6165A">
        <w:t>La alfalfa comenzó a cotizar en el mes de mayo a 185 euros por tonelada, casi un 23% por encima del precio de 2021. La tendencia de precios ha sido al alza durante todo el año, alcanzando el pico en octubre con 255 euros por tonelada.</w:t>
      </w:r>
    </w:p>
    <w:p w14:paraId="593F1AD8" w14:textId="24374CF8" w:rsidR="00217EF1" w:rsidRPr="00C6165A" w:rsidRDefault="00217EF1" w:rsidP="00AA49C3">
      <w:r w:rsidRPr="00C6165A">
        <w:t xml:space="preserve">Lo mismo ha ocurrido con la </w:t>
      </w:r>
      <w:proofErr w:type="spellStart"/>
      <w:r w:rsidRPr="00C6165A">
        <w:t>veza</w:t>
      </w:r>
      <w:proofErr w:type="spellEnd"/>
      <w:r w:rsidRPr="00C6165A">
        <w:t xml:space="preserve">, iniciando el año en mayo con un precio de 146 euros por tonelada e incrementándose este valor progresivamente hasta alcanzar casi 208 euros por tonelada, </w:t>
      </w:r>
      <w:r w:rsidR="002175FA" w:rsidRPr="00C6165A">
        <w:t>un 59,7% superior al mismo periodo del año 2021.</w:t>
      </w:r>
    </w:p>
    <w:p w14:paraId="229E6170" w14:textId="77777777" w:rsidR="00A60C01" w:rsidRPr="00C6165A" w:rsidRDefault="00A60C01" w:rsidP="00AA49C3"/>
    <w:p w14:paraId="310CC694" w14:textId="33E10FF3" w:rsidR="00E42F74" w:rsidRPr="00C6165A" w:rsidRDefault="002175FA" w:rsidP="00E42F74">
      <w:pPr>
        <w:jc w:val="center"/>
      </w:pPr>
      <w:r w:rsidRPr="00C6165A">
        <w:rPr>
          <w:noProof/>
        </w:rPr>
        <w:drawing>
          <wp:inline distT="0" distB="0" distL="0" distR="0" wp14:anchorId="5DF50210" wp14:editId="41A4F538">
            <wp:extent cx="3532284" cy="2304000"/>
            <wp:effectExtent l="0" t="0" r="0" b="127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32284" cy="2304000"/>
                    </a:xfrm>
                    <a:prstGeom prst="rect">
                      <a:avLst/>
                    </a:prstGeom>
                    <a:noFill/>
                  </pic:spPr>
                </pic:pic>
              </a:graphicData>
            </a:graphic>
          </wp:inline>
        </w:drawing>
      </w:r>
    </w:p>
    <w:p w14:paraId="522ADAC8" w14:textId="77777777" w:rsidR="0028378F" w:rsidRPr="00C6165A" w:rsidRDefault="0028378F" w:rsidP="0028378F">
      <w:pPr>
        <w:spacing w:before="120"/>
        <w:jc w:val="center"/>
        <w:rPr>
          <w:sz w:val="16"/>
          <w:szCs w:val="16"/>
          <w:lang w:eastAsia="es-ES"/>
        </w:rPr>
      </w:pPr>
      <w:r w:rsidRPr="00C6165A">
        <w:rPr>
          <w:sz w:val="16"/>
          <w:szCs w:val="16"/>
          <w:lang w:eastAsia="es-ES"/>
        </w:rPr>
        <w:t>Fuente: Elaboración propia a partir de datos del Observatorio de precios de los productos agrícolas y ganaderos de Castilla y León</w:t>
      </w:r>
    </w:p>
    <w:p w14:paraId="16EDF70A" w14:textId="77777777" w:rsidR="00C7543E" w:rsidRPr="00C6165A" w:rsidRDefault="00C7543E" w:rsidP="00AA49C3"/>
    <w:p w14:paraId="422B0124" w14:textId="55EC66C7" w:rsidR="00C7543E" w:rsidRPr="00C6165A" w:rsidRDefault="002175FA" w:rsidP="00C7543E">
      <w:pPr>
        <w:jc w:val="center"/>
      </w:pPr>
      <w:r w:rsidRPr="00C6165A">
        <w:rPr>
          <w:noProof/>
        </w:rPr>
        <w:drawing>
          <wp:inline distT="0" distB="0" distL="0" distR="0" wp14:anchorId="4D6B0DEC" wp14:editId="4FE4562D">
            <wp:extent cx="3525637" cy="2304000"/>
            <wp:effectExtent l="0" t="0" r="0" b="127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5637" cy="2304000"/>
                    </a:xfrm>
                    <a:prstGeom prst="rect">
                      <a:avLst/>
                    </a:prstGeom>
                    <a:noFill/>
                  </pic:spPr>
                </pic:pic>
              </a:graphicData>
            </a:graphic>
          </wp:inline>
        </w:drawing>
      </w:r>
    </w:p>
    <w:p w14:paraId="06D79900" w14:textId="77777777" w:rsidR="0028378F" w:rsidRPr="00C6165A" w:rsidRDefault="0028378F" w:rsidP="0028378F">
      <w:pPr>
        <w:spacing w:before="120"/>
        <w:jc w:val="center"/>
        <w:rPr>
          <w:sz w:val="16"/>
          <w:szCs w:val="16"/>
          <w:lang w:eastAsia="es-ES"/>
        </w:rPr>
      </w:pPr>
      <w:r w:rsidRPr="00C6165A">
        <w:rPr>
          <w:sz w:val="16"/>
          <w:szCs w:val="16"/>
          <w:lang w:eastAsia="es-ES"/>
        </w:rPr>
        <w:t>Fuente: Elaboración propia a partir de datos del Observatorio de precios de los productos agrícolas y ganaderos de Castilla y León</w:t>
      </w:r>
    </w:p>
    <w:p w14:paraId="18153D17" w14:textId="77777777" w:rsidR="00E42F74" w:rsidRPr="00C6165A" w:rsidRDefault="00E42F74" w:rsidP="00AA49C3"/>
    <w:p w14:paraId="53FBB74B" w14:textId="77777777" w:rsidR="002175FA" w:rsidRPr="00C6165A" w:rsidRDefault="002175FA" w:rsidP="00AA49C3">
      <w:pPr>
        <w:rPr>
          <w:b/>
        </w:rPr>
      </w:pPr>
      <w:bookmarkStart w:id="4" w:name="vitivinicola"/>
      <w:bookmarkEnd w:id="4"/>
    </w:p>
    <w:p w14:paraId="7043A748" w14:textId="03FB1FB3" w:rsidR="00AA49C3" w:rsidRPr="00C6165A" w:rsidRDefault="00AA49C3" w:rsidP="00AA49C3">
      <w:pPr>
        <w:rPr>
          <w:b/>
        </w:rPr>
      </w:pPr>
      <w:r w:rsidRPr="00C6165A">
        <w:rPr>
          <w:b/>
        </w:rPr>
        <w:t>Vitivinícola</w:t>
      </w:r>
    </w:p>
    <w:p w14:paraId="6E75572A" w14:textId="77777777" w:rsidR="00AA49C3" w:rsidRPr="00C6165A" w:rsidRDefault="00AA49C3" w:rsidP="00AA49C3"/>
    <w:p w14:paraId="50F3D5F8" w14:textId="77777777" w:rsidR="001265D1" w:rsidRPr="00C6165A" w:rsidRDefault="001265D1" w:rsidP="001265D1">
      <w:r w:rsidRPr="00C6165A">
        <w:t>La cosecha de uva de vinificación en Castilla y León ha rondado los 314 millones de kilos, un descenso del 6% respecto a la campaña 2021, aunque supera ligeramente la media de los últimos cinco años. De esta cantidad, la mayor parte se producen en las denominaciones de origen de la región.</w:t>
      </w:r>
    </w:p>
    <w:p w14:paraId="35647C50" w14:textId="59C43BF8" w:rsidR="001265D1" w:rsidRPr="00C6165A" w:rsidRDefault="001265D1" w:rsidP="001265D1">
      <w:r w:rsidRPr="00C6165A">
        <w:t xml:space="preserve">La producción de vino y mosto esperada está por encima de los 2,15 millones de hectolitros, que se reduce ligeramente respecto a la producción de 2021 y sube algo más de un 10% </w:t>
      </w:r>
      <w:proofErr w:type="gramStart"/>
      <w:r w:rsidRPr="00C6165A">
        <w:t>en relación a</w:t>
      </w:r>
      <w:proofErr w:type="gramEnd"/>
      <w:r w:rsidRPr="00C6165A">
        <w:t xml:space="preserve"> la media de los últimos cinco años.</w:t>
      </w:r>
    </w:p>
    <w:p w14:paraId="6B01CE25" w14:textId="77777777" w:rsidR="001265D1" w:rsidRPr="00C6165A" w:rsidRDefault="001265D1" w:rsidP="001265D1"/>
    <w:p w14:paraId="3F4E4D6A" w14:textId="77777777" w:rsidR="001265D1" w:rsidRPr="00C6165A" w:rsidRDefault="001265D1" w:rsidP="001265D1">
      <w:bookmarkStart w:id="5" w:name="_Hlk27463873"/>
      <w:r w:rsidRPr="00C6165A">
        <w:t>Según el Observatorio de Precios de los productos agrícolas de Castilla y León el precio de la uva de transformación se situó en 0,71 euros por kilo, de media, en septiembre, subiendo a 0,82 en octubre. Estos precios son superiores a los que se pagaron el año pasado en todas las provincias excepto en Zamora, donde han bajado un 15%.</w:t>
      </w:r>
    </w:p>
    <w:p w14:paraId="39FCAB9B" w14:textId="77777777" w:rsidR="001265D1" w:rsidRPr="00C6165A" w:rsidRDefault="001265D1" w:rsidP="001265D1"/>
    <w:p w14:paraId="2D5039D1" w14:textId="77777777" w:rsidR="001265D1" w:rsidRPr="00C6165A" w:rsidRDefault="001265D1" w:rsidP="001265D1">
      <w:r w:rsidRPr="00C6165A">
        <w:t>ASAJA Castilla y León presentó un estudio de los costes de producción de la uva en la D.O. Rueda, para poner de manifiesto el coste medio real que supone la producción de uva, con el propósito de que los agentes implicados en el proceso productivo, elaborador y comercializador del producto tengan una idea clara y transparente del valor intrínseco de producir uva en esta denominación. Del estudio realizado se desprende que pagar al productor un precio inferior a los 51 céntimos por kilo de uva, no cubriría los costes de producción en la inmensa mayoría de las explotaciones de la Denominación de Origen Rueda.</w:t>
      </w:r>
    </w:p>
    <w:p w14:paraId="79C6DEF7" w14:textId="77777777" w:rsidR="001265D1" w:rsidRPr="00C6165A" w:rsidRDefault="001265D1" w:rsidP="001265D1"/>
    <w:p w14:paraId="5D6493FA" w14:textId="77777777" w:rsidR="001265D1" w:rsidRPr="00C6165A" w:rsidRDefault="001265D1" w:rsidP="001265D1">
      <w:r w:rsidRPr="00C6165A">
        <w:t xml:space="preserve">En Castilla y León, a 31 de julio de 2022, hay 83.038 hectáreas de viñedo plantadas, 1.162 hectáreas de autorizaciones concedidas que no se han ejercido, 111 hectáreas de derechos de plantación que no se han convertido en autorizaciones y 138 hectáreas de resoluciones de arranque concedidas no incluidas en autorizaciones de plantación, incrementándose un 1% el potencial de producción vitícola respecto al año anterior, hasta alcanzar las 84.449 hectáreas, que suponen el 8,7% del nacional. </w:t>
      </w:r>
    </w:p>
    <w:p w14:paraId="768DCD89" w14:textId="77777777" w:rsidR="001265D1" w:rsidRPr="00C6165A" w:rsidRDefault="001265D1" w:rsidP="001265D1"/>
    <w:p w14:paraId="3912FA4E" w14:textId="77777777" w:rsidR="001265D1" w:rsidRPr="00C6165A" w:rsidRDefault="001265D1" w:rsidP="001265D1">
      <w:r w:rsidRPr="00C6165A">
        <w:t xml:space="preserve">El Ministerio fijó en el 0,1% el porcentaje de la superficie plantada de viñedo para conceder autorizaciones de nuevas plantaciones, que equivale a 946 hectáreas. En Castilla y León se mantuvieron las limitaciones para autorizaciones de nueva plantación para el año 2022 en Ribera del Duero, a 100 hectáreas, y en Rueda a 1 hectárea. Para el reparto nacional, en Castilla y León se presentaron 242 solicitudes que englobaban 531 hectáreas, siendo concedidas 129 hectáreas, el 13,6% del total, repartidas entre 91 viticultores. De esta superficie, el 77,5% se concedió en la DOP Ribera del Duero, 100 hectáreas. </w:t>
      </w:r>
    </w:p>
    <w:p w14:paraId="28194DCA" w14:textId="77777777" w:rsidR="001265D1" w:rsidRPr="00C6165A" w:rsidRDefault="001265D1" w:rsidP="001265D1"/>
    <w:p w14:paraId="6DCA14D9" w14:textId="583D7CD2" w:rsidR="001265D1" w:rsidRPr="00C6165A" w:rsidRDefault="001265D1" w:rsidP="001265D1">
      <w:r w:rsidRPr="00C6165A">
        <w:t xml:space="preserve">Después de dos años de parón por la </w:t>
      </w:r>
      <w:r w:rsidR="00411277" w:rsidRPr="00C6165A">
        <w:t>COVID</w:t>
      </w:r>
      <w:r w:rsidRPr="00C6165A">
        <w:t>, este año se volvió a celebrar Agrovid, la feria del cultivo de viñedo, que fue visitada por unos 6.000 profesionales del sector. La feria incluyó también un programa de jornadas técnicas con mesas redondas y presentaciones en una de las cuales participó ASAJA Castilla y León. Como organización colaboradora con Agrovid, ASAJA contó con stand y realizó un encuentro con los vocales de ASAJA en los Consejos Reguladores de Bierzo, Cigales, Rueda y Ribera del Duero.</w:t>
      </w:r>
    </w:p>
    <w:p w14:paraId="7C8EBA32" w14:textId="77777777" w:rsidR="001265D1" w:rsidRPr="00C6165A" w:rsidRDefault="001265D1" w:rsidP="001265D1"/>
    <w:bookmarkEnd w:id="5"/>
    <w:p w14:paraId="6CA00388" w14:textId="438DD718" w:rsidR="001265D1" w:rsidRPr="00C6165A" w:rsidRDefault="001265D1" w:rsidP="001265D1">
      <w:r w:rsidRPr="00C6165A">
        <w:t>En abril se convocaron las ayudas a la reestructuración y reconversión de viñedo en Castilla y León, siendo la última convocatoria del Programa de apoyo al sector vitivinícola español (PASVE) 2019-2023 y cuyas solicitudes contenían operaciones solo para una campaña, la 2022/2023. Para ser la última convocatoria del PASVE ha habido bastantes cambios, sobre todo de control, tramitación y documentación: presupuestos detallados, facturas proformas, previsión de la realización de los trabajos propios, notificaciones electrónicas, etc. También se permitía la realización de algunas pequeñas modificaciones sin autorización previa, con ciertas condiciones: cambio de portainjerto e identificación de las parcelas. Además, se ha incluido un nuevo cuadro, con los costes de</w:t>
      </w:r>
      <w:r w:rsidR="00731393" w:rsidRPr="00C6165A">
        <w:t xml:space="preserve"> </w:t>
      </w:r>
      <w:r w:rsidRPr="00C6165A">
        <w:t>referencia de la reestructuración y reconversión de viñedo, para verificar que se cumple la moderación de costes.</w:t>
      </w:r>
    </w:p>
    <w:p w14:paraId="51B47264" w14:textId="77777777" w:rsidR="001265D1" w:rsidRPr="00C6165A" w:rsidRDefault="001265D1" w:rsidP="001265D1"/>
    <w:p w14:paraId="12953515" w14:textId="0C0C5988" w:rsidR="001265D1" w:rsidRPr="00C6165A" w:rsidRDefault="001265D1" w:rsidP="001265D1">
      <w:r w:rsidRPr="00C6165A">
        <w:t xml:space="preserve">A mediados de año se publicó la homologación del contrato-tipo de </w:t>
      </w:r>
      <w:r w:rsidR="00731393" w:rsidRPr="00C6165A">
        <w:t>compraventa</w:t>
      </w:r>
      <w:r w:rsidRPr="00C6165A">
        <w:t xml:space="preserve"> de uva con destino a su transformación en vino, que regirá durante tres campañas vinícolas. Este contrato se ajusta a lo establecido en la Ley de medidas para mejorar el funcionamiento de la cadena alimentaria.</w:t>
      </w:r>
    </w:p>
    <w:p w14:paraId="01221670" w14:textId="77777777" w:rsidR="001265D1" w:rsidRPr="00C6165A" w:rsidRDefault="001265D1" w:rsidP="001265D1"/>
    <w:p w14:paraId="13C375D2" w14:textId="77777777" w:rsidR="001265D1" w:rsidRPr="00C6165A" w:rsidRDefault="001265D1" w:rsidP="001265D1">
      <w:r w:rsidRPr="00C6165A">
        <w:t xml:space="preserve">A finales de año se ha aprobado la Intervención Sectorial Vitivinícola en el marco del Plan Estratégico de la Política Agrícola Común, que establece las bases regulatorias para la nueva Intervención Sectorial Vitivinícola, que cuenta con un presupuesto de 202,1 millones de euros anuales entre 2024 y 2027. </w:t>
      </w:r>
    </w:p>
    <w:p w14:paraId="4C8BB66E" w14:textId="3C532A8F" w:rsidR="001265D1" w:rsidRPr="00C6165A" w:rsidRDefault="001265D1" w:rsidP="001265D1">
      <w:r w:rsidRPr="00C6165A">
        <w:t>Los tipos de intervención elegidos por España para cumplir con los objetivos para el sector del vino son: Reestructuración y reconversión de viñedos, inversiones materiales e inmateriales en instalaciones de transformación y en infraestructuras vitivinícolas, así como en estructuras e instrumentos de comercialización, cosecha en verde, destilación de subproductos de la vinificación y actividades de promoción y comunicación en terceros países</w:t>
      </w:r>
    </w:p>
    <w:p w14:paraId="09FEC65F" w14:textId="62463011" w:rsidR="009C6D18" w:rsidRPr="00C6165A" w:rsidRDefault="009C6D18" w:rsidP="00241606"/>
    <w:p w14:paraId="49EE9277" w14:textId="77777777" w:rsidR="00AA49C3" w:rsidRPr="00C6165A" w:rsidRDefault="00AA49C3" w:rsidP="00AA49C3">
      <w:pPr>
        <w:rPr>
          <w:b/>
        </w:rPr>
      </w:pPr>
      <w:r w:rsidRPr="00C6165A">
        <w:rPr>
          <w:b/>
        </w:rPr>
        <w:t>Sanidad Vegetal</w:t>
      </w:r>
    </w:p>
    <w:p w14:paraId="6075C7C1" w14:textId="4F36230D" w:rsidR="00AA49C3" w:rsidRPr="00C6165A" w:rsidRDefault="00AA49C3" w:rsidP="00AA49C3"/>
    <w:p w14:paraId="77DE04F2" w14:textId="59CC2667" w:rsidR="001265D1" w:rsidRPr="00C6165A" w:rsidRDefault="001265D1" w:rsidP="001265D1">
      <w:r w:rsidRPr="00C6165A">
        <w:t>Los conejos siguen siendo un problema generalizado en Castilla y León, provocando cuantiosas pérdidas en los cultivos de las parcelas colindantes a los taludes de las autovías y redes ferroviarias.</w:t>
      </w:r>
    </w:p>
    <w:p w14:paraId="1B70BE90" w14:textId="77777777" w:rsidR="001265D1" w:rsidRPr="00C6165A" w:rsidRDefault="001265D1" w:rsidP="001265D1">
      <w:r w:rsidRPr="00C6165A">
        <w:t>ASAJA ha pedido que Fomento y ADIF se responsabilicen del control sostenible de estos animales en terrenos que son de su competencia, y que indemnicen a los agricultores por los daños que los conejos están causando en sus explotaciones, así como reforzar la prevención, reclamando más mallas en autovías, carreteras y bordes de vía de tren para impedir que los conejos lleguen a los cultivos.</w:t>
      </w:r>
    </w:p>
    <w:p w14:paraId="4F4B5D86" w14:textId="77777777" w:rsidR="001265D1" w:rsidRPr="00C6165A" w:rsidRDefault="001265D1" w:rsidP="001265D1"/>
    <w:p w14:paraId="194FB4E6" w14:textId="77777777" w:rsidR="001265D1" w:rsidRPr="00C6165A" w:rsidRDefault="001265D1" w:rsidP="001265D1">
      <w:r w:rsidRPr="00C6165A">
        <w:t>En base a la nueva estrategia integral de prevención y lucha contra el topillo campesino en Castilla y León, que establece un modelo colaborativo de toda la red de agentes implicados, basado en la realización de acciones preventivas, de carácter permanente y atemporal, desde el Observatorio de Plagas y Enfermedades Agrícolas de Castilla y León se han emitido recomendaciones de manejo para el topillo campesino en diferentes épocas del año, primavera, estival y otoño-invierno.</w:t>
      </w:r>
    </w:p>
    <w:p w14:paraId="21DB9F84" w14:textId="77777777" w:rsidR="001265D1" w:rsidRPr="00C6165A" w:rsidRDefault="001265D1" w:rsidP="001265D1"/>
    <w:p w14:paraId="01835B21" w14:textId="77777777" w:rsidR="001265D1" w:rsidRPr="00C6165A" w:rsidRDefault="001265D1" w:rsidP="001265D1">
      <w:r w:rsidRPr="00C6165A">
        <w:t>La continua proliferación de enfermedades, hongos, malas hierbas, etc. en el campo son cada vez más abundantes y difíciles de controlar. Si a eso unimos el aumento de la utilización de fitosanitarios la situación se vuelve insostenible, por un lado, por el coste económico que supone para la viabilidad de las explotaciones, así como por el coste medioambiental que acarrea la aplicación de estos productos. Además, la reducción y eliminación de materias activas que eran eficaces y la creación de resistencias frente a los existentes nos dejan con muy pocas alternativas ante los problemas de los cultivos.</w:t>
      </w:r>
    </w:p>
    <w:p w14:paraId="274BC21A" w14:textId="2343A13E" w:rsidR="001265D1" w:rsidRPr="00C6165A" w:rsidRDefault="001265D1" w:rsidP="001265D1">
      <w:r w:rsidRPr="00C6165A">
        <w:t xml:space="preserve">ASAJA siempre ha entendido y entiende que la quema controlada de rastrojos es la única medida que puede evitar estas situaciones, suponiendo un notable ahorro para las explotaciones, así como un mínimo impacto ambiental, en cualquier </w:t>
      </w:r>
      <w:proofErr w:type="gramStart"/>
      <w:r w:rsidR="0051012D" w:rsidRPr="00C6165A">
        <w:t>caso</w:t>
      </w:r>
      <w:proofErr w:type="gramEnd"/>
      <w:r w:rsidRPr="00C6165A">
        <w:t xml:space="preserve"> mucho menor que la aplicación de productos químicos, pero las distintas administraciones se oponen a esta práctica tradicional.</w:t>
      </w:r>
    </w:p>
    <w:p w14:paraId="789EB52F" w14:textId="77777777" w:rsidR="00A211E1" w:rsidRPr="00C6165A" w:rsidRDefault="00A211E1" w:rsidP="00A211E1">
      <w:r w:rsidRPr="00C6165A">
        <w:t>Este año se ha publicado la Ley 7/2022, de Residuos y Suelos Contaminados para una Economía Circular, que establece, con carácter general, la prohibición de quema de residuos vegetales generados en el entorno agrario o silvícola. De este modo, únicamente se permite la quema con carácter excepcional, por razones fitosanitarias y previa autorización individualizada.</w:t>
      </w:r>
    </w:p>
    <w:p w14:paraId="732E810A" w14:textId="2A52E634" w:rsidR="00A90186" w:rsidRPr="00C6165A" w:rsidRDefault="00A90186" w:rsidP="00A90186">
      <w:r w:rsidRPr="00C6165A">
        <w:t>La quema controlada de restos vegetales es una práctica cultural tradicional que, adecuadamente realizada, se convierte en una medida fitosanitaria muy efectiva a la vez que beneficiosa para el medio ambiente por la reducción del uso de fitosanitarios que implica. Además, en muchas ocasiones los tratamientos alternativos a la quema no son suficientes. Actualmente, existe la opción de picar los residuos y restos vegetales, pero esta opción en muchas zonas de la comunidad no es viable, ya no solo por el coste de la operación, sino porque las empresas dedicadas a esta función están trabajando de forma continua en las regiones afectadas por los incendios de este año, no dando opción a realizar sus labores en zonas más pequeñas. Por eso ASAJA defiende la quema controlada de restos vegetales como medida excepcional.</w:t>
      </w:r>
    </w:p>
    <w:p w14:paraId="54478819" w14:textId="5CF1E3F1" w:rsidR="00A211E1" w:rsidRPr="00C6165A" w:rsidRDefault="00A211E1" w:rsidP="00A211E1">
      <w:r w:rsidRPr="00C6165A">
        <w:t>ASAJA ha solicitado a la Consejería de Agricultura y a la de Medio Ambiente que, al igual que han hecho en otras comunidades autónomas, en Castilla y León se publique una orden que permita las quemas controladas</w:t>
      </w:r>
      <w:r w:rsidR="00A90186">
        <w:t xml:space="preserve">, al menos </w:t>
      </w:r>
      <w:r w:rsidRPr="00C6165A">
        <w:t>en cultivos leñosos y silvícolas, estableciendo para cada cultivo las diversas plagas y enfermedades que autorice llevar a cabo esta acción.</w:t>
      </w:r>
    </w:p>
    <w:p w14:paraId="2062335E" w14:textId="77777777" w:rsidR="001265D1" w:rsidRPr="00C6165A" w:rsidRDefault="001265D1" w:rsidP="001265D1"/>
    <w:p w14:paraId="72B02042" w14:textId="46A1FE15" w:rsidR="001265D1" w:rsidRDefault="001265D1" w:rsidP="002A7128">
      <w:r w:rsidRPr="00C6165A">
        <w:t>A finales de año expira</w:t>
      </w:r>
      <w:r w:rsidR="00A90186">
        <w:t>ba</w:t>
      </w:r>
      <w:r w:rsidRPr="00C6165A">
        <w:t xml:space="preserve"> la prórroga que las instituciones europeas dieron al glifosato en el año 2017, y recientemente ha tenido lugar una votación para decidir sobre la extensión de su uso habiendo votado a favor España junto con otros países de la Unión Europea, aunque no se alcanzó la mayoría cualificada necesaria por lo que la conclusión fue «sin dictamen»</w:t>
      </w:r>
      <w:r w:rsidR="002A7128">
        <w:t xml:space="preserve">. El DOUE publicaba finalmente a primeros de diciembre un Reglamento de Ejecución «que modifica el Reglamento de Ejecución (UE) </w:t>
      </w:r>
      <w:proofErr w:type="spellStart"/>
      <w:r w:rsidR="002A7128">
        <w:t>n.o</w:t>
      </w:r>
      <w:proofErr w:type="spellEnd"/>
      <w:r w:rsidR="002A7128">
        <w:t xml:space="preserve"> 540/2011 por lo que respecta a la ampliación del período de aprobación de la sustancia activa glifosato». Dado que la evaluación de la sustancia activa glifosato se ha retrasado por razones ajenas a la voluntad del solicitante,  y por tanto era necesario ampliar el período de aprobación de dicha sustancia activa a fin de disponer del tiempo necesario para completar la evaluación requerida y adoptar una decisión sobre la solicitud de renovación de su aprobación, l</w:t>
      </w:r>
      <w:r w:rsidR="002A7128" w:rsidRPr="002A7128">
        <w:t>a Comisión Europea ha prorrogado la autorización en el territorio de la Unión Europea para el uso del herbicida glifosato hasta finales de 2023</w:t>
      </w:r>
      <w:r w:rsidR="002A7128">
        <w:t>.</w:t>
      </w:r>
    </w:p>
    <w:p w14:paraId="4F9D49F7" w14:textId="77777777" w:rsidR="002A7128" w:rsidRPr="00C6165A" w:rsidRDefault="002A7128" w:rsidP="002A7128"/>
    <w:p w14:paraId="69D28347" w14:textId="77777777" w:rsidR="001265D1" w:rsidRPr="00C6165A" w:rsidRDefault="001265D1" w:rsidP="001265D1">
      <w:r w:rsidRPr="00C6165A">
        <w:t xml:space="preserve">El Observatorio de Plagas y Enfermedades Agrícolas de Castilla y León emitió, a lo largo de 2022, avisos sobre incidencias o detección de  las siguientes plagas y enfermedades: gorgojo del tallo y pulgón harinoso en colza, pulgones, </w:t>
      </w:r>
      <w:proofErr w:type="spellStart"/>
      <w:r w:rsidRPr="00C6165A">
        <w:t>tronchaespigas</w:t>
      </w:r>
      <w:proofErr w:type="spellEnd"/>
      <w:r w:rsidRPr="00C6165A">
        <w:t xml:space="preserve">, </w:t>
      </w:r>
      <w:proofErr w:type="spellStart"/>
      <w:r w:rsidRPr="00C6165A">
        <w:t>trips</w:t>
      </w:r>
      <w:proofErr w:type="spellEnd"/>
      <w:r w:rsidRPr="00C6165A">
        <w:t xml:space="preserve">, </w:t>
      </w:r>
      <w:proofErr w:type="spellStart"/>
      <w:r w:rsidRPr="00C6165A">
        <w:t>Oscinella</w:t>
      </w:r>
      <w:proofErr w:type="spellEnd"/>
      <w:r w:rsidRPr="00C6165A">
        <w:t xml:space="preserve">, </w:t>
      </w:r>
      <w:proofErr w:type="spellStart"/>
      <w:r w:rsidRPr="00C6165A">
        <w:t>Nefasia</w:t>
      </w:r>
      <w:proofErr w:type="spellEnd"/>
      <w:r w:rsidRPr="00C6165A">
        <w:t xml:space="preserve">, </w:t>
      </w:r>
      <w:proofErr w:type="spellStart"/>
      <w:r w:rsidRPr="00C6165A">
        <w:t>céfidos</w:t>
      </w:r>
      <w:proofErr w:type="spellEnd"/>
      <w:r w:rsidRPr="00C6165A">
        <w:t xml:space="preserve">, chinches, </w:t>
      </w:r>
      <w:proofErr w:type="spellStart"/>
      <w:r w:rsidRPr="00C6165A">
        <w:t>Zabro</w:t>
      </w:r>
      <w:proofErr w:type="spellEnd"/>
      <w:r w:rsidRPr="00C6165A">
        <w:t xml:space="preserve">, Anguina (en cebada) roya amarilla, </w:t>
      </w:r>
      <w:proofErr w:type="spellStart"/>
      <w:r w:rsidRPr="00C6165A">
        <w:t>Septoria</w:t>
      </w:r>
      <w:proofErr w:type="spellEnd"/>
      <w:r w:rsidRPr="00C6165A">
        <w:t xml:space="preserve">, </w:t>
      </w:r>
      <w:proofErr w:type="spellStart"/>
      <w:r w:rsidRPr="00C6165A">
        <w:t>Helmintosporiosis</w:t>
      </w:r>
      <w:proofErr w:type="spellEnd"/>
      <w:r w:rsidRPr="00C6165A">
        <w:t xml:space="preserve">, </w:t>
      </w:r>
      <w:proofErr w:type="spellStart"/>
      <w:r w:rsidRPr="00C6165A">
        <w:t>Rincosporiosis</w:t>
      </w:r>
      <w:proofErr w:type="spellEnd"/>
      <w:r w:rsidRPr="00C6165A">
        <w:t xml:space="preserve"> en cereales, pulgones, </w:t>
      </w:r>
      <w:proofErr w:type="spellStart"/>
      <w:r w:rsidRPr="00C6165A">
        <w:t>Sitona</w:t>
      </w:r>
      <w:proofErr w:type="spellEnd"/>
      <w:r w:rsidRPr="00C6165A">
        <w:t xml:space="preserve">, gorgojo, rabia, </w:t>
      </w:r>
      <w:proofErr w:type="spellStart"/>
      <w:r w:rsidRPr="00C6165A">
        <w:t>bacteriosis</w:t>
      </w:r>
      <w:proofErr w:type="spellEnd"/>
      <w:r w:rsidRPr="00C6165A">
        <w:t xml:space="preserve"> en leguminosas, gusano verde y </w:t>
      </w:r>
      <w:proofErr w:type="spellStart"/>
      <w:r w:rsidRPr="00C6165A">
        <w:t>Apión</w:t>
      </w:r>
      <w:proofErr w:type="spellEnd"/>
      <w:r w:rsidRPr="00C6165A">
        <w:t xml:space="preserve"> en alfalfa, </w:t>
      </w:r>
      <w:proofErr w:type="spellStart"/>
      <w:r w:rsidRPr="00C6165A">
        <w:t>Erinosis</w:t>
      </w:r>
      <w:proofErr w:type="spellEnd"/>
      <w:r w:rsidRPr="00C6165A">
        <w:t xml:space="preserve">, </w:t>
      </w:r>
      <w:proofErr w:type="spellStart"/>
      <w:r w:rsidRPr="00C6165A">
        <w:t>malduermes</w:t>
      </w:r>
      <w:proofErr w:type="spellEnd"/>
      <w:r w:rsidRPr="00C6165A">
        <w:t xml:space="preserve">, </w:t>
      </w:r>
      <w:proofErr w:type="spellStart"/>
      <w:r w:rsidRPr="00C6165A">
        <w:t>Oidio</w:t>
      </w:r>
      <w:proofErr w:type="spellEnd"/>
      <w:r w:rsidRPr="00C6165A">
        <w:t xml:space="preserve"> en viñedo, </w:t>
      </w:r>
      <w:proofErr w:type="spellStart"/>
      <w:r w:rsidRPr="00C6165A">
        <w:t>Helicoperva</w:t>
      </w:r>
      <w:proofErr w:type="spellEnd"/>
      <w:r w:rsidRPr="00C6165A">
        <w:t>, oruga de los brotes o barrenador del capítulo en girasol y gusanos de alambre en varios cultivos.</w:t>
      </w:r>
    </w:p>
    <w:p w14:paraId="4C032C02" w14:textId="77777777" w:rsidR="001265D1" w:rsidRPr="00C6165A" w:rsidRDefault="001265D1" w:rsidP="001265D1"/>
    <w:p w14:paraId="64DD2C6A" w14:textId="77777777" w:rsidR="00AA49C3" w:rsidRPr="00C6165A" w:rsidRDefault="00AA49C3" w:rsidP="00AA49C3">
      <w:pPr>
        <w:jc w:val="center"/>
        <w:rPr>
          <w:b/>
        </w:rPr>
      </w:pPr>
      <w:r w:rsidRPr="00C6165A">
        <w:rPr>
          <w:b/>
        </w:rPr>
        <w:t>SUBSECTOR GANADERO</w:t>
      </w:r>
    </w:p>
    <w:p w14:paraId="13FDCBFA" w14:textId="464A14A4" w:rsidR="00AA49C3" w:rsidRPr="00C6165A" w:rsidRDefault="00AA49C3" w:rsidP="00B87545">
      <w:pPr>
        <w:rPr>
          <w:bCs/>
        </w:rPr>
      </w:pPr>
    </w:p>
    <w:p w14:paraId="3C4C7B88" w14:textId="1F5FC7CF" w:rsidR="00630748" w:rsidRPr="00C6165A" w:rsidRDefault="00630748" w:rsidP="00630748">
      <w:pPr>
        <w:rPr>
          <w:bCs/>
        </w:rPr>
      </w:pPr>
      <w:r w:rsidRPr="00C6165A">
        <w:rPr>
          <w:bCs/>
          <w:iCs/>
        </w:rPr>
        <w:t>La escalada de precios de los cereales y las oleaginosas, materias primas que se emplean en la elaboración de los concentrados para la alimentación animal, de la electricidad, y de los combustibles está llevando a las explotaciones de vacuno de leche, avicultura de carne y cunicultura de Castilla y León, a una situación económica muy comprometida, al no compensarles las subidas de precios de los productos finales el aumento de los costes de producción.</w:t>
      </w:r>
    </w:p>
    <w:p w14:paraId="47F61478" w14:textId="77777777" w:rsidR="00DC4F14" w:rsidRDefault="00DC4F14" w:rsidP="002A7128">
      <w:pPr>
        <w:rPr>
          <w:bCs/>
        </w:rPr>
      </w:pPr>
    </w:p>
    <w:p w14:paraId="242A203F" w14:textId="3D24CDC0" w:rsidR="002A7128" w:rsidRPr="00C6165A" w:rsidRDefault="002A7128" w:rsidP="002A7128">
      <w:pPr>
        <w:rPr>
          <w:bCs/>
        </w:rPr>
      </w:pPr>
      <w:r w:rsidRPr="00C6165A">
        <w:rPr>
          <w:bCs/>
        </w:rPr>
        <w:t>Los medios de producción están en niveles históricos de precios, suponiendo costes desorbitados para el sector ganadero en general. A principios de año, por primera vez, la Junta de Castilla y León publicó unas ayudas destinadas a la construcción o ampliación de cebaderos de ganado bovino, ovino o caprino por un importe total de 3 millones de euros, cuyo objetivo es promover la creación de cebaderos para disminuir las relaciones comerciales intermedias, redundando en un mayor beneficio para el ganadero.</w:t>
      </w:r>
    </w:p>
    <w:p w14:paraId="74F4B7A7" w14:textId="77777777" w:rsidR="00DC4F14" w:rsidRDefault="00DC4F14" w:rsidP="00B87545">
      <w:pPr>
        <w:rPr>
          <w:bCs/>
        </w:rPr>
      </w:pPr>
    </w:p>
    <w:p w14:paraId="059F1DB0" w14:textId="093297C3" w:rsidR="000C3D97" w:rsidRPr="00C6165A" w:rsidRDefault="000C3D97" w:rsidP="00B87545">
      <w:pPr>
        <w:rPr>
          <w:bCs/>
        </w:rPr>
      </w:pPr>
      <w:r w:rsidRPr="00C6165A">
        <w:rPr>
          <w:bCs/>
        </w:rPr>
        <w:t xml:space="preserve">El Ministerio de Agricultura, Pesca y Alimentación aprobó un real decreto con medidas urgentes de apoyo al sector agrario para hacer frente a la situación de sequía que se ha vivido este año y con el objetivo de contribuir al mantenimiento de la rentabilidad de las explotaciones provocada por las subidas de precios, tanto de insumos como de materias primas. La Consejería de Agricultura, Ganadería y Desarrollo Rural también se hizo eco de estas necesidades, destinando </w:t>
      </w:r>
      <w:r w:rsidR="004C0F10">
        <w:rPr>
          <w:bCs/>
        </w:rPr>
        <w:t>fondos propios</w:t>
      </w:r>
      <w:r w:rsidRPr="00C6165A">
        <w:rPr>
          <w:bCs/>
        </w:rPr>
        <w:t xml:space="preserve"> </w:t>
      </w:r>
      <w:r w:rsidR="004C0F10" w:rsidRPr="00C6165A">
        <w:rPr>
          <w:bCs/>
        </w:rPr>
        <w:t>para garantizar el suministro de agua a las explotaciones extensivas o mixtas de la comunidad que estuviesen afectadas por la sequía y tuviesen problemas para abastecer al ganado</w:t>
      </w:r>
      <w:r w:rsidR="004C0F10">
        <w:rPr>
          <w:bCs/>
        </w:rPr>
        <w:t>, así como</w:t>
      </w:r>
      <w:r w:rsidR="004C0F10" w:rsidRPr="00C6165A">
        <w:rPr>
          <w:bCs/>
        </w:rPr>
        <w:t xml:space="preserve"> </w:t>
      </w:r>
      <w:r w:rsidRPr="00C6165A">
        <w:rPr>
          <w:bCs/>
        </w:rPr>
        <w:t>para cubrir las necesidades de alimento y agua de las explotaciones ganaderas afectadas por los incendios forestales</w:t>
      </w:r>
      <w:r w:rsidR="00014828" w:rsidRPr="00C6165A">
        <w:rPr>
          <w:bCs/>
        </w:rPr>
        <w:t>.</w:t>
      </w:r>
    </w:p>
    <w:p w14:paraId="5F3B838D" w14:textId="77777777" w:rsidR="00DC4F14" w:rsidRDefault="00DC4F14" w:rsidP="00D12EF1">
      <w:pPr>
        <w:rPr>
          <w:bCs/>
        </w:rPr>
      </w:pPr>
    </w:p>
    <w:p w14:paraId="64A7FF9E" w14:textId="7A45B4F1" w:rsidR="00D12EF1" w:rsidRPr="00C6165A" w:rsidRDefault="00A20ACA" w:rsidP="00D12EF1">
      <w:pPr>
        <w:rPr>
          <w:bCs/>
        </w:rPr>
      </w:pPr>
      <w:r w:rsidRPr="00C6165A">
        <w:rPr>
          <w:bCs/>
        </w:rPr>
        <w:t>A final de año desde el Ministerio han autorizado fondos para las comunidades autónomas con el objetivo de financiar diversos programas entre los cuales existen algunos destinados a la ganadería, como por ejemplo a programas en el ámbito de la sanidad animal y transporte de animales</w:t>
      </w:r>
      <w:r w:rsidR="00D12EF1" w:rsidRPr="00C6165A">
        <w:rPr>
          <w:bCs/>
        </w:rPr>
        <w:t>. También se ha aprobado un real decreto que establece medidas nacionales para favorecer un uso sostenible de antibióticos en ganadería y otro que entrará en vigor en 2023 para regular los registros de las Mejoras Técnicas Disponibles y el control de las emisiones en ganadería.</w:t>
      </w:r>
    </w:p>
    <w:p w14:paraId="241E6566" w14:textId="77777777" w:rsidR="00DC4F14" w:rsidRDefault="00DC4F14" w:rsidP="006B1B1D">
      <w:pPr>
        <w:rPr>
          <w:bCs/>
        </w:rPr>
      </w:pPr>
    </w:p>
    <w:p w14:paraId="26F2256B" w14:textId="6B367B20" w:rsidR="006B1B1D" w:rsidRPr="00C6165A" w:rsidRDefault="006B1B1D" w:rsidP="006B1B1D">
      <w:pPr>
        <w:rPr>
          <w:bCs/>
        </w:rPr>
      </w:pPr>
      <w:r w:rsidRPr="00C6165A">
        <w:rPr>
          <w:bCs/>
        </w:rPr>
        <w:t xml:space="preserve">Respecto al real decreto de ordenación de explotaciones bovinas, se encuentra en su fase final de aprobación y está previsto que se publique a principios de 2023.  Puede que se exijan algunos cambios en cuanto al límite superior de UGM al ser considerado muy alto y cabe destacar la implantación de márgenes en cada grupo para que las explotaciones que deseen ser no tengan que cumplir con los requisitos del grupo siguiente. </w:t>
      </w:r>
    </w:p>
    <w:p w14:paraId="52038CC5" w14:textId="7F3F6A14" w:rsidR="006B1B1D" w:rsidRPr="00C6165A" w:rsidRDefault="006B1B1D" w:rsidP="00AA49C3">
      <w:pPr>
        <w:rPr>
          <w:b/>
        </w:rPr>
      </w:pPr>
    </w:p>
    <w:p w14:paraId="3ED56EA9" w14:textId="1D032ABB" w:rsidR="00A35A55" w:rsidRPr="00C6165A" w:rsidRDefault="00A35A55" w:rsidP="00AA49C3">
      <w:pPr>
        <w:rPr>
          <w:b/>
        </w:rPr>
      </w:pPr>
    </w:p>
    <w:p w14:paraId="1D8AF98A" w14:textId="7793E00C" w:rsidR="00A35A55" w:rsidRPr="00C6165A" w:rsidRDefault="00A35A55" w:rsidP="00AA49C3">
      <w:pPr>
        <w:rPr>
          <w:b/>
        </w:rPr>
      </w:pPr>
    </w:p>
    <w:p w14:paraId="7F07200C" w14:textId="77777777" w:rsidR="00A35A55" w:rsidRPr="00C6165A" w:rsidRDefault="00A35A55" w:rsidP="00AA49C3">
      <w:pPr>
        <w:rPr>
          <w:b/>
        </w:rPr>
      </w:pPr>
    </w:p>
    <w:p w14:paraId="0A86F01E" w14:textId="5F4AC20E" w:rsidR="00AA49C3" w:rsidRPr="00C6165A" w:rsidRDefault="00AA49C3" w:rsidP="00AA49C3">
      <w:pPr>
        <w:rPr>
          <w:b/>
        </w:rPr>
      </w:pPr>
      <w:r w:rsidRPr="00C6165A">
        <w:rPr>
          <w:b/>
        </w:rPr>
        <w:t>Censos</w:t>
      </w:r>
    </w:p>
    <w:p w14:paraId="75B66E82" w14:textId="77777777" w:rsidR="00AA49C3" w:rsidRPr="00C6165A" w:rsidRDefault="00AA49C3" w:rsidP="00AA49C3"/>
    <w:p w14:paraId="49D9CC9E" w14:textId="3C073E65" w:rsidR="004B58B4" w:rsidRPr="00C6165A" w:rsidRDefault="00AA49C3" w:rsidP="00AA49C3">
      <w:r w:rsidRPr="00C6165A">
        <w:t>En</w:t>
      </w:r>
      <w:r w:rsidRPr="00C6165A">
        <w:rPr>
          <w:b/>
        </w:rPr>
        <w:t xml:space="preserve"> ganado vacuno</w:t>
      </w:r>
      <w:r w:rsidRPr="00C6165A">
        <w:t xml:space="preserve"> según los últimos datos publicados por el Ministerio, recabados de las “encuestas ganaderas de mayo de </w:t>
      </w:r>
      <w:r w:rsidR="0090536F" w:rsidRPr="00C6165A">
        <w:t>202</w:t>
      </w:r>
      <w:r w:rsidR="00322E32" w:rsidRPr="00C6165A">
        <w:t>2</w:t>
      </w:r>
      <w:r w:rsidRPr="00C6165A">
        <w:t>”, en Castilla y León había</w:t>
      </w:r>
      <w:r w:rsidR="00322E32" w:rsidRPr="00C6165A">
        <w:t xml:space="preserve"> 1.531.454 cabezas de ganado, 24.642 menos que en el censo 2021, esto supone un descenso del 1,6%.</w:t>
      </w:r>
      <w:r w:rsidRPr="00C6165A">
        <w:t xml:space="preserve"> El peso de Castilla y León en el censo </w:t>
      </w:r>
      <w:r w:rsidR="006B1B1D" w:rsidRPr="00C6165A">
        <w:t>nacion</w:t>
      </w:r>
      <w:r w:rsidRPr="00C6165A">
        <w:t xml:space="preserve">al de vacuno es del </w:t>
      </w:r>
      <w:r w:rsidR="00B97243" w:rsidRPr="00C6165A">
        <w:t>22,68</w:t>
      </w:r>
      <w:r w:rsidR="00154C4C" w:rsidRPr="00C6165A">
        <w:t>%</w:t>
      </w:r>
      <w:r w:rsidRPr="00C6165A">
        <w:t xml:space="preserve">, siendo </w:t>
      </w:r>
      <w:r w:rsidR="00CB5999" w:rsidRPr="00C6165A">
        <w:t xml:space="preserve">la </w:t>
      </w:r>
      <w:r w:rsidRPr="00C6165A">
        <w:t xml:space="preserve">región </w:t>
      </w:r>
      <w:r w:rsidR="00DC462F" w:rsidRPr="00C6165A">
        <w:t xml:space="preserve">con mayor </w:t>
      </w:r>
      <w:r w:rsidR="006B1B1D" w:rsidRPr="00C6165A">
        <w:t>pes</w:t>
      </w:r>
      <w:r w:rsidR="001E01F6" w:rsidRPr="00C6165A">
        <w:t>o</w:t>
      </w:r>
      <w:r w:rsidRPr="00C6165A">
        <w:t xml:space="preserve">, </w:t>
      </w:r>
      <w:r w:rsidR="00CB5999" w:rsidRPr="00C6165A">
        <w:t xml:space="preserve">y </w:t>
      </w:r>
      <w:r w:rsidRPr="00C6165A">
        <w:t xml:space="preserve">con Salamanca destacando como principal provincia. </w:t>
      </w:r>
    </w:p>
    <w:p w14:paraId="2946D43B" w14:textId="7CF17BC9" w:rsidR="00B339C0" w:rsidRPr="00C6165A" w:rsidRDefault="005B059E" w:rsidP="00AA49C3">
      <w:r w:rsidRPr="00C6165A">
        <w:t>En vacuno de carne</w:t>
      </w:r>
      <w:r w:rsidR="001E01F6" w:rsidRPr="00C6165A">
        <w:t xml:space="preserve"> destaca por el número de vacas nodrizas,</w:t>
      </w:r>
      <w:r w:rsidR="00B339C0" w:rsidRPr="00C6165A">
        <w:t xml:space="preserve"> </w:t>
      </w:r>
      <w:r w:rsidR="001E01F6" w:rsidRPr="00C6165A">
        <w:t>siendo</w:t>
      </w:r>
      <w:r w:rsidR="00B339C0" w:rsidRPr="00C6165A">
        <w:t xml:space="preserve"> la primera región en ce</w:t>
      </w:r>
      <w:r w:rsidR="00C12A4D" w:rsidRPr="00C6165A">
        <w:t>n</w:t>
      </w:r>
      <w:r w:rsidR="00B339C0" w:rsidRPr="00C6165A">
        <w:t xml:space="preserve">so con </w:t>
      </w:r>
      <w:r w:rsidR="001E01F6" w:rsidRPr="00C6165A">
        <w:t>587.989 cabezas</w:t>
      </w:r>
      <w:r w:rsidR="00B339C0" w:rsidRPr="00C6165A">
        <w:t xml:space="preserve">, el </w:t>
      </w:r>
      <w:r w:rsidR="001E01F6" w:rsidRPr="00C6165A">
        <w:t>27,54</w:t>
      </w:r>
      <w:r w:rsidR="00154C4C" w:rsidRPr="00C6165A">
        <w:t>%</w:t>
      </w:r>
      <w:r w:rsidR="00B339C0" w:rsidRPr="00C6165A">
        <w:t xml:space="preserve"> del total nacional. </w:t>
      </w:r>
    </w:p>
    <w:p w14:paraId="72BA7998" w14:textId="14323DD9" w:rsidR="00AA49C3" w:rsidRPr="00C6165A" w:rsidRDefault="00AA49C3" w:rsidP="00AA49C3">
      <w:r w:rsidRPr="00C6165A">
        <w:t>En vacuno de leche</w:t>
      </w:r>
      <w:r w:rsidR="004C0F10">
        <w:t>,</w:t>
      </w:r>
      <w:r w:rsidRPr="00C6165A">
        <w:t xml:space="preserve"> Castilla y León</w:t>
      </w:r>
      <w:r w:rsidR="00700FA0" w:rsidRPr="00C6165A">
        <w:t xml:space="preserve"> </w:t>
      </w:r>
      <w:r w:rsidR="004C0F10">
        <w:t>es</w:t>
      </w:r>
      <w:r w:rsidRPr="00C6165A">
        <w:t xml:space="preserve"> la segunda región con más vacas de ordeño</w:t>
      </w:r>
      <w:r w:rsidR="00DB5DC1" w:rsidRPr="00C6165A">
        <w:t xml:space="preserve">, </w:t>
      </w:r>
      <w:r w:rsidR="00223AAE" w:rsidRPr="00C6165A">
        <w:t>con</w:t>
      </w:r>
      <w:r w:rsidR="00DB5DC1" w:rsidRPr="00C6165A">
        <w:t xml:space="preserve"> </w:t>
      </w:r>
      <w:r w:rsidR="00223AAE" w:rsidRPr="00C6165A">
        <w:t>90.272 cabezas</w:t>
      </w:r>
      <w:r w:rsidR="00DB5DC1" w:rsidRPr="00C6165A">
        <w:t>,</w:t>
      </w:r>
      <w:r w:rsidR="00BB0917" w:rsidRPr="00C6165A">
        <w:t xml:space="preserve"> </w:t>
      </w:r>
      <w:r w:rsidRPr="00C6165A">
        <w:t xml:space="preserve">después de Galicia, representando </w:t>
      </w:r>
      <w:r w:rsidR="00272981" w:rsidRPr="00C6165A">
        <w:t>el</w:t>
      </w:r>
      <w:r w:rsidRPr="00C6165A">
        <w:t xml:space="preserve"> 11,</w:t>
      </w:r>
      <w:r w:rsidR="00223AAE" w:rsidRPr="00C6165A">
        <w:t>07</w:t>
      </w:r>
      <w:r w:rsidR="00154C4C" w:rsidRPr="00C6165A">
        <w:t>%</w:t>
      </w:r>
      <w:r w:rsidRPr="00C6165A">
        <w:t xml:space="preserve"> del </w:t>
      </w:r>
      <w:r w:rsidR="00AC4267" w:rsidRPr="00C6165A">
        <w:t>total nacional</w:t>
      </w:r>
      <w:r w:rsidR="00223AAE" w:rsidRPr="00C6165A">
        <w:t xml:space="preserve"> que se corresponde con</w:t>
      </w:r>
      <w:r w:rsidR="00DB5DC1" w:rsidRPr="00C6165A">
        <w:t xml:space="preserve"> </w:t>
      </w:r>
      <w:r w:rsidR="00223AAE" w:rsidRPr="00C6165A">
        <w:t>815.814 cabezas</w:t>
      </w:r>
      <w:r w:rsidR="00DB5DC1" w:rsidRPr="00C6165A">
        <w:t>.</w:t>
      </w:r>
    </w:p>
    <w:p w14:paraId="76D7AC89" w14:textId="77777777" w:rsidR="00AA49C3" w:rsidRPr="00C6165A" w:rsidRDefault="00AA49C3" w:rsidP="00AA49C3"/>
    <w:p w14:paraId="4B02E866" w14:textId="77777777" w:rsidR="00AA49C3" w:rsidRPr="00C6165A" w:rsidRDefault="00AA49C3" w:rsidP="00AA49C3">
      <w:pPr>
        <w:spacing w:after="120"/>
      </w:pPr>
      <w:r w:rsidRPr="00C6165A">
        <w:t>En la tabla siguiente se puede ver el censo y la evolución por tipo de ganado: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305"/>
        <w:gridCol w:w="1195"/>
        <w:gridCol w:w="1195"/>
        <w:gridCol w:w="1624"/>
      </w:tblGrid>
      <w:tr w:rsidR="00C6165A" w:rsidRPr="00C6165A" w14:paraId="65F02852" w14:textId="77777777" w:rsidTr="00643FEF">
        <w:trPr>
          <w:trHeight w:val="300"/>
          <w:tblHeader/>
          <w:jc w:val="center"/>
        </w:trPr>
        <w:tc>
          <w:tcPr>
            <w:tcW w:w="2732" w:type="dxa"/>
            <w:gridSpan w:val="2"/>
            <w:tcBorders>
              <w:top w:val="nil"/>
              <w:left w:val="nil"/>
            </w:tcBorders>
            <w:shd w:val="clear" w:color="auto" w:fill="auto"/>
            <w:noWrap/>
            <w:hideMark/>
          </w:tcPr>
          <w:p w14:paraId="499A68CC" w14:textId="77777777" w:rsidR="00AA49C3" w:rsidRPr="00C6165A" w:rsidRDefault="00AA49C3" w:rsidP="003466FC">
            <w:pPr>
              <w:rPr>
                <w:sz w:val="22"/>
                <w:szCs w:val="22"/>
              </w:rPr>
            </w:pPr>
          </w:p>
        </w:tc>
        <w:tc>
          <w:tcPr>
            <w:tcW w:w="1146" w:type="dxa"/>
            <w:tcBorders>
              <w:top w:val="single" w:sz="12" w:space="0" w:color="auto"/>
              <w:bottom w:val="single" w:sz="6" w:space="0" w:color="auto"/>
            </w:tcBorders>
            <w:shd w:val="clear" w:color="auto" w:fill="auto"/>
            <w:noWrap/>
            <w:vAlign w:val="center"/>
            <w:hideMark/>
          </w:tcPr>
          <w:p w14:paraId="43B3287C" w14:textId="535A94C5" w:rsidR="00AA49C3" w:rsidRPr="00C6165A" w:rsidRDefault="0090536F" w:rsidP="003466FC">
            <w:pPr>
              <w:jc w:val="center"/>
              <w:rPr>
                <w:b/>
                <w:bCs/>
                <w:sz w:val="22"/>
                <w:szCs w:val="22"/>
              </w:rPr>
            </w:pPr>
            <w:r w:rsidRPr="00C6165A">
              <w:rPr>
                <w:b/>
                <w:bCs/>
                <w:sz w:val="22"/>
                <w:szCs w:val="22"/>
              </w:rPr>
              <w:t>2021</w:t>
            </w:r>
          </w:p>
        </w:tc>
        <w:tc>
          <w:tcPr>
            <w:tcW w:w="1146" w:type="dxa"/>
            <w:tcBorders>
              <w:top w:val="single" w:sz="12" w:space="0" w:color="auto"/>
              <w:bottom w:val="single" w:sz="6" w:space="0" w:color="auto"/>
            </w:tcBorders>
            <w:shd w:val="clear" w:color="auto" w:fill="auto"/>
            <w:noWrap/>
            <w:vAlign w:val="center"/>
            <w:hideMark/>
          </w:tcPr>
          <w:p w14:paraId="4B24F6BC" w14:textId="037096D3" w:rsidR="00AA49C3" w:rsidRPr="00C6165A" w:rsidRDefault="0090536F" w:rsidP="003466FC">
            <w:pPr>
              <w:jc w:val="center"/>
              <w:rPr>
                <w:b/>
                <w:bCs/>
                <w:sz w:val="22"/>
                <w:szCs w:val="22"/>
              </w:rPr>
            </w:pPr>
            <w:r w:rsidRPr="00C6165A">
              <w:rPr>
                <w:b/>
                <w:bCs/>
                <w:sz w:val="22"/>
                <w:szCs w:val="22"/>
              </w:rPr>
              <w:t>202</w:t>
            </w:r>
            <w:r w:rsidR="00322E32" w:rsidRPr="00C6165A">
              <w:rPr>
                <w:b/>
                <w:bCs/>
                <w:sz w:val="22"/>
                <w:szCs w:val="22"/>
              </w:rPr>
              <w:t>2</w:t>
            </w:r>
          </w:p>
        </w:tc>
        <w:tc>
          <w:tcPr>
            <w:tcW w:w="1624" w:type="dxa"/>
            <w:tcBorders>
              <w:top w:val="single" w:sz="12" w:space="0" w:color="auto"/>
              <w:bottom w:val="single" w:sz="4" w:space="0" w:color="auto"/>
              <w:right w:val="single" w:sz="12" w:space="0" w:color="auto"/>
            </w:tcBorders>
            <w:shd w:val="clear" w:color="auto" w:fill="auto"/>
            <w:noWrap/>
            <w:vAlign w:val="center"/>
            <w:hideMark/>
          </w:tcPr>
          <w:p w14:paraId="641A7465" w14:textId="77777777" w:rsidR="00AA49C3" w:rsidRPr="00C6165A" w:rsidRDefault="00AA49C3" w:rsidP="003466FC">
            <w:pPr>
              <w:jc w:val="center"/>
              <w:rPr>
                <w:b/>
                <w:bCs/>
                <w:sz w:val="22"/>
                <w:szCs w:val="22"/>
              </w:rPr>
            </w:pPr>
            <w:r w:rsidRPr="00C6165A">
              <w:rPr>
                <w:b/>
                <w:bCs/>
                <w:sz w:val="22"/>
                <w:szCs w:val="22"/>
              </w:rPr>
              <w:t>Variación (%)</w:t>
            </w:r>
          </w:p>
        </w:tc>
      </w:tr>
      <w:tr w:rsidR="00C6165A" w:rsidRPr="00C6165A" w14:paraId="22892142" w14:textId="77777777" w:rsidTr="00322E32">
        <w:trPr>
          <w:trHeight w:val="300"/>
          <w:jc w:val="center"/>
        </w:trPr>
        <w:tc>
          <w:tcPr>
            <w:tcW w:w="2732" w:type="dxa"/>
            <w:gridSpan w:val="2"/>
            <w:tcBorders>
              <w:left w:val="single" w:sz="12" w:space="0" w:color="auto"/>
              <w:bottom w:val="single" w:sz="12" w:space="0" w:color="auto"/>
              <w:right w:val="single" w:sz="6" w:space="0" w:color="auto"/>
            </w:tcBorders>
            <w:shd w:val="clear" w:color="auto" w:fill="auto"/>
            <w:noWrap/>
            <w:vAlign w:val="center"/>
            <w:hideMark/>
          </w:tcPr>
          <w:p w14:paraId="4947C5A1" w14:textId="77777777" w:rsidR="0090536F" w:rsidRPr="00C6165A" w:rsidRDefault="0090536F" w:rsidP="0090536F">
            <w:pPr>
              <w:jc w:val="left"/>
              <w:rPr>
                <w:b/>
                <w:bCs/>
                <w:sz w:val="22"/>
                <w:szCs w:val="22"/>
              </w:rPr>
            </w:pPr>
            <w:r w:rsidRPr="00C6165A">
              <w:rPr>
                <w:b/>
                <w:bCs/>
                <w:sz w:val="22"/>
                <w:szCs w:val="22"/>
              </w:rPr>
              <w:t>Total</w:t>
            </w:r>
          </w:p>
        </w:tc>
        <w:tc>
          <w:tcPr>
            <w:tcW w:w="114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758448" w14:textId="4A9C96E2" w:rsidR="0090536F" w:rsidRPr="00C6165A" w:rsidRDefault="00322E32" w:rsidP="00322E32">
            <w:pPr>
              <w:jc w:val="center"/>
              <w:rPr>
                <w:b/>
                <w:bCs/>
                <w:sz w:val="22"/>
                <w:szCs w:val="22"/>
              </w:rPr>
            </w:pPr>
            <w:r w:rsidRPr="00C6165A">
              <w:rPr>
                <w:b/>
                <w:bCs/>
                <w:sz w:val="22"/>
                <w:szCs w:val="22"/>
              </w:rPr>
              <w:t>1.556.096</w:t>
            </w:r>
          </w:p>
        </w:tc>
        <w:tc>
          <w:tcPr>
            <w:tcW w:w="114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60B357" w14:textId="7AB74B79" w:rsidR="0090536F" w:rsidRPr="00C6165A" w:rsidRDefault="00322E32" w:rsidP="00322E32">
            <w:pPr>
              <w:jc w:val="center"/>
              <w:rPr>
                <w:b/>
                <w:bCs/>
                <w:sz w:val="22"/>
                <w:szCs w:val="22"/>
              </w:rPr>
            </w:pPr>
            <w:r w:rsidRPr="00C6165A">
              <w:rPr>
                <w:b/>
                <w:bCs/>
                <w:sz w:val="22"/>
                <w:szCs w:val="22"/>
              </w:rPr>
              <w:t>1.531.454</w:t>
            </w:r>
          </w:p>
        </w:tc>
        <w:tc>
          <w:tcPr>
            <w:tcW w:w="1624" w:type="dxa"/>
            <w:tcBorders>
              <w:top w:val="single" w:sz="4" w:space="0" w:color="auto"/>
              <w:left w:val="single" w:sz="6" w:space="0" w:color="auto"/>
              <w:bottom w:val="single" w:sz="4" w:space="0" w:color="auto"/>
              <w:right w:val="single" w:sz="12" w:space="0" w:color="auto"/>
            </w:tcBorders>
            <w:shd w:val="clear" w:color="auto" w:fill="auto"/>
            <w:noWrap/>
            <w:vAlign w:val="center"/>
            <w:hideMark/>
          </w:tcPr>
          <w:p w14:paraId="3CCD141B" w14:textId="0A4A0658" w:rsidR="0090536F" w:rsidRPr="00C6165A" w:rsidRDefault="00322E32" w:rsidP="00322E32">
            <w:pPr>
              <w:jc w:val="center"/>
              <w:rPr>
                <w:b/>
                <w:bCs/>
                <w:sz w:val="22"/>
                <w:szCs w:val="22"/>
                <w:lang w:eastAsia="es-ES"/>
              </w:rPr>
            </w:pPr>
            <w:r w:rsidRPr="00C6165A">
              <w:rPr>
                <w:b/>
                <w:bCs/>
                <w:sz w:val="22"/>
                <w:szCs w:val="22"/>
              </w:rPr>
              <w:t>-1,6%</w:t>
            </w:r>
          </w:p>
        </w:tc>
      </w:tr>
      <w:tr w:rsidR="00C6165A" w:rsidRPr="00C6165A" w14:paraId="49517A75" w14:textId="77777777" w:rsidTr="00322E32">
        <w:trPr>
          <w:trHeight w:val="300"/>
          <w:jc w:val="center"/>
        </w:trPr>
        <w:tc>
          <w:tcPr>
            <w:tcW w:w="6648" w:type="dxa"/>
            <w:gridSpan w:val="5"/>
            <w:tcBorders>
              <w:top w:val="single" w:sz="12" w:space="0" w:color="auto"/>
              <w:left w:val="single" w:sz="12" w:space="0" w:color="auto"/>
              <w:bottom w:val="single" w:sz="2" w:space="0" w:color="auto"/>
              <w:right w:val="single" w:sz="12" w:space="0" w:color="auto"/>
            </w:tcBorders>
            <w:shd w:val="clear" w:color="auto" w:fill="auto"/>
            <w:noWrap/>
            <w:vAlign w:val="center"/>
            <w:hideMark/>
          </w:tcPr>
          <w:p w14:paraId="01CDA577" w14:textId="77777777" w:rsidR="002C60B7" w:rsidRPr="00C6165A" w:rsidRDefault="002C60B7" w:rsidP="002C60B7">
            <w:pPr>
              <w:jc w:val="center"/>
              <w:rPr>
                <w:i/>
                <w:sz w:val="22"/>
                <w:szCs w:val="22"/>
              </w:rPr>
            </w:pPr>
            <w:r w:rsidRPr="00C6165A">
              <w:rPr>
                <w:i/>
                <w:sz w:val="22"/>
                <w:szCs w:val="22"/>
              </w:rPr>
              <w:t>Animales menores de 12 meses</w:t>
            </w:r>
          </w:p>
        </w:tc>
      </w:tr>
      <w:tr w:rsidR="00C6165A" w:rsidRPr="00C6165A" w14:paraId="09B358E3" w14:textId="77777777" w:rsidTr="00E430D2">
        <w:trPr>
          <w:trHeight w:val="248"/>
          <w:jc w:val="center"/>
        </w:trPr>
        <w:tc>
          <w:tcPr>
            <w:tcW w:w="2732" w:type="dxa"/>
            <w:gridSpan w:val="2"/>
            <w:tcBorders>
              <w:top w:val="single" w:sz="2" w:space="0" w:color="auto"/>
              <w:left w:val="single" w:sz="12" w:space="0" w:color="auto"/>
              <w:bottom w:val="single" w:sz="2" w:space="0" w:color="auto"/>
              <w:right w:val="single" w:sz="6" w:space="0" w:color="auto"/>
            </w:tcBorders>
            <w:shd w:val="clear" w:color="auto" w:fill="auto"/>
            <w:noWrap/>
            <w:vAlign w:val="center"/>
            <w:hideMark/>
          </w:tcPr>
          <w:p w14:paraId="55D3A522" w14:textId="77777777" w:rsidR="002C60B7" w:rsidRPr="00C6165A" w:rsidRDefault="002C60B7" w:rsidP="002C60B7">
            <w:pPr>
              <w:jc w:val="left"/>
              <w:rPr>
                <w:sz w:val="22"/>
                <w:szCs w:val="22"/>
              </w:rPr>
            </w:pPr>
            <w:r w:rsidRPr="00C6165A">
              <w:rPr>
                <w:sz w:val="22"/>
                <w:szCs w:val="22"/>
              </w:rPr>
              <w:t>Destinados a sacrificio</w:t>
            </w:r>
          </w:p>
        </w:tc>
        <w:tc>
          <w:tcPr>
            <w:tcW w:w="114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372F6E6" w14:textId="6F7A1885" w:rsidR="002C60B7" w:rsidRPr="00C6165A" w:rsidRDefault="00322E32" w:rsidP="00223AAE">
            <w:pPr>
              <w:jc w:val="center"/>
              <w:rPr>
                <w:sz w:val="22"/>
                <w:szCs w:val="22"/>
              </w:rPr>
            </w:pPr>
            <w:r w:rsidRPr="00C6165A">
              <w:rPr>
                <w:sz w:val="22"/>
                <w:szCs w:val="22"/>
              </w:rPr>
              <w:t>374.726</w:t>
            </w:r>
          </w:p>
        </w:tc>
        <w:tc>
          <w:tcPr>
            <w:tcW w:w="114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C769E75" w14:textId="514EF6F0" w:rsidR="002C60B7" w:rsidRPr="00C6165A" w:rsidRDefault="00322E32" w:rsidP="00223AAE">
            <w:pPr>
              <w:jc w:val="center"/>
              <w:rPr>
                <w:sz w:val="22"/>
                <w:szCs w:val="22"/>
              </w:rPr>
            </w:pPr>
            <w:r w:rsidRPr="00C6165A">
              <w:rPr>
                <w:sz w:val="22"/>
                <w:szCs w:val="22"/>
              </w:rPr>
              <w:t>376.956</w:t>
            </w:r>
          </w:p>
        </w:tc>
        <w:tc>
          <w:tcPr>
            <w:tcW w:w="1624"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4DA9E497" w14:textId="2615DFA8" w:rsidR="002C60B7" w:rsidRPr="00C6165A" w:rsidRDefault="00322E32" w:rsidP="00223AAE">
            <w:pPr>
              <w:jc w:val="center"/>
              <w:rPr>
                <w:sz w:val="22"/>
                <w:szCs w:val="22"/>
                <w:lang w:eastAsia="es-ES"/>
              </w:rPr>
            </w:pPr>
            <w:r w:rsidRPr="00C6165A">
              <w:rPr>
                <w:sz w:val="22"/>
                <w:szCs w:val="22"/>
                <w:lang w:eastAsia="es-ES"/>
              </w:rPr>
              <w:t>0,6%</w:t>
            </w:r>
          </w:p>
        </w:tc>
      </w:tr>
      <w:tr w:rsidR="00C6165A" w:rsidRPr="00C6165A" w14:paraId="6BC66CA2" w14:textId="77777777" w:rsidTr="00223AAE">
        <w:trPr>
          <w:trHeight w:val="300"/>
          <w:jc w:val="center"/>
        </w:trPr>
        <w:tc>
          <w:tcPr>
            <w:tcW w:w="1526" w:type="dxa"/>
            <w:vMerge w:val="restart"/>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4065C2BF" w14:textId="77777777" w:rsidR="009C59C4" w:rsidRPr="00C6165A" w:rsidRDefault="009C59C4" w:rsidP="009C59C4">
            <w:pPr>
              <w:jc w:val="left"/>
              <w:rPr>
                <w:sz w:val="22"/>
                <w:szCs w:val="22"/>
              </w:rPr>
            </w:pPr>
            <w:r w:rsidRPr="00C6165A">
              <w:rPr>
                <w:sz w:val="22"/>
                <w:szCs w:val="22"/>
              </w:rPr>
              <w:t>Otros</w:t>
            </w:r>
          </w:p>
        </w:tc>
        <w:tc>
          <w:tcPr>
            <w:tcW w:w="1206" w:type="dxa"/>
            <w:tcBorders>
              <w:top w:val="single" w:sz="2" w:space="0" w:color="auto"/>
              <w:left w:val="single" w:sz="2" w:space="0" w:color="auto"/>
              <w:bottom w:val="single" w:sz="2" w:space="0" w:color="auto"/>
              <w:right w:val="single" w:sz="6" w:space="0" w:color="auto"/>
            </w:tcBorders>
            <w:shd w:val="clear" w:color="auto" w:fill="auto"/>
            <w:noWrap/>
            <w:vAlign w:val="center"/>
            <w:hideMark/>
          </w:tcPr>
          <w:p w14:paraId="1AED01C4" w14:textId="77777777" w:rsidR="009C59C4" w:rsidRPr="00C6165A" w:rsidRDefault="009C59C4" w:rsidP="009C59C4">
            <w:pPr>
              <w:jc w:val="left"/>
              <w:rPr>
                <w:sz w:val="22"/>
                <w:szCs w:val="22"/>
              </w:rPr>
            </w:pPr>
            <w:r w:rsidRPr="00C6165A">
              <w:rPr>
                <w:sz w:val="22"/>
                <w:szCs w:val="22"/>
              </w:rPr>
              <w:t>Machos</w:t>
            </w:r>
          </w:p>
        </w:tc>
        <w:tc>
          <w:tcPr>
            <w:tcW w:w="114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16970A8" w14:textId="27E0516C" w:rsidR="009C59C4" w:rsidRPr="00C6165A" w:rsidRDefault="00322E32" w:rsidP="00223AAE">
            <w:pPr>
              <w:jc w:val="center"/>
              <w:rPr>
                <w:sz w:val="22"/>
                <w:szCs w:val="22"/>
              </w:rPr>
            </w:pPr>
            <w:r w:rsidRPr="00C6165A">
              <w:rPr>
                <w:sz w:val="22"/>
                <w:szCs w:val="22"/>
              </w:rPr>
              <w:t>69.647</w:t>
            </w:r>
          </w:p>
        </w:tc>
        <w:tc>
          <w:tcPr>
            <w:tcW w:w="114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5139634" w14:textId="34BEC730" w:rsidR="009C59C4" w:rsidRPr="00C6165A" w:rsidRDefault="00322E32" w:rsidP="00223AAE">
            <w:pPr>
              <w:jc w:val="center"/>
              <w:rPr>
                <w:sz w:val="22"/>
                <w:szCs w:val="22"/>
              </w:rPr>
            </w:pPr>
            <w:r w:rsidRPr="00C6165A">
              <w:rPr>
                <w:sz w:val="22"/>
                <w:szCs w:val="22"/>
              </w:rPr>
              <w:t>58.590</w:t>
            </w:r>
          </w:p>
        </w:tc>
        <w:tc>
          <w:tcPr>
            <w:tcW w:w="1624"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2B761312" w14:textId="478D76B4" w:rsidR="009C59C4" w:rsidRPr="00C6165A" w:rsidRDefault="00322E32" w:rsidP="00223AAE">
            <w:pPr>
              <w:jc w:val="center"/>
              <w:rPr>
                <w:sz w:val="22"/>
                <w:szCs w:val="22"/>
              </w:rPr>
            </w:pPr>
            <w:r w:rsidRPr="00C6165A">
              <w:rPr>
                <w:sz w:val="22"/>
                <w:szCs w:val="22"/>
              </w:rPr>
              <w:t>-15,9%</w:t>
            </w:r>
          </w:p>
        </w:tc>
      </w:tr>
      <w:tr w:rsidR="00C6165A" w:rsidRPr="00C6165A" w14:paraId="680F6EB0" w14:textId="77777777" w:rsidTr="00223AAE">
        <w:trPr>
          <w:trHeight w:val="300"/>
          <w:jc w:val="center"/>
        </w:trPr>
        <w:tc>
          <w:tcPr>
            <w:tcW w:w="1526" w:type="dxa"/>
            <w:vMerge/>
            <w:tcBorders>
              <w:top w:val="single" w:sz="2" w:space="0" w:color="auto"/>
              <w:left w:val="single" w:sz="12" w:space="0" w:color="auto"/>
              <w:bottom w:val="single" w:sz="12" w:space="0" w:color="auto"/>
              <w:right w:val="single" w:sz="2" w:space="0" w:color="auto"/>
            </w:tcBorders>
            <w:shd w:val="clear" w:color="auto" w:fill="auto"/>
            <w:noWrap/>
            <w:hideMark/>
          </w:tcPr>
          <w:p w14:paraId="36426D8D" w14:textId="77777777" w:rsidR="009C59C4" w:rsidRPr="00C6165A" w:rsidRDefault="009C59C4" w:rsidP="009C59C4">
            <w:pPr>
              <w:rPr>
                <w:sz w:val="22"/>
                <w:szCs w:val="22"/>
              </w:rPr>
            </w:pPr>
          </w:p>
        </w:tc>
        <w:tc>
          <w:tcPr>
            <w:tcW w:w="1206" w:type="dxa"/>
            <w:tcBorders>
              <w:top w:val="single" w:sz="2" w:space="0" w:color="auto"/>
              <w:left w:val="single" w:sz="2" w:space="0" w:color="auto"/>
              <w:bottom w:val="single" w:sz="12" w:space="0" w:color="auto"/>
              <w:right w:val="single" w:sz="6" w:space="0" w:color="auto"/>
            </w:tcBorders>
            <w:shd w:val="clear" w:color="auto" w:fill="auto"/>
            <w:noWrap/>
            <w:vAlign w:val="center"/>
            <w:hideMark/>
          </w:tcPr>
          <w:p w14:paraId="2D7186E0" w14:textId="77777777" w:rsidR="009C59C4" w:rsidRPr="00C6165A" w:rsidRDefault="009C59C4" w:rsidP="009C59C4">
            <w:pPr>
              <w:jc w:val="left"/>
              <w:rPr>
                <w:sz w:val="22"/>
                <w:szCs w:val="22"/>
              </w:rPr>
            </w:pPr>
            <w:r w:rsidRPr="00C6165A">
              <w:rPr>
                <w:sz w:val="22"/>
                <w:szCs w:val="22"/>
              </w:rPr>
              <w:t>Hembras</w:t>
            </w:r>
          </w:p>
        </w:tc>
        <w:tc>
          <w:tcPr>
            <w:tcW w:w="114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750123E" w14:textId="3FE688C8" w:rsidR="009C59C4" w:rsidRPr="00C6165A" w:rsidRDefault="00322E32" w:rsidP="00223AAE">
            <w:pPr>
              <w:jc w:val="center"/>
              <w:rPr>
                <w:sz w:val="22"/>
                <w:szCs w:val="22"/>
              </w:rPr>
            </w:pPr>
            <w:r w:rsidRPr="00C6165A">
              <w:rPr>
                <w:sz w:val="22"/>
                <w:szCs w:val="22"/>
              </w:rPr>
              <w:t>118.836</w:t>
            </w:r>
          </w:p>
        </w:tc>
        <w:tc>
          <w:tcPr>
            <w:tcW w:w="114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5D8D0AE" w14:textId="0CED1814" w:rsidR="009C59C4" w:rsidRPr="00C6165A" w:rsidRDefault="00322E32" w:rsidP="00223AAE">
            <w:pPr>
              <w:jc w:val="center"/>
              <w:rPr>
                <w:sz w:val="22"/>
                <w:szCs w:val="22"/>
              </w:rPr>
            </w:pPr>
            <w:r w:rsidRPr="00C6165A">
              <w:rPr>
                <w:sz w:val="22"/>
                <w:szCs w:val="22"/>
              </w:rPr>
              <w:t>111.741</w:t>
            </w:r>
          </w:p>
        </w:tc>
        <w:tc>
          <w:tcPr>
            <w:tcW w:w="1624" w:type="dxa"/>
            <w:tcBorders>
              <w:top w:val="single" w:sz="6" w:space="0" w:color="auto"/>
              <w:left w:val="single" w:sz="6" w:space="0" w:color="auto"/>
              <w:bottom w:val="single" w:sz="6" w:space="0" w:color="auto"/>
              <w:right w:val="single" w:sz="12" w:space="0" w:color="auto"/>
            </w:tcBorders>
            <w:shd w:val="clear" w:color="auto" w:fill="auto"/>
            <w:noWrap/>
            <w:vAlign w:val="center"/>
          </w:tcPr>
          <w:p w14:paraId="79CA7C4C" w14:textId="2D002792" w:rsidR="009C59C4" w:rsidRPr="00C6165A" w:rsidRDefault="00322E32" w:rsidP="00223AAE">
            <w:pPr>
              <w:jc w:val="center"/>
              <w:rPr>
                <w:sz w:val="22"/>
                <w:szCs w:val="22"/>
              </w:rPr>
            </w:pPr>
            <w:r w:rsidRPr="00C6165A">
              <w:rPr>
                <w:sz w:val="22"/>
                <w:szCs w:val="22"/>
              </w:rPr>
              <w:t>-6,0%</w:t>
            </w:r>
          </w:p>
        </w:tc>
      </w:tr>
      <w:tr w:rsidR="00C6165A" w:rsidRPr="00C6165A" w14:paraId="758FB2D3" w14:textId="77777777" w:rsidTr="00322E32">
        <w:trPr>
          <w:trHeight w:val="300"/>
          <w:jc w:val="center"/>
        </w:trPr>
        <w:tc>
          <w:tcPr>
            <w:tcW w:w="6648" w:type="dxa"/>
            <w:gridSpan w:val="5"/>
            <w:tcBorders>
              <w:top w:val="single" w:sz="12" w:space="0" w:color="auto"/>
              <w:left w:val="single" w:sz="12" w:space="0" w:color="auto"/>
              <w:right w:val="single" w:sz="12" w:space="0" w:color="auto"/>
            </w:tcBorders>
            <w:shd w:val="clear" w:color="auto" w:fill="auto"/>
            <w:noWrap/>
            <w:vAlign w:val="center"/>
            <w:hideMark/>
          </w:tcPr>
          <w:p w14:paraId="3316322D" w14:textId="77777777" w:rsidR="002C60B7" w:rsidRPr="00C6165A" w:rsidRDefault="002C60B7" w:rsidP="00322E32">
            <w:pPr>
              <w:jc w:val="center"/>
              <w:rPr>
                <w:i/>
                <w:sz w:val="22"/>
                <w:szCs w:val="22"/>
              </w:rPr>
            </w:pPr>
            <w:r w:rsidRPr="00C6165A">
              <w:rPr>
                <w:i/>
                <w:sz w:val="22"/>
                <w:szCs w:val="22"/>
              </w:rPr>
              <w:t>Animales de 12 meses a menos de 24 meses</w:t>
            </w:r>
          </w:p>
        </w:tc>
      </w:tr>
      <w:tr w:rsidR="00C6165A" w:rsidRPr="00C6165A" w14:paraId="7C16B7D2" w14:textId="77777777" w:rsidTr="00E430D2">
        <w:trPr>
          <w:trHeight w:val="96"/>
          <w:jc w:val="center"/>
        </w:trPr>
        <w:tc>
          <w:tcPr>
            <w:tcW w:w="2732" w:type="dxa"/>
            <w:gridSpan w:val="2"/>
            <w:tcBorders>
              <w:left w:val="single" w:sz="12" w:space="0" w:color="auto"/>
            </w:tcBorders>
            <w:shd w:val="clear" w:color="auto" w:fill="auto"/>
            <w:noWrap/>
            <w:vAlign w:val="center"/>
            <w:hideMark/>
          </w:tcPr>
          <w:p w14:paraId="24CC37A0" w14:textId="77777777" w:rsidR="002C60B7" w:rsidRPr="00C6165A" w:rsidRDefault="002C60B7" w:rsidP="002C60B7">
            <w:pPr>
              <w:jc w:val="left"/>
              <w:rPr>
                <w:sz w:val="22"/>
                <w:szCs w:val="22"/>
              </w:rPr>
            </w:pPr>
            <w:r w:rsidRPr="00C6165A">
              <w:rPr>
                <w:sz w:val="22"/>
                <w:szCs w:val="22"/>
              </w:rPr>
              <w:t>Machos</w:t>
            </w:r>
          </w:p>
        </w:tc>
        <w:tc>
          <w:tcPr>
            <w:tcW w:w="1146" w:type="dxa"/>
            <w:tcBorders>
              <w:top w:val="single" w:sz="4" w:space="0" w:color="auto"/>
              <w:left w:val="nil"/>
              <w:bottom w:val="single" w:sz="4" w:space="0" w:color="auto"/>
              <w:right w:val="single" w:sz="4" w:space="0" w:color="auto"/>
            </w:tcBorders>
            <w:shd w:val="clear" w:color="auto" w:fill="auto"/>
            <w:noWrap/>
            <w:vAlign w:val="center"/>
          </w:tcPr>
          <w:p w14:paraId="497EA90D" w14:textId="45A8E65C" w:rsidR="002C60B7" w:rsidRPr="00C6165A" w:rsidRDefault="00322E32" w:rsidP="00223AAE">
            <w:pPr>
              <w:jc w:val="center"/>
              <w:rPr>
                <w:sz w:val="22"/>
                <w:szCs w:val="22"/>
              </w:rPr>
            </w:pPr>
            <w:r w:rsidRPr="00C6165A">
              <w:rPr>
                <w:sz w:val="22"/>
                <w:szCs w:val="22"/>
              </w:rPr>
              <w:t>77.034</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82CD8" w14:textId="3B3CE35A" w:rsidR="002C60B7" w:rsidRPr="00C6165A" w:rsidRDefault="00322E32" w:rsidP="00223AAE">
            <w:pPr>
              <w:jc w:val="center"/>
              <w:rPr>
                <w:sz w:val="22"/>
                <w:szCs w:val="22"/>
              </w:rPr>
            </w:pPr>
            <w:r w:rsidRPr="00C6165A">
              <w:rPr>
                <w:sz w:val="22"/>
                <w:szCs w:val="22"/>
              </w:rPr>
              <w:t>75.439</w:t>
            </w:r>
          </w:p>
        </w:tc>
        <w:tc>
          <w:tcPr>
            <w:tcW w:w="1624"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F4D1B21" w14:textId="312D6C0B" w:rsidR="002C60B7" w:rsidRPr="00C6165A" w:rsidRDefault="00322E32" w:rsidP="00223AAE">
            <w:pPr>
              <w:jc w:val="center"/>
              <w:rPr>
                <w:sz w:val="22"/>
                <w:szCs w:val="22"/>
                <w:lang w:eastAsia="es-ES"/>
              </w:rPr>
            </w:pPr>
            <w:r w:rsidRPr="00C6165A">
              <w:rPr>
                <w:sz w:val="22"/>
                <w:szCs w:val="22"/>
                <w:lang w:eastAsia="es-ES"/>
              </w:rPr>
              <w:t>-2,1%</w:t>
            </w:r>
          </w:p>
        </w:tc>
      </w:tr>
      <w:tr w:rsidR="00C6165A" w:rsidRPr="00C6165A" w14:paraId="2FC43FE8" w14:textId="77777777" w:rsidTr="00223AAE">
        <w:trPr>
          <w:trHeight w:val="300"/>
          <w:jc w:val="center"/>
        </w:trPr>
        <w:tc>
          <w:tcPr>
            <w:tcW w:w="1526" w:type="dxa"/>
            <w:vMerge w:val="restart"/>
            <w:tcBorders>
              <w:left w:val="single" w:sz="12" w:space="0" w:color="auto"/>
            </w:tcBorders>
            <w:shd w:val="clear" w:color="auto" w:fill="auto"/>
            <w:noWrap/>
            <w:vAlign w:val="center"/>
            <w:hideMark/>
          </w:tcPr>
          <w:p w14:paraId="0E96F6CB" w14:textId="77777777" w:rsidR="009C59C4" w:rsidRPr="00C6165A" w:rsidRDefault="009C59C4" w:rsidP="009C59C4">
            <w:pPr>
              <w:jc w:val="left"/>
              <w:rPr>
                <w:sz w:val="22"/>
                <w:szCs w:val="22"/>
              </w:rPr>
            </w:pPr>
            <w:r w:rsidRPr="00C6165A">
              <w:rPr>
                <w:sz w:val="22"/>
                <w:szCs w:val="22"/>
              </w:rPr>
              <w:t>Hembras para</w:t>
            </w:r>
          </w:p>
        </w:tc>
        <w:tc>
          <w:tcPr>
            <w:tcW w:w="1206" w:type="dxa"/>
            <w:shd w:val="clear" w:color="auto" w:fill="auto"/>
            <w:noWrap/>
            <w:vAlign w:val="center"/>
            <w:hideMark/>
          </w:tcPr>
          <w:p w14:paraId="508674D4" w14:textId="77777777" w:rsidR="009C59C4" w:rsidRPr="00C6165A" w:rsidRDefault="009C59C4" w:rsidP="009C59C4">
            <w:pPr>
              <w:jc w:val="left"/>
              <w:rPr>
                <w:sz w:val="22"/>
                <w:szCs w:val="22"/>
              </w:rPr>
            </w:pPr>
            <w:r w:rsidRPr="00C6165A">
              <w:rPr>
                <w:sz w:val="22"/>
                <w:szCs w:val="22"/>
              </w:rPr>
              <w:t>Sacrificio</w:t>
            </w:r>
          </w:p>
        </w:tc>
        <w:tc>
          <w:tcPr>
            <w:tcW w:w="1146" w:type="dxa"/>
            <w:tcBorders>
              <w:top w:val="single" w:sz="4" w:space="0" w:color="auto"/>
              <w:left w:val="nil"/>
              <w:bottom w:val="single" w:sz="4" w:space="0" w:color="auto"/>
              <w:right w:val="single" w:sz="4" w:space="0" w:color="auto"/>
            </w:tcBorders>
            <w:shd w:val="clear" w:color="auto" w:fill="auto"/>
            <w:noWrap/>
            <w:vAlign w:val="center"/>
          </w:tcPr>
          <w:p w14:paraId="513CD3DD" w14:textId="1F0D0D84" w:rsidR="009C59C4" w:rsidRPr="00C6165A" w:rsidRDefault="00322E32" w:rsidP="00223AAE">
            <w:pPr>
              <w:jc w:val="center"/>
              <w:rPr>
                <w:sz w:val="22"/>
                <w:szCs w:val="22"/>
              </w:rPr>
            </w:pPr>
            <w:r w:rsidRPr="00C6165A">
              <w:rPr>
                <w:sz w:val="22"/>
                <w:szCs w:val="22"/>
              </w:rPr>
              <w:t>32.972</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89FE0" w14:textId="69562CC4" w:rsidR="009C59C4" w:rsidRPr="00C6165A" w:rsidRDefault="00322E32" w:rsidP="00223AAE">
            <w:pPr>
              <w:jc w:val="center"/>
              <w:rPr>
                <w:sz w:val="22"/>
                <w:szCs w:val="22"/>
              </w:rPr>
            </w:pPr>
            <w:r w:rsidRPr="00C6165A">
              <w:rPr>
                <w:sz w:val="22"/>
                <w:szCs w:val="22"/>
              </w:rPr>
              <w:t>33.782</w:t>
            </w:r>
          </w:p>
        </w:tc>
        <w:tc>
          <w:tcPr>
            <w:tcW w:w="1624"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B3A1F00" w14:textId="3930275C" w:rsidR="009C59C4" w:rsidRPr="00C6165A" w:rsidRDefault="00322E32" w:rsidP="00223AAE">
            <w:pPr>
              <w:jc w:val="center"/>
              <w:rPr>
                <w:sz w:val="22"/>
                <w:szCs w:val="22"/>
              </w:rPr>
            </w:pPr>
            <w:r w:rsidRPr="00C6165A">
              <w:rPr>
                <w:sz w:val="22"/>
                <w:szCs w:val="22"/>
              </w:rPr>
              <w:t>2,5%</w:t>
            </w:r>
          </w:p>
        </w:tc>
      </w:tr>
      <w:tr w:rsidR="00C6165A" w:rsidRPr="00C6165A" w14:paraId="35B77E53" w14:textId="77777777" w:rsidTr="00223AAE">
        <w:trPr>
          <w:trHeight w:val="300"/>
          <w:jc w:val="center"/>
        </w:trPr>
        <w:tc>
          <w:tcPr>
            <w:tcW w:w="1526" w:type="dxa"/>
            <w:vMerge/>
            <w:tcBorders>
              <w:left w:val="single" w:sz="12" w:space="0" w:color="auto"/>
              <w:bottom w:val="single" w:sz="12" w:space="0" w:color="auto"/>
            </w:tcBorders>
            <w:shd w:val="clear" w:color="auto" w:fill="auto"/>
            <w:noWrap/>
            <w:hideMark/>
          </w:tcPr>
          <w:p w14:paraId="16D47955" w14:textId="77777777" w:rsidR="009C59C4" w:rsidRPr="00C6165A" w:rsidRDefault="009C59C4" w:rsidP="009C59C4">
            <w:pPr>
              <w:rPr>
                <w:sz w:val="22"/>
                <w:szCs w:val="22"/>
              </w:rPr>
            </w:pPr>
          </w:p>
        </w:tc>
        <w:tc>
          <w:tcPr>
            <w:tcW w:w="1206" w:type="dxa"/>
            <w:tcBorders>
              <w:bottom w:val="single" w:sz="12" w:space="0" w:color="auto"/>
            </w:tcBorders>
            <w:shd w:val="clear" w:color="auto" w:fill="auto"/>
            <w:noWrap/>
            <w:vAlign w:val="center"/>
            <w:hideMark/>
          </w:tcPr>
          <w:p w14:paraId="703F6161" w14:textId="77777777" w:rsidR="009C59C4" w:rsidRPr="00C6165A" w:rsidRDefault="009C59C4" w:rsidP="009C59C4">
            <w:pPr>
              <w:jc w:val="left"/>
              <w:rPr>
                <w:sz w:val="22"/>
                <w:szCs w:val="22"/>
              </w:rPr>
            </w:pPr>
            <w:r w:rsidRPr="00C6165A">
              <w:rPr>
                <w:sz w:val="22"/>
                <w:szCs w:val="22"/>
              </w:rPr>
              <w:t>Reposición</w:t>
            </w:r>
          </w:p>
        </w:tc>
        <w:tc>
          <w:tcPr>
            <w:tcW w:w="1146" w:type="dxa"/>
            <w:tcBorders>
              <w:top w:val="single" w:sz="4" w:space="0" w:color="auto"/>
              <w:left w:val="nil"/>
              <w:bottom w:val="nil"/>
              <w:right w:val="single" w:sz="4" w:space="0" w:color="auto"/>
            </w:tcBorders>
            <w:shd w:val="clear" w:color="auto" w:fill="auto"/>
            <w:noWrap/>
            <w:vAlign w:val="center"/>
          </w:tcPr>
          <w:p w14:paraId="4A87CC96" w14:textId="1E54E1DF" w:rsidR="009C59C4" w:rsidRPr="00C6165A" w:rsidRDefault="00322E32" w:rsidP="00223AAE">
            <w:pPr>
              <w:jc w:val="center"/>
              <w:rPr>
                <w:sz w:val="22"/>
                <w:szCs w:val="22"/>
              </w:rPr>
            </w:pPr>
            <w:r w:rsidRPr="00C6165A">
              <w:rPr>
                <w:sz w:val="22"/>
                <w:szCs w:val="22"/>
              </w:rPr>
              <w:t>116.922</w:t>
            </w:r>
          </w:p>
        </w:tc>
        <w:tc>
          <w:tcPr>
            <w:tcW w:w="1146" w:type="dxa"/>
            <w:tcBorders>
              <w:top w:val="single" w:sz="4" w:space="0" w:color="auto"/>
              <w:left w:val="single" w:sz="4" w:space="0" w:color="auto"/>
              <w:bottom w:val="nil"/>
              <w:right w:val="single" w:sz="4" w:space="0" w:color="auto"/>
            </w:tcBorders>
            <w:shd w:val="clear" w:color="auto" w:fill="auto"/>
            <w:noWrap/>
            <w:vAlign w:val="center"/>
          </w:tcPr>
          <w:p w14:paraId="56C06431" w14:textId="6551C804" w:rsidR="009C59C4" w:rsidRPr="00C6165A" w:rsidRDefault="00322E32" w:rsidP="00223AAE">
            <w:pPr>
              <w:jc w:val="center"/>
              <w:rPr>
                <w:sz w:val="22"/>
                <w:szCs w:val="22"/>
              </w:rPr>
            </w:pPr>
            <w:r w:rsidRPr="00C6165A">
              <w:rPr>
                <w:sz w:val="22"/>
                <w:szCs w:val="22"/>
              </w:rPr>
              <w:t>109.443</w:t>
            </w:r>
          </w:p>
        </w:tc>
        <w:tc>
          <w:tcPr>
            <w:tcW w:w="1624" w:type="dxa"/>
            <w:tcBorders>
              <w:top w:val="single" w:sz="4" w:space="0" w:color="auto"/>
              <w:left w:val="single" w:sz="4" w:space="0" w:color="auto"/>
              <w:bottom w:val="nil"/>
              <w:right w:val="single" w:sz="12" w:space="0" w:color="auto"/>
            </w:tcBorders>
            <w:shd w:val="clear" w:color="auto" w:fill="auto"/>
            <w:noWrap/>
            <w:vAlign w:val="center"/>
          </w:tcPr>
          <w:p w14:paraId="2DD09381" w14:textId="160B4A1D" w:rsidR="009C59C4" w:rsidRPr="00C6165A" w:rsidRDefault="00322E32" w:rsidP="00223AAE">
            <w:pPr>
              <w:jc w:val="center"/>
              <w:rPr>
                <w:sz w:val="22"/>
                <w:szCs w:val="22"/>
              </w:rPr>
            </w:pPr>
            <w:r w:rsidRPr="00C6165A">
              <w:rPr>
                <w:sz w:val="22"/>
                <w:szCs w:val="22"/>
              </w:rPr>
              <w:t>-6,4%</w:t>
            </w:r>
          </w:p>
        </w:tc>
      </w:tr>
      <w:tr w:rsidR="00C6165A" w:rsidRPr="00C6165A" w14:paraId="5BF9ED50" w14:textId="77777777" w:rsidTr="00322E32">
        <w:trPr>
          <w:trHeight w:val="300"/>
          <w:jc w:val="center"/>
        </w:trPr>
        <w:tc>
          <w:tcPr>
            <w:tcW w:w="6648" w:type="dxa"/>
            <w:gridSpan w:val="5"/>
            <w:tcBorders>
              <w:top w:val="single" w:sz="12" w:space="0" w:color="auto"/>
              <w:left w:val="single" w:sz="12" w:space="0" w:color="auto"/>
              <w:right w:val="single" w:sz="12" w:space="0" w:color="auto"/>
            </w:tcBorders>
            <w:shd w:val="clear" w:color="auto" w:fill="auto"/>
            <w:noWrap/>
            <w:vAlign w:val="center"/>
            <w:hideMark/>
          </w:tcPr>
          <w:p w14:paraId="5B761469" w14:textId="77777777" w:rsidR="002C60B7" w:rsidRPr="00C6165A" w:rsidRDefault="002C60B7" w:rsidP="00322E32">
            <w:pPr>
              <w:jc w:val="center"/>
              <w:rPr>
                <w:i/>
                <w:sz w:val="22"/>
                <w:szCs w:val="22"/>
              </w:rPr>
            </w:pPr>
            <w:r w:rsidRPr="00C6165A">
              <w:rPr>
                <w:i/>
                <w:sz w:val="22"/>
                <w:szCs w:val="22"/>
              </w:rPr>
              <w:t>Animales de dos o más años</w:t>
            </w:r>
          </w:p>
        </w:tc>
      </w:tr>
      <w:tr w:rsidR="00C6165A" w:rsidRPr="00C6165A" w14:paraId="1C17412A" w14:textId="77777777" w:rsidTr="00E430D2">
        <w:trPr>
          <w:trHeight w:val="120"/>
          <w:jc w:val="center"/>
        </w:trPr>
        <w:tc>
          <w:tcPr>
            <w:tcW w:w="2732" w:type="dxa"/>
            <w:gridSpan w:val="2"/>
            <w:tcBorders>
              <w:left w:val="single" w:sz="12" w:space="0" w:color="auto"/>
            </w:tcBorders>
            <w:shd w:val="clear" w:color="auto" w:fill="auto"/>
            <w:noWrap/>
            <w:vAlign w:val="center"/>
            <w:hideMark/>
          </w:tcPr>
          <w:p w14:paraId="1E1208DB" w14:textId="77777777" w:rsidR="002C60B7" w:rsidRPr="00C6165A" w:rsidRDefault="002C60B7" w:rsidP="002C60B7">
            <w:pPr>
              <w:jc w:val="left"/>
              <w:rPr>
                <w:sz w:val="22"/>
                <w:szCs w:val="22"/>
              </w:rPr>
            </w:pPr>
            <w:r w:rsidRPr="00C6165A">
              <w:rPr>
                <w:sz w:val="22"/>
                <w:szCs w:val="22"/>
              </w:rPr>
              <w:t>Machos</w:t>
            </w:r>
          </w:p>
        </w:tc>
        <w:tc>
          <w:tcPr>
            <w:tcW w:w="1146" w:type="dxa"/>
            <w:tcBorders>
              <w:top w:val="single" w:sz="4" w:space="0" w:color="auto"/>
              <w:left w:val="nil"/>
              <w:bottom w:val="single" w:sz="4" w:space="0" w:color="auto"/>
              <w:right w:val="single" w:sz="4" w:space="0" w:color="auto"/>
            </w:tcBorders>
            <w:shd w:val="clear" w:color="auto" w:fill="auto"/>
            <w:noWrap/>
            <w:vAlign w:val="center"/>
          </w:tcPr>
          <w:p w14:paraId="34EA7786" w14:textId="65F878C5" w:rsidR="002C60B7" w:rsidRPr="00C6165A" w:rsidRDefault="00322E32" w:rsidP="00E430D2">
            <w:pPr>
              <w:jc w:val="center"/>
              <w:rPr>
                <w:sz w:val="22"/>
                <w:szCs w:val="22"/>
              </w:rPr>
            </w:pPr>
            <w:r w:rsidRPr="00C6165A">
              <w:rPr>
                <w:sz w:val="22"/>
                <w:szCs w:val="22"/>
              </w:rPr>
              <w:t>38.262</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831D7" w14:textId="1D2FD1D2" w:rsidR="002C60B7" w:rsidRPr="00C6165A" w:rsidRDefault="00322E32" w:rsidP="00E430D2">
            <w:pPr>
              <w:jc w:val="center"/>
              <w:rPr>
                <w:sz w:val="22"/>
                <w:szCs w:val="22"/>
              </w:rPr>
            </w:pPr>
            <w:r w:rsidRPr="00C6165A">
              <w:rPr>
                <w:sz w:val="22"/>
                <w:szCs w:val="22"/>
              </w:rPr>
              <w:t>38.434</w:t>
            </w:r>
          </w:p>
        </w:tc>
        <w:tc>
          <w:tcPr>
            <w:tcW w:w="1624"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99CB6A2" w14:textId="3CA66D59" w:rsidR="002C60B7" w:rsidRPr="00C6165A" w:rsidRDefault="00322E32" w:rsidP="00E430D2">
            <w:pPr>
              <w:jc w:val="center"/>
              <w:rPr>
                <w:sz w:val="22"/>
                <w:szCs w:val="22"/>
                <w:lang w:eastAsia="es-ES"/>
              </w:rPr>
            </w:pPr>
            <w:r w:rsidRPr="00C6165A">
              <w:rPr>
                <w:sz w:val="22"/>
                <w:szCs w:val="22"/>
                <w:lang w:eastAsia="es-ES"/>
              </w:rPr>
              <w:t>0,4%</w:t>
            </w:r>
          </w:p>
        </w:tc>
      </w:tr>
      <w:tr w:rsidR="00C6165A" w:rsidRPr="00C6165A" w14:paraId="36F30664" w14:textId="77777777" w:rsidTr="00E430D2">
        <w:trPr>
          <w:trHeight w:val="300"/>
          <w:jc w:val="center"/>
        </w:trPr>
        <w:tc>
          <w:tcPr>
            <w:tcW w:w="1526" w:type="dxa"/>
            <w:vMerge w:val="restart"/>
            <w:tcBorders>
              <w:left w:val="single" w:sz="12" w:space="0" w:color="auto"/>
            </w:tcBorders>
            <w:shd w:val="clear" w:color="auto" w:fill="auto"/>
            <w:noWrap/>
            <w:vAlign w:val="center"/>
            <w:hideMark/>
          </w:tcPr>
          <w:p w14:paraId="432BB9B4" w14:textId="77777777" w:rsidR="009C59C4" w:rsidRPr="00C6165A" w:rsidRDefault="009C59C4" w:rsidP="009C59C4">
            <w:pPr>
              <w:jc w:val="left"/>
              <w:rPr>
                <w:sz w:val="22"/>
                <w:szCs w:val="22"/>
              </w:rPr>
            </w:pPr>
            <w:r w:rsidRPr="00C6165A">
              <w:rPr>
                <w:sz w:val="22"/>
                <w:szCs w:val="22"/>
              </w:rPr>
              <w:t>Novillas</w:t>
            </w:r>
          </w:p>
        </w:tc>
        <w:tc>
          <w:tcPr>
            <w:tcW w:w="1206" w:type="dxa"/>
            <w:shd w:val="clear" w:color="auto" w:fill="auto"/>
            <w:noWrap/>
            <w:vAlign w:val="center"/>
            <w:hideMark/>
          </w:tcPr>
          <w:p w14:paraId="7F80193C" w14:textId="77777777" w:rsidR="009C59C4" w:rsidRPr="00C6165A" w:rsidRDefault="009C59C4" w:rsidP="009C59C4">
            <w:pPr>
              <w:jc w:val="left"/>
              <w:rPr>
                <w:sz w:val="22"/>
                <w:szCs w:val="22"/>
              </w:rPr>
            </w:pPr>
            <w:r w:rsidRPr="00C6165A">
              <w:rPr>
                <w:sz w:val="22"/>
                <w:szCs w:val="22"/>
              </w:rPr>
              <w:t>Sacrificio</w:t>
            </w:r>
          </w:p>
        </w:tc>
        <w:tc>
          <w:tcPr>
            <w:tcW w:w="1146" w:type="dxa"/>
            <w:tcBorders>
              <w:top w:val="single" w:sz="4" w:space="0" w:color="auto"/>
              <w:left w:val="nil"/>
              <w:bottom w:val="single" w:sz="4" w:space="0" w:color="auto"/>
              <w:right w:val="single" w:sz="4" w:space="0" w:color="auto"/>
            </w:tcBorders>
            <w:shd w:val="clear" w:color="auto" w:fill="auto"/>
            <w:noWrap/>
            <w:vAlign w:val="center"/>
          </w:tcPr>
          <w:p w14:paraId="705513BF" w14:textId="60CC82E8" w:rsidR="009C59C4" w:rsidRPr="00C6165A" w:rsidRDefault="00322E32" w:rsidP="00E430D2">
            <w:pPr>
              <w:jc w:val="center"/>
              <w:rPr>
                <w:sz w:val="22"/>
                <w:szCs w:val="22"/>
              </w:rPr>
            </w:pPr>
            <w:r w:rsidRPr="00C6165A">
              <w:rPr>
                <w:sz w:val="22"/>
                <w:szCs w:val="22"/>
              </w:rPr>
              <w:t>3.292</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37775" w14:textId="593FF871" w:rsidR="009C59C4" w:rsidRPr="00C6165A" w:rsidRDefault="00322E32" w:rsidP="00E430D2">
            <w:pPr>
              <w:jc w:val="center"/>
              <w:rPr>
                <w:sz w:val="22"/>
                <w:szCs w:val="22"/>
              </w:rPr>
            </w:pPr>
            <w:r w:rsidRPr="00C6165A">
              <w:rPr>
                <w:sz w:val="22"/>
                <w:szCs w:val="22"/>
              </w:rPr>
              <w:t>3.871</w:t>
            </w:r>
          </w:p>
        </w:tc>
        <w:tc>
          <w:tcPr>
            <w:tcW w:w="1624"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36A7ABA" w14:textId="22DA1E7D" w:rsidR="009C59C4" w:rsidRPr="00C6165A" w:rsidRDefault="00322E32" w:rsidP="00E430D2">
            <w:pPr>
              <w:jc w:val="center"/>
              <w:rPr>
                <w:sz w:val="22"/>
                <w:szCs w:val="22"/>
              </w:rPr>
            </w:pPr>
            <w:r w:rsidRPr="00C6165A">
              <w:rPr>
                <w:sz w:val="22"/>
                <w:szCs w:val="22"/>
              </w:rPr>
              <w:t>17,6%</w:t>
            </w:r>
          </w:p>
        </w:tc>
      </w:tr>
      <w:tr w:rsidR="00C6165A" w:rsidRPr="00C6165A" w14:paraId="65F32B26" w14:textId="77777777" w:rsidTr="00E430D2">
        <w:trPr>
          <w:trHeight w:val="300"/>
          <w:jc w:val="center"/>
        </w:trPr>
        <w:tc>
          <w:tcPr>
            <w:tcW w:w="1526" w:type="dxa"/>
            <w:vMerge/>
            <w:tcBorders>
              <w:left w:val="single" w:sz="12" w:space="0" w:color="auto"/>
            </w:tcBorders>
            <w:shd w:val="clear" w:color="auto" w:fill="auto"/>
            <w:noWrap/>
            <w:vAlign w:val="center"/>
            <w:hideMark/>
          </w:tcPr>
          <w:p w14:paraId="2448F57C" w14:textId="77777777" w:rsidR="009C59C4" w:rsidRPr="00C6165A" w:rsidRDefault="009C59C4" w:rsidP="009C59C4">
            <w:pPr>
              <w:jc w:val="left"/>
              <w:rPr>
                <w:sz w:val="22"/>
                <w:szCs w:val="22"/>
              </w:rPr>
            </w:pPr>
          </w:p>
        </w:tc>
        <w:tc>
          <w:tcPr>
            <w:tcW w:w="1206" w:type="dxa"/>
            <w:shd w:val="clear" w:color="auto" w:fill="auto"/>
            <w:noWrap/>
            <w:vAlign w:val="center"/>
            <w:hideMark/>
          </w:tcPr>
          <w:p w14:paraId="1DFE50A5" w14:textId="77777777" w:rsidR="009C59C4" w:rsidRPr="00C6165A" w:rsidRDefault="009C59C4" w:rsidP="009C59C4">
            <w:pPr>
              <w:jc w:val="left"/>
              <w:rPr>
                <w:sz w:val="22"/>
                <w:szCs w:val="22"/>
              </w:rPr>
            </w:pPr>
            <w:r w:rsidRPr="00C6165A">
              <w:rPr>
                <w:sz w:val="22"/>
                <w:szCs w:val="22"/>
              </w:rPr>
              <w:t>Resto</w:t>
            </w:r>
          </w:p>
        </w:tc>
        <w:tc>
          <w:tcPr>
            <w:tcW w:w="1146" w:type="dxa"/>
            <w:tcBorders>
              <w:top w:val="single" w:sz="4" w:space="0" w:color="auto"/>
              <w:left w:val="nil"/>
              <w:bottom w:val="single" w:sz="4" w:space="0" w:color="auto"/>
              <w:right w:val="single" w:sz="4" w:space="0" w:color="auto"/>
            </w:tcBorders>
            <w:shd w:val="clear" w:color="auto" w:fill="auto"/>
            <w:noWrap/>
            <w:vAlign w:val="center"/>
          </w:tcPr>
          <w:p w14:paraId="40687F11" w14:textId="7FD501F2" w:rsidR="009C59C4" w:rsidRPr="00C6165A" w:rsidRDefault="00322E32" w:rsidP="00E430D2">
            <w:pPr>
              <w:jc w:val="center"/>
              <w:rPr>
                <w:sz w:val="22"/>
                <w:szCs w:val="22"/>
              </w:rPr>
            </w:pPr>
            <w:r w:rsidRPr="00C6165A">
              <w:rPr>
                <w:sz w:val="22"/>
                <w:szCs w:val="22"/>
              </w:rPr>
              <w:t>41.920</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F80B4" w14:textId="25641F9F" w:rsidR="009C59C4" w:rsidRPr="00C6165A" w:rsidRDefault="00322E32" w:rsidP="00E430D2">
            <w:pPr>
              <w:jc w:val="center"/>
              <w:rPr>
                <w:sz w:val="22"/>
                <w:szCs w:val="22"/>
              </w:rPr>
            </w:pPr>
            <w:r w:rsidRPr="00C6165A">
              <w:rPr>
                <w:sz w:val="22"/>
                <w:szCs w:val="22"/>
              </w:rPr>
              <w:t>44.937</w:t>
            </w:r>
          </w:p>
        </w:tc>
        <w:tc>
          <w:tcPr>
            <w:tcW w:w="1624"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0591E7B" w14:textId="0979E5CB" w:rsidR="009C59C4" w:rsidRPr="00C6165A" w:rsidRDefault="00322E32" w:rsidP="00E430D2">
            <w:pPr>
              <w:jc w:val="center"/>
              <w:rPr>
                <w:sz w:val="22"/>
                <w:szCs w:val="22"/>
              </w:rPr>
            </w:pPr>
            <w:r w:rsidRPr="00C6165A">
              <w:rPr>
                <w:sz w:val="22"/>
                <w:szCs w:val="22"/>
              </w:rPr>
              <w:t>17,6%</w:t>
            </w:r>
          </w:p>
        </w:tc>
      </w:tr>
      <w:tr w:rsidR="00C6165A" w:rsidRPr="00C6165A" w14:paraId="0757AC62" w14:textId="77777777" w:rsidTr="00E430D2">
        <w:trPr>
          <w:trHeight w:val="300"/>
          <w:jc w:val="center"/>
        </w:trPr>
        <w:tc>
          <w:tcPr>
            <w:tcW w:w="1526" w:type="dxa"/>
            <w:vMerge w:val="restart"/>
            <w:tcBorders>
              <w:left w:val="single" w:sz="12" w:space="0" w:color="auto"/>
            </w:tcBorders>
            <w:shd w:val="clear" w:color="auto" w:fill="auto"/>
            <w:noWrap/>
            <w:vAlign w:val="center"/>
            <w:hideMark/>
          </w:tcPr>
          <w:p w14:paraId="3CCB422C" w14:textId="77777777" w:rsidR="009C59C4" w:rsidRPr="00C6165A" w:rsidRDefault="009C59C4" w:rsidP="009C59C4">
            <w:pPr>
              <w:jc w:val="left"/>
              <w:rPr>
                <w:sz w:val="22"/>
                <w:szCs w:val="22"/>
              </w:rPr>
            </w:pPr>
            <w:r w:rsidRPr="00C6165A">
              <w:rPr>
                <w:sz w:val="22"/>
                <w:szCs w:val="22"/>
              </w:rPr>
              <w:t>Vacas</w:t>
            </w:r>
          </w:p>
        </w:tc>
        <w:tc>
          <w:tcPr>
            <w:tcW w:w="1206" w:type="dxa"/>
            <w:shd w:val="clear" w:color="auto" w:fill="auto"/>
            <w:noWrap/>
            <w:vAlign w:val="center"/>
            <w:hideMark/>
          </w:tcPr>
          <w:p w14:paraId="5CB66501" w14:textId="77777777" w:rsidR="009C59C4" w:rsidRPr="00C6165A" w:rsidRDefault="009C59C4" w:rsidP="009C59C4">
            <w:pPr>
              <w:jc w:val="left"/>
              <w:rPr>
                <w:sz w:val="22"/>
                <w:szCs w:val="22"/>
              </w:rPr>
            </w:pPr>
            <w:r w:rsidRPr="00C6165A">
              <w:rPr>
                <w:sz w:val="22"/>
                <w:szCs w:val="22"/>
              </w:rPr>
              <w:t>Lecheras</w:t>
            </w:r>
          </w:p>
        </w:tc>
        <w:tc>
          <w:tcPr>
            <w:tcW w:w="1146" w:type="dxa"/>
            <w:tcBorders>
              <w:top w:val="single" w:sz="4" w:space="0" w:color="auto"/>
              <w:left w:val="nil"/>
              <w:bottom w:val="single" w:sz="4" w:space="0" w:color="auto"/>
              <w:right w:val="single" w:sz="4" w:space="0" w:color="auto"/>
            </w:tcBorders>
            <w:shd w:val="clear" w:color="auto" w:fill="auto"/>
            <w:noWrap/>
            <w:vAlign w:val="center"/>
          </w:tcPr>
          <w:p w14:paraId="5C4DBB17" w14:textId="7CEC78B5" w:rsidR="009C59C4" w:rsidRPr="00C6165A" w:rsidRDefault="00322E32" w:rsidP="00E430D2">
            <w:pPr>
              <w:jc w:val="center"/>
              <w:rPr>
                <w:sz w:val="22"/>
                <w:szCs w:val="22"/>
              </w:rPr>
            </w:pPr>
            <w:r w:rsidRPr="00C6165A">
              <w:rPr>
                <w:sz w:val="22"/>
                <w:szCs w:val="22"/>
              </w:rPr>
              <w:t>92.542</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F587E" w14:textId="7B6740C8" w:rsidR="009C59C4" w:rsidRPr="00C6165A" w:rsidRDefault="00322E32" w:rsidP="00E430D2">
            <w:pPr>
              <w:jc w:val="center"/>
              <w:rPr>
                <w:sz w:val="22"/>
                <w:szCs w:val="22"/>
              </w:rPr>
            </w:pPr>
            <w:r w:rsidRPr="00C6165A">
              <w:rPr>
                <w:sz w:val="22"/>
                <w:szCs w:val="22"/>
              </w:rPr>
              <w:t>90.272</w:t>
            </w:r>
          </w:p>
        </w:tc>
        <w:tc>
          <w:tcPr>
            <w:tcW w:w="1624"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0C2AC45" w14:textId="3DA57D40" w:rsidR="009C59C4" w:rsidRPr="00C6165A" w:rsidRDefault="00322E32" w:rsidP="00E430D2">
            <w:pPr>
              <w:jc w:val="center"/>
              <w:rPr>
                <w:sz w:val="22"/>
                <w:szCs w:val="22"/>
              </w:rPr>
            </w:pPr>
            <w:r w:rsidRPr="00C6165A">
              <w:rPr>
                <w:sz w:val="22"/>
                <w:szCs w:val="22"/>
              </w:rPr>
              <w:t>-2,5%</w:t>
            </w:r>
          </w:p>
        </w:tc>
      </w:tr>
      <w:tr w:rsidR="00C6165A" w:rsidRPr="00C6165A" w14:paraId="76D629D1" w14:textId="77777777" w:rsidTr="00E430D2">
        <w:trPr>
          <w:trHeight w:val="300"/>
          <w:jc w:val="center"/>
        </w:trPr>
        <w:tc>
          <w:tcPr>
            <w:tcW w:w="1526" w:type="dxa"/>
            <w:vMerge/>
            <w:tcBorders>
              <w:left w:val="single" w:sz="12" w:space="0" w:color="auto"/>
              <w:bottom w:val="single" w:sz="12" w:space="0" w:color="auto"/>
            </w:tcBorders>
            <w:shd w:val="clear" w:color="auto" w:fill="auto"/>
            <w:noWrap/>
            <w:hideMark/>
          </w:tcPr>
          <w:p w14:paraId="497CF2DC" w14:textId="77777777" w:rsidR="009C59C4" w:rsidRPr="00C6165A" w:rsidRDefault="009C59C4" w:rsidP="009C59C4">
            <w:pPr>
              <w:rPr>
                <w:sz w:val="22"/>
                <w:szCs w:val="22"/>
              </w:rPr>
            </w:pPr>
          </w:p>
        </w:tc>
        <w:tc>
          <w:tcPr>
            <w:tcW w:w="1206" w:type="dxa"/>
            <w:tcBorders>
              <w:bottom w:val="single" w:sz="12" w:space="0" w:color="auto"/>
            </w:tcBorders>
            <w:shd w:val="clear" w:color="auto" w:fill="auto"/>
            <w:noWrap/>
            <w:vAlign w:val="center"/>
            <w:hideMark/>
          </w:tcPr>
          <w:p w14:paraId="597DB1CB" w14:textId="77777777" w:rsidR="009C59C4" w:rsidRPr="00C6165A" w:rsidRDefault="009C59C4" w:rsidP="009C59C4">
            <w:pPr>
              <w:jc w:val="left"/>
              <w:rPr>
                <w:sz w:val="22"/>
                <w:szCs w:val="22"/>
              </w:rPr>
            </w:pPr>
            <w:r w:rsidRPr="00C6165A">
              <w:rPr>
                <w:sz w:val="22"/>
                <w:szCs w:val="22"/>
              </w:rPr>
              <w:t>Resto</w:t>
            </w:r>
          </w:p>
        </w:tc>
        <w:tc>
          <w:tcPr>
            <w:tcW w:w="1146" w:type="dxa"/>
            <w:tcBorders>
              <w:top w:val="single" w:sz="4" w:space="0" w:color="auto"/>
              <w:left w:val="nil"/>
              <w:bottom w:val="single" w:sz="12" w:space="0" w:color="auto"/>
              <w:right w:val="single" w:sz="4" w:space="0" w:color="auto"/>
            </w:tcBorders>
            <w:shd w:val="clear" w:color="auto" w:fill="auto"/>
            <w:noWrap/>
            <w:vAlign w:val="center"/>
          </w:tcPr>
          <w:p w14:paraId="461AAAB6" w14:textId="2D08D4EC" w:rsidR="009C59C4" w:rsidRPr="00C6165A" w:rsidRDefault="00322E32" w:rsidP="00E430D2">
            <w:pPr>
              <w:jc w:val="center"/>
              <w:rPr>
                <w:sz w:val="22"/>
                <w:szCs w:val="22"/>
              </w:rPr>
            </w:pPr>
            <w:r w:rsidRPr="00C6165A">
              <w:rPr>
                <w:sz w:val="22"/>
                <w:szCs w:val="22"/>
              </w:rPr>
              <w:t>589.943</w:t>
            </w:r>
          </w:p>
        </w:tc>
        <w:tc>
          <w:tcPr>
            <w:tcW w:w="1146"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813EC86" w14:textId="01476C9F" w:rsidR="009C59C4" w:rsidRPr="00C6165A" w:rsidRDefault="00322E32" w:rsidP="00E430D2">
            <w:pPr>
              <w:jc w:val="center"/>
              <w:rPr>
                <w:sz w:val="22"/>
                <w:szCs w:val="22"/>
              </w:rPr>
            </w:pPr>
            <w:r w:rsidRPr="00C6165A">
              <w:rPr>
                <w:sz w:val="22"/>
                <w:szCs w:val="22"/>
              </w:rPr>
              <w:t>587.989</w:t>
            </w:r>
          </w:p>
        </w:tc>
        <w:tc>
          <w:tcPr>
            <w:tcW w:w="1624" w:type="dxa"/>
            <w:tcBorders>
              <w:top w:val="single" w:sz="4" w:space="0" w:color="auto"/>
              <w:left w:val="single" w:sz="4" w:space="0" w:color="auto"/>
              <w:bottom w:val="single" w:sz="12" w:space="0" w:color="auto"/>
              <w:right w:val="single" w:sz="12" w:space="0" w:color="auto"/>
            </w:tcBorders>
            <w:shd w:val="clear" w:color="auto" w:fill="auto"/>
            <w:noWrap/>
            <w:vAlign w:val="center"/>
          </w:tcPr>
          <w:p w14:paraId="7F659370" w14:textId="33DEE12A" w:rsidR="009C59C4" w:rsidRPr="00C6165A" w:rsidRDefault="00322E32" w:rsidP="00E430D2">
            <w:pPr>
              <w:jc w:val="center"/>
              <w:rPr>
                <w:sz w:val="22"/>
                <w:szCs w:val="22"/>
              </w:rPr>
            </w:pPr>
            <w:r w:rsidRPr="00C6165A">
              <w:rPr>
                <w:sz w:val="22"/>
                <w:szCs w:val="22"/>
              </w:rPr>
              <w:t>-0,3%</w:t>
            </w:r>
          </w:p>
        </w:tc>
      </w:tr>
    </w:tbl>
    <w:p w14:paraId="110F3A21" w14:textId="55136C33" w:rsidR="00AA49C3" w:rsidRPr="00C6165A" w:rsidRDefault="00FB6597" w:rsidP="00FB6597">
      <w:pPr>
        <w:jc w:val="center"/>
        <w:rPr>
          <w:sz w:val="16"/>
          <w:szCs w:val="16"/>
        </w:rPr>
      </w:pPr>
      <w:r w:rsidRPr="00C6165A">
        <w:rPr>
          <w:sz w:val="16"/>
          <w:szCs w:val="16"/>
        </w:rPr>
        <w:t xml:space="preserve">Fuente: </w:t>
      </w:r>
      <w:r w:rsidR="00CB5999" w:rsidRPr="00C6165A">
        <w:rPr>
          <w:sz w:val="16"/>
          <w:szCs w:val="16"/>
        </w:rPr>
        <w:t>Elaboración propia a partir de las e</w:t>
      </w:r>
      <w:r w:rsidR="00B211DB" w:rsidRPr="00C6165A">
        <w:rPr>
          <w:sz w:val="16"/>
          <w:szCs w:val="16"/>
        </w:rPr>
        <w:t>ncuestas ganaderas del Ministerio de Agricultura, Pesca y Alimentación</w:t>
      </w:r>
    </w:p>
    <w:p w14:paraId="1035B991" w14:textId="77777777" w:rsidR="00FB6597" w:rsidRPr="00C6165A" w:rsidRDefault="00FB6597" w:rsidP="00AA49C3"/>
    <w:p w14:paraId="781C9E47" w14:textId="5C3181C8" w:rsidR="00AA49C3" w:rsidRPr="00C6165A" w:rsidRDefault="00AA49C3" w:rsidP="00AA49C3">
      <w:r w:rsidRPr="00C6165A">
        <w:t xml:space="preserve">En </w:t>
      </w:r>
      <w:r w:rsidRPr="00C6165A">
        <w:rPr>
          <w:b/>
        </w:rPr>
        <w:t>ganado ovino</w:t>
      </w:r>
      <w:r w:rsidRPr="00C6165A">
        <w:t xml:space="preserve">, la última encuesta publicada es de noviembre de </w:t>
      </w:r>
      <w:r w:rsidR="00991C90" w:rsidRPr="00C6165A">
        <w:t>202</w:t>
      </w:r>
      <w:r w:rsidR="00223AAE" w:rsidRPr="00C6165A">
        <w:t>1</w:t>
      </w:r>
      <w:r w:rsidRPr="00C6165A">
        <w:t xml:space="preserve">. El censo total </w:t>
      </w:r>
      <w:r w:rsidR="006E3240" w:rsidRPr="00C6165A">
        <w:t xml:space="preserve">en Castilla y León </w:t>
      </w:r>
      <w:r w:rsidRPr="00C6165A">
        <w:t xml:space="preserve">fue de </w:t>
      </w:r>
      <w:r w:rsidR="00727F37" w:rsidRPr="00C6165A">
        <w:t>2.</w:t>
      </w:r>
      <w:r w:rsidR="006E3240" w:rsidRPr="00C6165A">
        <w:t>430.864</w:t>
      </w:r>
      <w:r w:rsidR="00727F37" w:rsidRPr="00C6165A">
        <w:t xml:space="preserve"> </w:t>
      </w:r>
      <w:r w:rsidRPr="00C6165A">
        <w:t xml:space="preserve">cabezas, </w:t>
      </w:r>
      <w:r w:rsidR="006E3240" w:rsidRPr="00C6165A">
        <w:t>71.112</w:t>
      </w:r>
      <w:r w:rsidRPr="00C6165A">
        <w:t xml:space="preserve"> menos que en </w:t>
      </w:r>
      <w:r w:rsidR="006E3240" w:rsidRPr="00C6165A">
        <w:t>el</w:t>
      </w:r>
      <w:r w:rsidRPr="00C6165A">
        <w:t xml:space="preserve"> año anterior</w:t>
      </w:r>
      <w:r w:rsidR="00CB5999" w:rsidRPr="00C6165A">
        <w:t xml:space="preserve">, tendencia que </w:t>
      </w:r>
      <w:r w:rsidR="00727F37" w:rsidRPr="00C6165A">
        <w:t>lleva a la baja los últimos cinco años</w:t>
      </w:r>
      <w:r w:rsidRPr="00C6165A">
        <w:t xml:space="preserve">. Castilla y León, con el </w:t>
      </w:r>
      <w:r w:rsidR="00727F37" w:rsidRPr="00C6165A">
        <w:t>16,</w:t>
      </w:r>
      <w:r w:rsidR="006E3240" w:rsidRPr="00C6165A">
        <w:t>1</w:t>
      </w:r>
      <w:r w:rsidR="00727F37" w:rsidRPr="00C6165A">
        <w:t>2</w:t>
      </w:r>
      <w:r w:rsidRPr="00C6165A">
        <w:t>%</w:t>
      </w:r>
      <w:r w:rsidR="00F4754D" w:rsidRPr="00C6165A">
        <w:t xml:space="preserve"> del censo nacional</w:t>
      </w:r>
      <w:r w:rsidRPr="00C6165A">
        <w:t xml:space="preserve">, es la segunda comunidad de mayor </w:t>
      </w:r>
      <w:r w:rsidR="00F33923" w:rsidRPr="00C6165A">
        <w:t>número</w:t>
      </w:r>
      <w:r w:rsidRPr="00C6165A">
        <w:t xml:space="preserve"> de España, solo por detrás de Extremadura. En </w:t>
      </w:r>
      <w:r w:rsidR="000C3918" w:rsidRPr="00C6165A">
        <w:t>ovino</w:t>
      </w:r>
      <w:r w:rsidRPr="00C6165A">
        <w:t xml:space="preserve"> de ordeño</w:t>
      </w:r>
      <w:r w:rsidR="002D65E7" w:rsidRPr="00C6165A">
        <w:t xml:space="preserve">, con </w:t>
      </w:r>
      <w:r w:rsidR="006B1B1D" w:rsidRPr="00C6165A">
        <w:t>más de 880.000</w:t>
      </w:r>
      <w:r w:rsidR="002D65E7" w:rsidRPr="00C6165A">
        <w:t xml:space="preserve"> animales</w:t>
      </w:r>
      <w:r w:rsidR="00E15FD9" w:rsidRPr="00C6165A">
        <w:t xml:space="preserve"> en total, la mayoría censados en la provincia de Zamora</w:t>
      </w:r>
      <w:r w:rsidR="002D65E7" w:rsidRPr="00C6165A">
        <w:t>,</w:t>
      </w:r>
      <w:r w:rsidRPr="00C6165A">
        <w:t xml:space="preserve"> representamos un porcentaje mucho mayor, un </w:t>
      </w:r>
      <w:r w:rsidR="00511215" w:rsidRPr="00C6165A">
        <w:t>41,86</w:t>
      </w:r>
      <w:r w:rsidRPr="00C6165A">
        <w:t>%, siendo la comunidad autónoma más importante</w:t>
      </w:r>
      <w:r w:rsidR="006E3240" w:rsidRPr="00C6165A">
        <w:t xml:space="preserve"> seguida de cerca por Castilla la Mancha.</w:t>
      </w:r>
    </w:p>
    <w:p w14:paraId="4A278570" w14:textId="77777777" w:rsidR="00E430D2" w:rsidRPr="00C6165A" w:rsidRDefault="00E430D2" w:rsidP="00AA49C3">
      <w:pPr>
        <w:spacing w:after="120"/>
      </w:pPr>
    </w:p>
    <w:p w14:paraId="45FC8EAD" w14:textId="18A218A7" w:rsidR="00AA49C3" w:rsidRPr="00C6165A" w:rsidRDefault="00AA49C3" w:rsidP="00AA49C3">
      <w:pPr>
        <w:spacing w:after="120"/>
      </w:pPr>
      <w:r w:rsidRPr="00C6165A">
        <w:t>En la tabla siguiente se puede ver el censo y la evolución por tipo de ganado: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1276"/>
        <w:gridCol w:w="1194"/>
        <w:gridCol w:w="1195"/>
        <w:gridCol w:w="1195"/>
        <w:gridCol w:w="1207"/>
      </w:tblGrid>
      <w:tr w:rsidR="00C6165A" w:rsidRPr="00C6165A" w14:paraId="1D2ECB08" w14:textId="77777777" w:rsidTr="00DC4F14">
        <w:trPr>
          <w:trHeight w:val="300"/>
          <w:jc w:val="center"/>
        </w:trPr>
        <w:tc>
          <w:tcPr>
            <w:tcW w:w="4875" w:type="dxa"/>
            <w:gridSpan w:val="4"/>
            <w:tcBorders>
              <w:top w:val="nil"/>
              <w:left w:val="nil"/>
            </w:tcBorders>
            <w:shd w:val="clear" w:color="auto" w:fill="auto"/>
            <w:noWrap/>
            <w:vAlign w:val="center"/>
            <w:hideMark/>
          </w:tcPr>
          <w:p w14:paraId="04FA6622" w14:textId="77777777" w:rsidR="00727F37" w:rsidRPr="00C6165A" w:rsidRDefault="00727F37" w:rsidP="00727F37">
            <w:pPr>
              <w:jc w:val="center"/>
              <w:rPr>
                <w:sz w:val="22"/>
                <w:szCs w:val="22"/>
              </w:rPr>
            </w:pPr>
          </w:p>
        </w:tc>
        <w:tc>
          <w:tcPr>
            <w:tcW w:w="1195" w:type="dxa"/>
            <w:shd w:val="clear" w:color="auto" w:fill="auto"/>
            <w:noWrap/>
            <w:vAlign w:val="center"/>
            <w:hideMark/>
          </w:tcPr>
          <w:p w14:paraId="152CCD51" w14:textId="55D9BDB1" w:rsidR="00727F37" w:rsidRPr="00C6165A" w:rsidRDefault="00727F37" w:rsidP="00727F37">
            <w:pPr>
              <w:jc w:val="center"/>
              <w:rPr>
                <w:b/>
                <w:bCs/>
                <w:sz w:val="22"/>
                <w:szCs w:val="22"/>
              </w:rPr>
            </w:pPr>
            <w:r w:rsidRPr="00C6165A">
              <w:rPr>
                <w:b/>
                <w:bCs/>
                <w:sz w:val="22"/>
                <w:szCs w:val="22"/>
              </w:rPr>
              <w:t>2020</w:t>
            </w:r>
          </w:p>
        </w:tc>
        <w:tc>
          <w:tcPr>
            <w:tcW w:w="1195" w:type="dxa"/>
            <w:shd w:val="clear" w:color="auto" w:fill="auto"/>
            <w:noWrap/>
            <w:vAlign w:val="center"/>
            <w:hideMark/>
          </w:tcPr>
          <w:p w14:paraId="72CD6148" w14:textId="7B31813A" w:rsidR="00727F37" w:rsidRPr="00C6165A" w:rsidRDefault="00727F37" w:rsidP="00727F37">
            <w:pPr>
              <w:jc w:val="center"/>
              <w:rPr>
                <w:b/>
                <w:bCs/>
                <w:sz w:val="22"/>
                <w:szCs w:val="22"/>
              </w:rPr>
            </w:pPr>
            <w:r w:rsidRPr="00C6165A">
              <w:rPr>
                <w:b/>
                <w:bCs/>
                <w:sz w:val="22"/>
                <w:szCs w:val="22"/>
              </w:rPr>
              <w:t>2021</w:t>
            </w:r>
          </w:p>
        </w:tc>
        <w:tc>
          <w:tcPr>
            <w:tcW w:w="1207" w:type="dxa"/>
            <w:tcBorders>
              <w:bottom w:val="single" w:sz="6" w:space="0" w:color="auto"/>
            </w:tcBorders>
            <w:shd w:val="clear" w:color="auto" w:fill="auto"/>
            <w:noWrap/>
            <w:vAlign w:val="center"/>
            <w:hideMark/>
          </w:tcPr>
          <w:p w14:paraId="4C1A0496" w14:textId="77777777" w:rsidR="00727F37" w:rsidRPr="00C6165A" w:rsidRDefault="00727F37" w:rsidP="00727F37">
            <w:pPr>
              <w:jc w:val="center"/>
              <w:rPr>
                <w:b/>
                <w:bCs/>
                <w:sz w:val="22"/>
                <w:szCs w:val="22"/>
              </w:rPr>
            </w:pPr>
            <w:r w:rsidRPr="00C6165A">
              <w:rPr>
                <w:b/>
                <w:bCs/>
                <w:sz w:val="22"/>
                <w:szCs w:val="22"/>
              </w:rPr>
              <w:t>Variación (%)</w:t>
            </w:r>
          </w:p>
        </w:tc>
      </w:tr>
      <w:tr w:rsidR="00C6165A" w:rsidRPr="00C6165A" w14:paraId="29F14054" w14:textId="77777777" w:rsidTr="00DC4F14">
        <w:trPr>
          <w:trHeight w:val="300"/>
          <w:jc w:val="center"/>
        </w:trPr>
        <w:tc>
          <w:tcPr>
            <w:tcW w:w="4875" w:type="dxa"/>
            <w:gridSpan w:val="4"/>
            <w:shd w:val="clear" w:color="auto" w:fill="auto"/>
            <w:noWrap/>
            <w:vAlign w:val="center"/>
            <w:hideMark/>
          </w:tcPr>
          <w:p w14:paraId="272FB1E6" w14:textId="77777777" w:rsidR="006E3240" w:rsidRPr="00C6165A" w:rsidRDefault="006E3240" w:rsidP="006E3240">
            <w:pPr>
              <w:jc w:val="left"/>
              <w:rPr>
                <w:b/>
                <w:sz w:val="22"/>
                <w:szCs w:val="22"/>
              </w:rPr>
            </w:pPr>
            <w:r w:rsidRPr="00C6165A">
              <w:rPr>
                <w:b/>
                <w:sz w:val="22"/>
                <w:szCs w:val="22"/>
              </w:rPr>
              <w:t>Total</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87CAC" w14:textId="7C2BBB1F" w:rsidR="006E3240" w:rsidRPr="00C6165A" w:rsidRDefault="006E3240" w:rsidP="006E3240">
            <w:pPr>
              <w:jc w:val="right"/>
              <w:rPr>
                <w:b/>
                <w:sz w:val="22"/>
                <w:szCs w:val="22"/>
              </w:rPr>
            </w:pPr>
            <w:r w:rsidRPr="00C6165A">
              <w:rPr>
                <w:b/>
                <w:bCs/>
                <w:sz w:val="22"/>
                <w:szCs w:val="22"/>
              </w:rPr>
              <w:t>2.501.976</w:t>
            </w:r>
          </w:p>
        </w:tc>
        <w:tc>
          <w:tcPr>
            <w:tcW w:w="1195" w:type="dxa"/>
            <w:tcBorders>
              <w:top w:val="single" w:sz="4" w:space="0" w:color="auto"/>
              <w:left w:val="nil"/>
              <w:bottom w:val="single" w:sz="4" w:space="0" w:color="auto"/>
              <w:right w:val="single" w:sz="4" w:space="0" w:color="auto"/>
            </w:tcBorders>
            <w:shd w:val="clear" w:color="auto" w:fill="auto"/>
            <w:noWrap/>
            <w:vAlign w:val="bottom"/>
          </w:tcPr>
          <w:p w14:paraId="0563D490" w14:textId="590346A7" w:rsidR="006E3240" w:rsidRPr="00C6165A" w:rsidRDefault="006E3240" w:rsidP="006E3240">
            <w:pPr>
              <w:jc w:val="right"/>
              <w:rPr>
                <w:b/>
                <w:bCs/>
                <w:sz w:val="22"/>
                <w:szCs w:val="22"/>
              </w:rPr>
            </w:pPr>
            <w:r w:rsidRPr="00C6165A">
              <w:rPr>
                <w:b/>
                <w:bCs/>
                <w:sz w:val="22"/>
                <w:szCs w:val="22"/>
              </w:rPr>
              <w:t>2.430.864</w:t>
            </w:r>
          </w:p>
        </w:tc>
        <w:tc>
          <w:tcPr>
            <w:tcW w:w="1207" w:type="dxa"/>
            <w:tcBorders>
              <w:top w:val="single" w:sz="4" w:space="0" w:color="auto"/>
              <w:left w:val="nil"/>
              <w:bottom w:val="single" w:sz="4" w:space="0" w:color="auto"/>
              <w:right w:val="single" w:sz="4" w:space="0" w:color="auto"/>
            </w:tcBorders>
            <w:shd w:val="clear" w:color="auto" w:fill="auto"/>
            <w:noWrap/>
            <w:vAlign w:val="bottom"/>
          </w:tcPr>
          <w:p w14:paraId="61DE5860" w14:textId="204B786D" w:rsidR="006E3240" w:rsidRPr="00C6165A" w:rsidRDefault="006E3240" w:rsidP="006E3240">
            <w:pPr>
              <w:jc w:val="center"/>
              <w:rPr>
                <w:b/>
                <w:bCs/>
                <w:sz w:val="22"/>
                <w:szCs w:val="22"/>
              </w:rPr>
            </w:pPr>
            <w:r w:rsidRPr="00C6165A">
              <w:rPr>
                <w:b/>
                <w:bCs/>
                <w:sz w:val="22"/>
                <w:szCs w:val="22"/>
              </w:rPr>
              <w:t>-2,8%</w:t>
            </w:r>
          </w:p>
        </w:tc>
      </w:tr>
      <w:tr w:rsidR="00C6165A" w:rsidRPr="00C6165A" w14:paraId="75ACA8EB" w14:textId="77777777" w:rsidTr="00DC4F14">
        <w:trPr>
          <w:trHeight w:val="300"/>
          <w:jc w:val="center"/>
        </w:trPr>
        <w:tc>
          <w:tcPr>
            <w:tcW w:w="4875" w:type="dxa"/>
            <w:gridSpan w:val="4"/>
            <w:shd w:val="clear" w:color="auto" w:fill="auto"/>
            <w:noWrap/>
            <w:vAlign w:val="center"/>
            <w:hideMark/>
          </w:tcPr>
          <w:p w14:paraId="273DAE1C" w14:textId="77777777" w:rsidR="006E3240" w:rsidRPr="00C6165A" w:rsidRDefault="006E3240" w:rsidP="006E3240">
            <w:pPr>
              <w:jc w:val="left"/>
              <w:rPr>
                <w:sz w:val="22"/>
                <w:szCs w:val="22"/>
              </w:rPr>
            </w:pPr>
            <w:r w:rsidRPr="00C6165A">
              <w:rPr>
                <w:sz w:val="22"/>
                <w:szCs w:val="22"/>
              </w:rPr>
              <w:t>Corderos</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044D289D" w14:textId="6074946F" w:rsidR="006E3240" w:rsidRPr="00C6165A" w:rsidRDefault="006E3240" w:rsidP="006E3240">
            <w:pPr>
              <w:jc w:val="right"/>
              <w:rPr>
                <w:sz w:val="22"/>
                <w:szCs w:val="22"/>
              </w:rPr>
            </w:pPr>
            <w:r w:rsidRPr="00C6165A">
              <w:rPr>
                <w:sz w:val="22"/>
                <w:szCs w:val="22"/>
              </w:rPr>
              <w:t>413.373</w:t>
            </w:r>
          </w:p>
        </w:tc>
        <w:tc>
          <w:tcPr>
            <w:tcW w:w="1195" w:type="dxa"/>
            <w:tcBorders>
              <w:top w:val="nil"/>
              <w:left w:val="nil"/>
              <w:bottom w:val="single" w:sz="4" w:space="0" w:color="auto"/>
              <w:right w:val="single" w:sz="4" w:space="0" w:color="auto"/>
            </w:tcBorders>
            <w:shd w:val="clear" w:color="auto" w:fill="auto"/>
            <w:noWrap/>
            <w:vAlign w:val="bottom"/>
          </w:tcPr>
          <w:p w14:paraId="1F1BCA9B" w14:textId="0E8196FC" w:rsidR="006E3240" w:rsidRPr="00C6165A" w:rsidRDefault="006E3240" w:rsidP="006E3240">
            <w:pPr>
              <w:jc w:val="right"/>
              <w:rPr>
                <w:sz w:val="22"/>
                <w:szCs w:val="22"/>
              </w:rPr>
            </w:pPr>
            <w:r w:rsidRPr="00C6165A">
              <w:rPr>
                <w:sz w:val="22"/>
                <w:szCs w:val="22"/>
              </w:rPr>
              <w:t>434.651</w:t>
            </w:r>
          </w:p>
        </w:tc>
        <w:tc>
          <w:tcPr>
            <w:tcW w:w="1207" w:type="dxa"/>
            <w:tcBorders>
              <w:top w:val="nil"/>
              <w:left w:val="nil"/>
              <w:bottom w:val="single" w:sz="4" w:space="0" w:color="auto"/>
              <w:right w:val="single" w:sz="4" w:space="0" w:color="auto"/>
            </w:tcBorders>
            <w:shd w:val="clear" w:color="auto" w:fill="auto"/>
            <w:noWrap/>
            <w:vAlign w:val="bottom"/>
          </w:tcPr>
          <w:p w14:paraId="08385F4C" w14:textId="73CEB5BF" w:rsidR="006E3240" w:rsidRPr="00C6165A" w:rsidRDefault="006E3240" w:rsidP="006E3240">
            <w:pPr>
              <w:jc w:val="center"/>
              <w:rPr>
                <w:sz w:val="22"/>
                <w:szCs w:val="22"/>
              </w:rPr>
            </w:pPr>
            <w:r w:rsidRPr="00C6165A">
              <w:rPr>
                <w:sz w:val="22"/>
                <w:szCs w:val="22"/>
              </w:rPr>
              <w:t>5,1%</w:t>
            </w:r>
          </w:p>
        </w:tc>
      </w:tr>
      <w:tr w:rsidR="00C6165A" w:rsidRPr="00C6165A" w14:paraId="4DA0ECBD" w14:textId="77777777" w:rsidTr="00DC4F14">
        <w:trPr>
          <w:trHeight w:val="300"/>
          <w:jc w:val="center"/>
        </w:trPr>
        <w:tc>
          <w:tcPr>
            <w:tcW w:w="4875" w:type="dxa"/>
            <w:gridSpan w:val="4"/>
            <w:shd w:val="clear" w:color="auto" w:fill="auto"/>
            <w:noWrap/>
            <w:vAlign w:val="center"/>
            <w:hideMark/>
          </w:tcPr>
          <w:p w14:paraId="7BD9360E" w14:textId="77777777" w:rsidR="006E3240" w:rsidRPr="00C6165A" w:rsidRDefault="006E3240" w:rsidP="006E3240">
            <w:pPr>
              <w:jc w:val="left"/>
              <w:rPr>
                <w:sz w:val="22"/>
                <w:szCs w:val="22"/>
              </w:rPr>
            </w:pPr>
            <w:r w:rsidRPr="00C6165A">
              <w:rPr>
                <w:sz w:val="22"/>
                <w:szCs w:val="22"/>
              </w:rPr>
              <w:t>Sementales</w:t>
            </w:r>
          </w:p>
        </w:tc>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56FBAC7F" w14:textId="376539A9" w:rsidR="006E3240" w:rsidRPr="00C6165A" w:rsidRDefault="006E3240" w:rsidP="006E3240">
            <w:pPr>
              <w:jc w:val="right"/>
              <w:rPr>
                <w:sz w:val="22"/>
                <w:szCs w:val="22"/>
              </w:rPr>
            </w:pPr>
            <w:r w:rsidRPr="00C6165A">
              <w:rPr>
                <w:sz w:val="22"/>
                <w:szCs w:val="22"/>
              </w:rPr>
              <w:t>56.332</w:t>
            </w:r>
          </w:p>
        </w:tc>
        <w:tc>
          <w:tcPr>
            <w:tcW w:w="1195" w:type="dxa"/>
            <w:tcBorders>
              <w:top w:val="nil"/>
              <w:left w:val="nil"/>
              <w:bottom w:val="single" w:sz="4" w:space="0" w:color="auto"/>
              <w:right w:val="single" w:sz="4" w:space="0" w:color="auto"/>
            </w:tcBorders>
            <w:shd w:val="clear" w:color="auto" w:fill="auto"/>
            <w:noWrap/>
            <w:vAlign w:val="bottom"/>
          </w:tcPr>
          <w:p w14:paraId="10157641" w14:textId="60F4E334" w:rsidR="006E3240" w:rsidRPr="00C6165A" w:rsidRDefault="006E3240" w:rsidP="006E3240">
            <w:pPr>
              <w:jc w:val="right"/>
              <w:rPr>
                <w:sz w:val="22"/>
                <w:szCs w:val="22"/>
              </w:rPr>
            </w:pPr>
            <w:r w:rsidRPr="00C6165A">
              <w:rPr>
                <w:sz w:val="22"/>
                <w:szCs w:val="22"/>
              </w:rPr>
              <w:t>54.782</w:t>
            </w:r>
          </w:p>
        </w:tc>
        <w:tc>
          <w:tcPr>
            <w:tcW w:w="1207" w:type="dxa"/>
            <w:tcBorders>
              <w:top w:val="nil"/>
              <w:left w:val="nil"/>
              <w:bottom w:val="single" w:sz="4" w:space="0" w:color="auto"/>
              <w:right w:val="single" w:sz="4" w:space="0" w:color="auto"/>
            </w:tcBorders>
            <w:shd w:val="clear" w:color="auto" w:fill="auto"/>
            <w:noWrap/>
            <w:vAlign w:val="bottom"/>
          </w:tcPr>
          <w:p w14:paraId="22666798" w14:textId="4CF72E6C" w:rsidR="006E3240" w:rsidRPr="00C6165A" w:rsidRDefault="006E3240" w:rsidP="006E3240">
            <w:pPr>
              <w:jc w:val="center"/>
              <w:rPr>
                <w:sz w:val="22"/>
                <w:szCs w:val="22"/>
              </w:rPr>
            </w:pPr>
            <w:r w:rsidRPr="00C6165A">
              <w:rPr>
                <w:sz w:val="22"/>
                <w:szCs w:val="22"/>
              </w:rPr>
              <w:t>-2,8%</w:t>
            </w:r>
          </w:p>
        </w:tc>
      </w:tr>
      <w:tr w:rsidR="00C6165A" w:rsidRPr="00C6165A" w14:paraId="5A458517" w14:textId="77777777" w:rsidTr="00DC4F14">
        <w:trPr>
          <w:trHeight w:val="300"/>
          <w:jc w:val="center"/>
        </w:trPr>
        <w:tc>
          <w:tcPr>
            <w:tcW w:w="1271" w:type="dxa"/>
            <w:vMerge w:val="restart"/>
            <w:shd w:val="clear" w:color="auto" w:fill="auto"/>
            <w:noWrap/>
            <w:vAlign w:val="center"/>
            <w:hideMark/>
          </w:tcPr>
          <w:p w14:paraId="31A6E32E" w14:textId="77777777" w:rsidR="006E3240" w:rsidRPr="00C6165A" w:rsidRDefault="006E3240" w:rsidP="006E3240">
            <w:pPr>
              <w:jc w:val="left"/>
              <w:rPr>
                <w:sz w:val="22"/>
                <w:szCs w:val="22"/>
              </w:rPr>
            </w:pPr>
            <w:r w:rsidRPr="00C6165A">
              <w:rPr>
                <w:sz w:val="22"/>
                <w:szCs w:val="22"/>
              </w:rPr>
              <w:t>Hembras para vida</w:t>
            </w:r>
          </w:p>
        </w:tc>
        <w:tc>
          <w:tcPr>
            <w:tcW w:w="3604" w:type="dxa"/>
            <w:gridSpan w:val="3"/>
            <w:shd w:val="clear" w:color="auto" w:fill="auto"/>
            <w:noWrap/>
            <w:vAlign w:val="center"/>
            <w:hideMark/>
          </w:tcPr>
          <w:p w14:paraId="6A66315A" w14:textId="77777777" w:rsidR="006E3240" w:rsidRPr="00C6165A" w:rsidRDefault="006E3240" w:rsidP="006E3240">
            <w:pPr>
              <w:jc w:val="left"/>
              <w:rPr>
                <w:i/>
                <w:sz w:val="22"/>
                <w:szCs w:val="22"/>
              </w:rPr>
            </w:pPr>
            <w:proofErr w:type="gramStart"/>
            <w:r w:rsidRPr="00C6165A">
              <w:rPr>
                <w:i/>
                <w:sz w:val="22"/>
                <w:szCs w:val="22"/>
              </w:rPr>
              <w:t>Total</w:t>
            </w:r>
            <w:proofErr w:type="gramEnd"/>
            <w:r w:rsidRPr="00C6165A">
              <w:rPr>
                <w:i/>
                <w:sz w:val="22"/>
                <w:szCs w:val="22"/>
              </w:rPr>
              <w:t xml:space="preserve"> hembras para vida</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03B22" w14:textId="79419928" w:rsidR="006E3240" w:rsidRPr="00C6165A" w:rsidRDefault="006E3240" w:rsidP="00E15FD9">
            <w:pPr>
              <w:jc w:val="center"/>
              <w:rPr>
                <w:i/>
                <w:sz w:val="22"/>
                <w:szCs w:val="22"/>
              </w:rPr>
            </w:pPr>
            <w:r w:rsidRPr="00C6165A">
              <w:rPr>
                <w:i/>
                <w:iCs/>
                <w:sz w:val="22"/>
                <w:szCs w:val="22"/>
              </w:rPr>
              <w:t>2.032.271</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6B6987B4" w14:textId="0D953553" w:rsidR="006E3240" w:rsidRPr="00C6165A" w:rsidRDefault="006E3240" w:rsidP="00E15FD9">
            <w:pPr>
              <w:jc w:val="center"/>
              <w:rPr>
                <w:i/>
                <w:iCs/>
                <w:sz w:val="22"/>
                <w:szCs w:val="22"/>
                <w:lang w:eastAsia="es-ES"/>
              </w:rPr>
            </w:pPr>
            <w:r w:rsidRPr="00C6165A">
              <w:rPr>
                <w:i/>
                <w:iCs/>
                <w:sz w:val="22"/>
                <w:szCs w:val="22"/>
              </w:rPr>
              <w:t>1.941.431</w:t>
            </w:r>
          </w:p>
        </w:tc>
        <w:tc>
          <w:tcPr>
            <w:tcW w:w="1207" w:type="dxa"/>
            <w:tcBorders>
              <w:top w:val="single" w:sz="4" w:space="0" w:color="auto"/>
              <w:left w:val="nil"/>
              <w:bottom w:val="single" w:sz="4" w:space="0" w:color="auto"/>
              <w:right w:val="single" w:sz="4" w:space="0" w:color="auto"/>
            </w:tcBorders>
            <w:shd w:val="clear" w:color="auto" w:fill="auto"/>
            <w:noWrap/>
            <w:vAlign w:val="center"/>
          </w:tcPr>
          <w:p w14:paraId="4A87E413" w14:textId="0BB1E6CF" w:rsidR="006E3240" w:rsidRPr="00C6165A" w:rsidRDefault="006E3240" w:rsidP="00E15FD9">
            <w:pPr>
              <w:jc w:val="center"/>
              <w:rPr>
                <w:sz w:val="22"/>
                <w:szCs w:val="22"/>
                <w:lang w:eastAsia="es-ES"/>
              </w:rPr>
            </w:pPr>
            <w:r w:rsidRPr="00C6165A">
              <w:rPr>
                <w:sz w:val="22"/>
                <w:szCs w:val="22"/>
              </w:rPr>
              <w:t>-4,5%</w:t>
            </w:r>
          </w:p>
        </w:tc>
      </w:tr>
      <w:tr w:rsidR="00C6165A" w:rsidRPr="00C6165A" w14:paraId="0FE000B0" w14:textId="77777777" w:rsidTr="00DC4F14">
        <w:trPr>
          <w:trHeight w:val="300"/>
          <w:jc w:val="center"/>
        </w:trPr>
        <w:tc>
          <w:tcPr>
            <w:tcW w:w="1271" w:type="dxa"/>
            <w:vMerge/>
            <w:shd w:val="clear" w:color="auto" w:fill="auto"/>
            <w:noWrap/>
            <w:vAlign w:val="center"/>
            <w:hideMark/>
          </w:tcPr>
          <w:p w14:paraId="380FBB8B" w14:textId="77777777" w:rsidR="00727F37" w:rsidRPr="00C6165A" w:rsidRDefault="00727F37" w:rsidP="00727F37">
            <w:pPr>
              <w:jc w:val="left"/>
              <w:rPr>
                <w:sz w:val="22"/>
                <w:szCs w:val="22"/>
              </w:rPr>
            </w:pPr>
          </w:p>
        </w:tc>
        <w:tc>
          <w:tcPr>
            <w:tcW w:w="1134" w:type="dxa"/>
            <w:vMerge w:val="restart"/>
            <w:shd w:val="clear" w:color="auto" w:fill="auto"/>
            <w:noWrap/>
            <w:vAlign w:val="center"/>
            <w:hideMark/>
          </w:tcPr>
          <w:p w14:paraId="4E9A8475" w14:textId="77777777" w:rsidR="00727F37" w:rsidRPr="00C6165A" w:rsidRDefault="00727F37" w:rsidP="00727F37">
            <w:pPr>
              <w:jc w:val="left"/>
              <w:rPr>
                <w:sz w:val="22"/>
                <w:szCs w:val="22"/>
              </w:rPr>
            </w:pPr>
            <w:r w:rsidRPr="00C6165A">
              <w:rPr>
                <w:sz w:val="22"/>
                <w:szCs w:val="22"/>
              </w:rPr>
              <w:t>Nunca han parido</w:t>
            </w:r>
          </w:p>
        </w:tc>
        <w:tc>
          <w:tcPr>
            <w:tcW w:w="2470" w:type="dxa"/>
            <w:gridSpan w:val="2"/>
            <w:shd w:val="clear" w:color="auto" w:fill="auto"/>
            <w:noWrap/>
            <w:vAlign w:val="center"/>
            <w:hideMark/>
          </w:tcPr>
          <w:p w14:paraId="18D868DA" w14:textId="77777777" w:rsidR="00727F37" w:rsidRPr="00C6165A" w:rsidRDefault="00727F37" w:rsidP="00727F37">
            <w:pPr>
              <w:jc w:val="left"/>
              <w:rPr>
                <w:sz w:val="22"/>
                <w:szCs w:val="22"/>
              </w:rPr>
            </w:pPr>
            <w:r w:rsidRPr="00C6165A">
              <w:rPr>
                <w:sz w:val="22"/>
                <w:szCs w:val="22"/>
              </w:rPr>
              <w:t>No cubiertas</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B3FB3" w14:textId="0302E69A" w:rsidR="00727F37" w:rsidRPr="00C6165A" w:rsidRDefault="006E3240" w:rsidP="00E15FD9">
            <w:pPr>
              <w:jc w:val="center"/>
              <w:rPr>
                <w:sz w:val="22"/>
                <w:szCs w:val="22"/>
              </w:rPr>
            </w:pPr>
            <w:r w:rsidRPr="00C6165A">
              <w:rPr>
                <w:sz w:val="22"/>
                <w:szCs w:val="22"/>
              </w:rPr>
              <w:t>20.323</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19077AF7" w14:textId="053B857B" w:rsidR="00727F37" w:rsidRPr="00C6165A" w:rsidRDefault="006E3240" w:rsidP="00E15FD9">
            <w:pPr>
              <w:jc w:val="center"/>
              <w:rPr>
                <w:sz w:val="22"/>
                <w:szCs w:val="22"/>
                <w:lang w:eastAsia="es-ES"/>
              </w:rPr>
            </w:pPr>
            <w:r w:rsidRPr="00C6165A">
              <w:rPr>
                <w:sz w:val="22"/>
                <w:szCs w:val="22"/>
              </w:rPr>
              <w:t>19.412</w:t>
            </w:r>
          </w:p>
        </w:tc>
        <w:tc>
          <w:tcPr>
            <w:tcW w:w="1207" w:type="dxa"/>
            <w:tcBorders>
              <w:top w:val="single" w:sz="4" w:space="0" w:color="auto"/>
              <w:left w:val="nil"/>
              <w:bottom w:val="single" w:sz="4" w:space="0" w:color="auto"/>
              <w:right w:val="single" w:sz="4" w:space="0" w:color="auto"/>
            </w:tcBorders>
            <w:shd w:val="clear" w:color="auto" w:fill="auto"/>
            <w:noWrap/>
            <w:vAlign w:val="center"/>
          </w:tcPr>
          <w:p w14:paraId="4F050D67" w14:textId="11A58C3B" w:rsidR="00727F37" w:rsidRPr="00C6165A" w:rsidRDefault="00241E51" w:rsidP="00E15FD9">
            <w:pPr>
              <w:jc w:val="center"/>
              <w:rPr>
                <w:sz w:val="22"/>
                <w:szCs w:val="22"/>
                <w:lang w:eastAsia="es-ES"/>
              </w:rPr>
            </w:pPr>
            <w:r w:rsidRPr="00C6165A">
              <w:rPr>
                <w:sz w:val="22"/>
                <w:szCs w:val="22"/>
              </w:rPr>
              <w:t>-4,5%</w:t>
            </w:r>
          </w:p>
        </w:tc>
      </w:tr>
      <w:tr w:rsidR="00C6165A" w:rsidRPr="00C6165A" w14:paraId="3327062E" w14:textId="77777777" w:rsidTr="00DC4F14">
        <w:trPr>
          <w:trHeight w:val="300"/>
          <w:jc w:val="center"/>
        </w:trPr>
        <w:tc>
          <w:tcPr>
            <w:tcW w:w="1271" w:type="dxa"/>
            <w:vMerge/>
            <w:shd w:val="clear" w:color="auto" w:fill="auto"/>
            <w:noWrap/>
            <w:vAlign w:val="center"/>
            <w:hideMark/>
          </w:tcPr>
          <w:p w14:paraId="1F87125E" w14:textId="77777777" w:rsidR="00241E51" w:rsidRPr="00C6165A" w:rsidRDefault="00241E51" w:rsidP="00241E51">
            <w:pPr>
              <w:jc w:val="left"/>
              <w:rPr>
                <w:sz w:val="22"/>
                <w:szCs w:val="22"/>
              </w:rPr>
            </w:pPr>
          </w:p>
        </w:tc>
        <w:tc>
          <w:tcPr>
            <w:tcW w:w="1134" w:type="dxa"/>
            <w:vMerge/>
            <w:shd w:val="clear" w:color="auto" w:fill="auto"/>
            <w:noWrap/>
            <w:vAlign w:val="center"/>
            <w:hideMark/>
          </w:tcPr>
          <w:p w14:paraId="1BD85CFE" w14:textId="77777777" w:rsidR="00241E51" w:rsidRPr="00C6165A" w:rsidRDefault="00241E51" w:rsidP="00241E51">
            <w:pPr>
              <w:jc w:val="left"/>
              <w:rPr>
                <w:sz w:val="22"/>
                <w:szCs w:val="22"/>
              </w:rPr>
            </w:pPr>
          </w:p>
        </w:tc>
        <w:tc>
          <w:tcPr>
            <w:tcW w:w="1276" w:type="dxa"/>
            <w:vMerge w:val="restart"/>
            <w:shd w:val="clear" w:color="auto" w:fill="auto"/>
            <w:noWrap/>
            <w:vAlign w:val="center"/>
            <w:hideMark/>
          </w:tcPr>
          <w:p w14:paraId="567442A1" w14:textId="77777777" w:rsidR="00241E51" w:rsidRPr="00C6165A" w:rsidRDefault="00241E51" w:rsidP="00241E51">
            <w:pPr>
              <w:jc w:val="left"/>
              <w:rPr>
                <w:sz w:val="22"/>
                <w:szCs w:val="22"/>
              </w:rPr>
            </w:pPr>
            <w:r w:rsidRPr="00C6165A">
              <w:rPr>
                <w:sz w:val="22"/>
                <w:szCs w:val="22"/>
              </w:rPr>
              <w:t>Cubiertas 1ª vez</w:t>
            </w:r>
          </w:p>
        </w:tc>
        <w:tc>
          <w:tcPr>
            <w:tcW w:w="1194" w:type="dxa"/>
            <w:shd w:val="clear" w:color="auto" w:fill="auto"/>
            <w:noWrap/>
            <w:vAlign w:val="center"/>
            <w:hideMark/>
          </w:tcPr>
          <w:p w14:paraId="452D09D5" w14:textId="77777777" w:rsidR="00241E51" w:rsidRPr="00C6165A" w:rsidRDefault="00241E51" w:rsidP="00241E51">
            <w:pPr>
              <w:jc w:val="left"/>
              <w:rPr>
                <w:sz w:val="22"/>
                <w:szCs w:val="22"/>
              </w:rPr>
            </w:pPr>
            <w:r w:rsidRPr="00C6165A">
              <w:rPr>
                <w:sz w:val="22"/>
                <w:szCs w:val="22"/>
              </w:rPr>
              <w:t>Ordeño</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F0712" w14:textId="3E9FB202" w:rsidR="00241E51" w:rsidRPr="00C6165A" w:rsidRDefault="006E3240" w:rsidP="00E15FD9">
            <w:pPr>
              <w:jc w:val="center"/>
              <w:rPr>
                <w:sz w:val="22"/>
                <w:szCs w:val="22"/>
              </w:rPr>
            </w:pPr>
            <w:r w:rsidRPr="00C6165A">
              <w:rPr>
                <w:sz w:val="22"/>
                <w:szCs w:val="22"/>
              </w:rPr>
              <w:t>47.254</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661F1D72" w14:textId="693B3A01" w:rsidR="00241E51" w:rsidRPr="00C6165A" w:rsidRDefault="00241E51" w:rsidP="00E15FD9">
            <w:pPr>
              <w:jc w:val="center"/>
              <w:rPr>
                <w:sz w:val="22"/>
                <w:szCs w:val="22"/>
              </w:rPr>
            </w:pPr>
            <w:r w:rsidRPr="00C6165A">
              <w:rPr>
                <w:sz w:val="22"/>
                <w:szCs w:val="22"/>
              </w:rPr>
              <w:t>4</w:t>
            </w:r>
            <w:r w:rsidR="00E15FD9" w:rsidRPr="00C6165A">
              <w:rPr>
                <w:sz w:val="22"/>
                <w:szCs w:val="22"/>
              </w:rPr>
              <w:t>4.451</w:t>
            </w:r>
          </w:p>
        </w:tc>
        <w:tc>
          <w:tcPr>
            <w:tcW w:w="1207" w:type="dxa"/>
            <w:tcBorders>
              <w:top w:val="single" w:sz="4" w:space="0" w:color="auto"/>
              <w:left w:val="nil"/>
              <w:bottom w:val="single" w:sz="4" w:space="0" w:color="auto"/>
              <w:right w:val="single" w:sz="4" w:space="0" w:color="auto"/>
            </w:tcBorders>
            <w:shd w:val="clear" w:color="auto" w:fill="auto"/>
            <w:noWrap/>
            <w:vAlign w:val="center"/>
          </w:tcPr>
          <w:p w14:paraId="52B98B6F" w14:textId="273513B4" w:rsidR="00241E51" w:rsidRPr="00C6165A" w:rsidRDefault="00241E51" w:rsidP="00E15FD9">
            <w:pPr>
              <w:jc w:val="center"/>
              <w:rPr>
                <w:sz w:val="22"/>
                <w:szCs w:val="22"/>
              </w:rPr>
            </w:pPr>
            <w:r w:rsidRPr="00C6165A">
              <w:rPr>
                <w:sz w:val="22"/>
                <w:szCs w:val="22"/>
              </w:rPr>
              <w:t>-5,</w:t>
            </w:r>
            <w:r w:rsidR="00E15FD9" w:rsidRPr="00C6165A">
              <w:rPr>
                <w:sz w:val="22"/>
                <w:szCs w:val="22"/>
              </w:rPr>
              <w:t>9</w:t>
            </w:r>
            <w:r w:rsidRPr="00C6165A">
              <w:rPr>
                <w:sz w:val="22"/>
                <w:szCs w:val="22"/>
              </w:rPr>
              <w:t>%</w:t>
            </w:r>
          </w:p>
        </w:tc>
      </w:tr>
      <w:tr w:rsidR="00C6165A" w:rsidRPr="00C6165A" w14:paraId="626C1E31" w14:textId="77777777" w:rsidTr="00DC4F14">
        <w:trPr>
          <w:trHeight w:val="300"/>
          <w:jc w:val="center"/>
        </w:trPr>
        <w:tc>
          <w:tcPr>
            <w:tcW w:w="1271" w:type="dxa"/>
            <w:vMerge/>
            <w:shd w:val="clear" w:color="auto" w:fill="auto"/>
            <w:noWrap/>
            <w:vAlign w:val="center"/>
            <w:hideMark/>
          </w:tcPr>
          <w:p w14:paraId="7B24D8EA" w14:textId="77777777" w:rsidR="00241E51" w:rsidRPr="00C6165A" w:rsidRDefault="00241E51" w:rsidP="00241E51">
            <w:pPr>
              <w:jc w:val="left"/>
              <w:rPr>
                <w:sz w:val="22"/>
                <w:szCs w:val="22"/>
              </w:rPr>
            </w:pPr>
          </w:p>
        </w:tc>
        <w:tc>
          <w:tcPr>
            <w:tcW w:w="1134" w:type="dxa"/>
            <w:vMerge/>
            <w:shd w:val="clear" w:color="auto" w:fill="auto"/>
            <w:noWrap/>
            <w:vAlign w:val="center"/>
            <w:hideMark/>
          </w:tcPr>
          <w:p w14:paraId="4FA290C7" w14:textId="77777777" w:rsidR="00241E51" w:rsidRPr="00C6165A" w:rsidRDefault="00241E51" w:rsidP="00241E51">
            <w:pPr>
              <w:jc w:val="left"/>
              <w:rPr>
                <w:sz w:val="22"/>
                <w:szCs w:val="22"/>
              </w:rPr>
            </w:pPr>
          </w:p>
        </w:tc>
        <w:tc>
          <w:tcPr>
            <w:tcW w:w="1276" w:type="dxa"/>
            <w:vMerge/>
            <w:shd w:val="clear" w:color="auto" w:fill="auto"/>
            <w:noWrap/>
            <w:vAlign w:val="center"/>
            <w:hideMark/>
          </w:tcPr>
          <w:p w14:paraId="2A99013B" w14:textId="77777777" w:rsidR="00241E51" w:rsidRPr="00C6165A" w:rsidRDefault="00241E51" w:rsidP="00241E51">
            <w:pPr>
              <w:jc w:val="left"/>
              <w:rPr>
                <w:sz w:val="22"/>
                <w:szCs w:val="22"/>
              </w:rPr>
            </w:pPr>
          </w:p>
        </w:tc>
        <w:tc>
          <w:tcPr>
            <w:tcW w:w="1194" w:type="dxa"/>
            <w:shd w:val="clear" w:color="auto" w:fill="auto"/>
            <w:noWrap/>
            <w:vAlign w:val="center"/>
            <w:hideMark/>
          </w:tcPr>
          <w:p w14:paraId="4AD0ED3B" w14:textId="77777777" w:rsidR="00241E51" w:rsidRPr="00C6165A" w:rsidRDefault="00241E51" w:rsidP="00241E51">
            <w:pPr>
              <w:jc w:val="left"/>
              <w:rPr>
                <w:sz w:val="22"/>
                <w:szCs w:val="22"/>
              </w:rPr>
            </w:pPr>
            <w:r w:rsidRPr="00C6165A">
              <w:rPr>
                <w:sz w:val="22"/>
                <w:szCs w:val="22"/>
              </w:rPr>
              <w:t>No ordeño</w:t>
            </w:r>
          </w:p>
        </w:tc>
        <w:tc>
          <w:tcPr>
            <w:tcW w:w="1195" w:type="dxa"/>
            <w:tcBorders>
              <w:top w:val="nil"/>
              <w:left w:val="single" w:sz="4" w:space="0" w:color="auto"/>
              <w:bottom w:val="single" w:sz="4" w:space="0" w:color="auto"/>
              <w:right w:val="single" w:sz="4" w:space="0" w:color="auto"/>
            </w:tcBorders>
            <w:shd w:val="clear" w:color="auto" w:fill="auto"/>
            <w:noWrap/>
            <w:vAlign w:val="center"/>
          </w:tcPr>
          <w:p w14:paraId="4C29BE22" w14:textId="631D47A6" w:rsidR="00241E51" w:rsidRPr="00C6165A" w:rsidRDefault="006E3240" w:rsidP="00E15FD9">
            <w:pPr>
              <w:jc w:val="center"/>
              <w:rPr>
                <w:sz w:val="22"/>
                <w:szCs w:val="22"/>
              </w:rPr>
            </w:pPr>
            <w:r w:rsidRPr="00C6165A">
              <w:rPr>
                <w:sz w:val="22"/>
                <w:szCs w:val="22"/>
              </w:rPr>
              <w:t>86.977</w:t>
            </w:r>
          </w:p>
        </w:tc>
        <w:tc>
          <w:tcPr>
            <w:tcW w:w="1195" w:type="dxa"/>
            <w:tcBorders>
              <w:top w:val="nil"/>
              <w:left w:val="nil"/>
              <w:bottom w:val="single" w:sz="4" w:space="0" w:color="auto"/>
              <w:right w:val="single" w:sz="4" w:space="0" w:color="auto"/>
            </w:tcBorders>
            <w:shd w:val="clear" w:color="auto" w:fill="auto"/>
            <w:noWrap/>
            <w:vAlign w:val="center"/>
          </w:tcPr>
          <w:p w14:paraId="7870060D" w14:textId="51D0CC73" w:rsidR="00241E51" w:rsidRPr="00C6165A" w:rsidRDefault="00241E51" w:rsidP="00E15FD9">
            <w:pPr>
              <w:jc w:val="center"/>
              <w:rPr>
                <w:sz w:val="22"/>
                <w:szCs w:val="22"/>
              </w:rPr>
            </w:pPr>
            <w:r w:rsidRPr="00C6165A">
              <w:rPr>
                <w:sz w:val="22"/>
                <w:szCs w:val="22"/>
              </w:rPr>
              <w:t>8</w:t>
            </w:r>
            <w:r w:rsidR="00E15FD9" w:rsidRPr="00C6165A">
              <w:rPr>
                <w:sz w:val="22"/>
                <w:szCs w:val="22"/>
              </w:rPr>
              <w:t>4.194</w:t>
            </w:r>
          </w:p>
        </w:tc>
        <w:tc>
          <w:tcPr>
            <w:tcW w:w="1207" w:type="dxa"/>
            <w:tcBorders>
              <w:top w:val="nil"/>
              <w:left w:val="nil"/>
              <w:bottom w:val="single" w:sz="4" w:space="0" w:color="auto"/>
              <w:right w:val="single" w:sz="4" w:space="0" w:color="auto"/>
            </w:tcBorders>
            <w:shd w:val="clear" w:color="auto" w:fill="auto"/>
            <w:noWrap/>
            <w:vAlign w:val="center"/>
          </w:tcPr>
          <w:p w14:paraId="7CA5098B" w14:textId="0683DBC2" w:rsidR="00241E51" w:rsidRPr="00C6165A" w:rsidRDefault="00241E51" w:rsidP="00E15FD9">
            <w:pPr>
              <w:jc w:val="center"/>
              <w:rPr>
                <w:sz w:val="22"/>
                <w:szCs w:val="22"/>
              </w:rPr>
            </w:pPr>
            <w:r w:rsidRPr="00C6165A">
              <w:rPr>
                <w:sz w:val="22"/>
                <w:szCs w:val="22"/>
              </w:rPr>
              <w:t>-3,</w:t>
            </w:r>
            <w:r w:rsidR="00E15FD9" w:rsidRPr="00C6165A">
              <w:rPr>
                <w:sz w:val="22"/>
                <w:szCs w:val="22"/>
              </w:rPr>
              <w:t>2</w:t>
            </w:r>
            <w:r w:rsidRPr="00C6165A">
              <w:rPr>
                <w:sz w:val="22"/>
                <w:szCs w:val="22"/>
              </w:rPr>
              <w:t>%</w:t>
            </w:r>
          </w:p>
        </w:tc>
      </w:tr>
      <w:tr w:rsidR="00C6165A" w:rsidRPr="00C6165A" w14:paraId="519087B9" w14:textId="77777777" w:rsidTr="00DC4F14">
        <w:trPr>
          <w:trHeight w:val="300"/>
          <w:jc w:val="center"/>
        </w:trPr>
        <w:tc>
          <w:tcPr>
            <w:tcW w:w="1271" w:type="dxa"/>
            <w:vMerge/>
            <w:shd w:val="clear" w:color="auto" w:fill="auto"/>
            <w:noWrap/>
            <w:vAlign w:val="center"/>
            <w:hideMark/>
          </w:tcPr>
          <w:p w14:paraId="68CF3203" w14:textId="77777777" w:rsidR="00241E51" w:rsidRPr="00C6165A" w:rsidRDefault="00241E51" w:rsidP="00241E51">
            <w:pPr>
              <w:jc w:val="left"/>
              <w:rPr>
                <w:sz w:val="22"/>
                <w:szCs w:val="22"/>
              </w:rPr>
            </w:pPr>
          </w:p>
        </w:tc>
        <w:tc>
          <w:tcPr>
            <w:tcW w:w="2410" w:type="dxa"/>
            <w:gridSpan w:val="2"/>
            <w:vMerge w:val="restart"/>
            <w:shd w:val="clear" w:color="auto" w:fill="auto"/>
            <w:noWrap/>
            <w:vAlign w:val="center"/>
            <w:hideMark/>
          </w:tcPr>
          <w:p w14:paraId="6FBE92BA" w14:textId="77777777" w:rsidR="00241E51" w:rsidRPr="00C6165A" w:rsidRDefault="00241E51" w:rsidP="00241E51">
            <w:pPr>
              <w:jc w:val="left"/>
              <w:rPr>
                <w:sz w:val="22"/>
                <w:szCs w:val="22"/>
              </w:rPr>
            </w:pPr>
            <w:r w:rsidRPr="00C6165A">
              <w:rPr>
                <w:sz w:val="22"/>
                <w:szCs w:val="22"/>
              </w:rPr>
              <w:t>Que ya han parido</w:t>
            </w:r>
          </w:p>
        </w:tc>
        <w:tc>
          <w:tcPr>
            <w:tcW w:w="1194" w:type="dxa"/>
            <w:shd w:val="clear" w:color="auto" w:fill="auto"/>
            <w:noWrap/>
            <w:vAlign w:val="center"/>
            <w:hideMark/>
          </w:tcPr>
          <w:p w14:paraId="7D0FCA26" w14:textId="77777777" w:rsidR="00241E51" w:rsidRPr="00C6165A" w:rsidRDefault="00241E51" w:rsidP="00241E51">
            <w:pPr>
              <w:jc w:val="left"/>
              <w:rPr>
                <w:sz w:val="22"/>
                <w:szCs w:val="22"/>
              </w:rPr>
            </w:pPr>
            <w:r w:rsidRPr="00C6165A">
              <w:rPr>
                <w:sz w:val="22"/>
                <w:szCs w:val="22"/>
              </w:rPr>
              <w:t>Ordeño</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B1940" w14:textId="231C5BBA" w:rsidR="00241E51" w:rsidRPr="00C6165A" w:rsidRDefault="006E3240" w:rsidP="00E15FD9">
            <w:pPr>
              <w:jc w:val="center"/>
              <w:rPr>
                <w:sz w:val="22"/>
                <w:szCs w:val="22"/>
              </w:rPr>
            </w:pPr>
            <w:r w:rsidRPr="00C6165A">
              <w:rPr>
                <w:sz w:val="22"/>
                <w:szCs w:val="22"/>
              </w:rPr>
              <w:t>888.367</w:t>
            </w:r>
          </w:p>
        </w:tc>
        <w:tc>
          <w:tcPr>
            <w:tcW w:w="1195" w:type="dxa"/>
            <w:tcBorders>
              <w:top w:val="single" w:sz="4" w:space="0" w:color="auto"/>
              <w:left w:val="nil"/>
              <w:bottom w:val="single" w:sz="4" w:space="0" w:color="auto"/>
              <w:right w:val="single" w:sz="4" w:space="0" w:color="auto"/>
            </w:tcBorders>
            <w:shd w:val="clear" w:color="auto" w:fill="auto"/>
            <w:noWrap/>
            <w:vAlign w:val="center"/>
          </w:tcPr>
          <w:p w14:paraId="4794996C" w14:textId="12DD2960" w:rsidR="00241E51" w:rsidRPr="00C6165A" w:rsidRDefault="00E15FD9" w:rsidP="00E15FD9">
            <w:pPr>
              <w:jc w:val="center"/>
              <w:rPr>
                <w:sz w:val="22"/>
                <w:szCs w:val="22"/>
              </w:rPr>
            </w:pPr>
            <w:r w:rsidRPr="00C6165A">
              <w:rPr>
                <w:sz w:val="22"/>
                <w:szCs w:val="22"/>
              </w:rPr>
              <w:t>835.672</w:t>
            </w:r>
          </w:p>
        </w:tc>
        <w:tc>
          <w:tcPr>
            <w:tcW w:w="1207" w:type="dxa"/>
            <w:tcBorders>
              <w:top w:val="single" w:sz="4" w:space="0" w:color="auto"/>
              <w:left w:val="nil"/>
              <w:bottom w:val="single" w:sz="4" w:space="0" w:color="auto"/>
              <w:right w:val="single" w:sz="4" w:space="0" w:color="auto"/>
            </w:tcBorders>
            <w:shd w:val="clear" w:color="auto" w:fill="auto"/>
            <w:noWrap/>
            <w:vAlign w:val="center"/>
          </w:tcPr>
          <w:p w14:paraId="2ACE90AA" w14:textId="051765BE" w:rsidR="00241E51" w:rsidRPr="00C6165A" w:rsidRDefault="00241E51" w:rsidP="00E15FD9">
            <w:pPr>
              <w:jc w:val="center"/>
              <w:rPr>
                <w:sz w:val="22"/>
                <w:szCs w:val="22"/>
              </w:rPr>
            </w:pPr>
            <w:r w:rsidRPr="00C6165A">
              <w:rPr>
                <w:sz w:val="22"/>
                <w:szCs w:val="22"/>
              </w:rPr>
              <w:t>-5,</w:t>
            </w:r>
            <w:r w:rsidR="00E15FD9" w:rsidRPr="00C6165A">
              <w:rPr>
                <w:sz w:val="22"/>
                <w:szCs w:val="22"/>
              </w:rPr>
              <w:t>9</w:t>
            </w:r>
            <w:r w:rsidRPr="00C6165A">
              <w:rPr>
                <w:sz w:val="22"/>
                <w:szCs w:val="22"/>
              </w:rPr>
              <w:t>%</w:t>
            </w:r>
          </w:p>
        </w:tc>
      </w:tr>
      <w:tr w:rsidR="00C6165A" w:rsidRPr="00C6165A" w14:paraId="680288A3" w14:textId="77777777" w:rsidTr="00DC4F14">
        <w:trPr>
          <w:trHeight w:val="300"/>
          <w:jc w:val="center"/>
        </w:trPr>
        <w:tc>
          <w:tcPr>
            <w:tcW w:w="1271" w:type="dxa"/>
            <w:vMerge/>
            <w:shd w:val="clear" w:color="auto" w:fill="auto"/>
            <w:noWrap/>
            <w:vAlign w:val="center"/>
            <w:hideMark/>
          </w:tcPr>
          <w:p w14:paraId="30B3A65D" w14:textId="77777777" w:rsidR="00241E51" w:rsidRPr="00C6165A" w:rsidRDefault="00241E51" w:rsidP="00241E51">
            <w:pPr>
              <w:jc w:val="left"/>
              <w:rPr>
                <w:sz w:val="22"/>
                <w:szCs w:val="22"/>
              </w:rPr>
            </w:pPr>
          </w:p>
        </w:tc>
        <w:tc>
          <w:tcPr>
            <w:tcW w:w="2410" w:type="dxa"/>
            <w:gridSpan w:val="2"/>
            <w:vMerge/>
            <w:shd w:val="clear" w:color="auto" w:fill="auto"/>
            <w:noWrap/>
            <w:vAlign w:val="center"/>
            <w:hideMark/>
          </w:tcPr>
          <w:p w14:paraId="770215AC" w14:textId="77777777" w:rsidR="00241E51" w:rsidRPr="00C6165A" w:rsidRDefault="00241E51" w:rsidP="00241E51">
            <w:pPr>
              <w:jc w:val="left"/>
              <w:rPr>
                <w:sz w:val="22"/>
                <w:szCs w:val="22"/>
              </w:rPr>
            </w:pPr>
          </w:p>
        </w:tc>
        <w:tc>
          <w:tcPr>
            <w:tcW w:w="1194" w:type="dxa"/>
            <w:shd w:val="clear" w:color="auto" w:fill="auto"/>
            <w:noWrap/>
            <w:vAlign w:val="center"/>
            <w:hideMark/>
          </w:tcPr>
          <w:p w14:paraId="26066A29" w14:textId="77777777" w:rsidR="00241E51" w:rsidRPr="00C6165A" w:rsidRDefault="00241E51" w:rsidP="00241E51">
            <w:pPr>
              <w:jc w:val="left"/>
              <w:rPr>
                <w:sz w:val="22"/>
                <w:szCs w:val="22"/>
              </w:rPr>
            </w:pPr>
            <w:r w:rsidRPr="00C6165A">
              <w:rPr>
                <w:sz w:val="22"/>
                <w:szCs w:val="22"/>
              </w:rPr>
              <w:t>No ordeño</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5F237857" w14:textId="7763BF7F" w:rsidR="00241E51" w:rsidRPr="00C6165A" w:rsidRDefault="006E3240" w:rsidP="00E15FD9">
            <w:pPr>
              <w:jc w:val="center"/>
              <w:rPr>
                <w:sz w:val="22"/>
                <w:szCs w:val="22"/>
              </w:rPr>
            </w:pPr>
            <w:r w:rsidRPr="00C6165A">
              <w:rPr>
                <w:sz w:val="22"/>
                <w:szCs w:val="22"/>
              </w:rPr>
              <w:t>989.350</w:t>
            </w:r>
          </w:p>
        </w:tc>
        <w:tc>
          <w:tcPr>
            <w:tcW w:w="1195" w:type="dxa"/>
            <w:tcBorders>
              <w:top w:val="nil"/>
              <w:left w:val="nil"/>
              <w:bottom w:val="single" w:sz="4" w:space="0" w:color="auto"/>
              <w:right w:val="single" w:sz="4" w:space="0" w:color="auto"/>
            </w:tcBorders>
            <w:shd w:val="clear" w:color="auto" w:fill="auto"/>
            <w:noWrap/>
            <w:vAlign w:val="center"/>
          </w:tcPr>
          <w:p w14:paraId="6ECC8C73" w14:textId="3AC80D7B" w:rsidR="00241E51" w:rsidRPr="00C6165A" w:rsidRDefault="00E15FD9" w:rsidP="00E15FD9">
            <w:pPr>
              <w:jc w:val="center"/>
              <w:rPr>
                <w:sz w:val="22"/>
                <w:szCs w:val="22"/>
              </w:rPr>
            </w:pPr>
            <w:r w:rsidRPr="00C6165A">
              <w:rPr>
                <w:sz w:val="22"/>
                <w:szCs w:val="22"/>
              </w:rPr>
              <w:t>957.702</w:t>
            </w:r>
          </w:p>
        </w:tc>
        <w:tc>
          <w:tcPr>
            <w:tcW w:w="1207" w:type="dxa"/>
            <w:tcBorders>
              <w:top w:val="nil"/>
              <w:left w:val="nil"/>
              <w:bottom w:val="single" w:sz="4" w:space="0" w:color="auto"/>
              <w:right w:val="single" w:sz="4" w:space="0" w:color="auto"/>
            </w:tcBorders>
            <w:shd w:val="clear" w:color="auto" w:fill="auto"/>
            <w:noWrap/>
            <w:vAlign w:val="center"/>
          </w:tcPr>
          <w:p w14:paraId="383518BB" w14:textId="36136318" w:rsidR="00241E51" w:rsidRPr="00C6165A" w:rsidRDefault="00241E51" w:rsidP="00E15FD9">
            <w:pPr>
              <w:jc w:val="center"/>
              <w:rPr>
                <w:sz w:val="22"/>
                <w:szCs w:val="22"/>
              </w:rPr>
            </w:pPr>
            <w:r w:rsidRPr="00C6165A">
              <w:rPr>
                <w:sz w:val="22"/>
                <w:szCs w:val="22"/>
              </w:rPr>
              <w:t>-3,</w:t>
            </w:r>
            <w:r w:rsidR="00E15FD9" w:rsidRPr="00C6165A">
              <w:rPr>
                <w:sz w:val="22"/>
                <w:szCs w:val="22"/>
              </w:rPr>
              <w:t>2</w:t>
            </w:r>
            <w:r w:rsidRPr="00C6165A">
              <w:rPr>
                <w:sz w:val="22"/>
                <w:szCs w:val="22"/>
              </w:rPr>
              <w:t>%</w:t>
            </w:r>
          </w:p>
        </w:tc>
      </w:tr>
    </w:tbl>
    <w:p w14:paraId="3367CD96" w14:textId="77777777" w:rsidR="00CB5999" w:rsidRPr="00C6165A" w:rsidRDefault="00CB5999" w:rsidP="00CB5999">
      <w:pPr>
        <w:jc w:val="center"/>
        <w:rPr>
          <w:sz w:val="16"/>
          <w:szCs w:val="16"/>
        </w:rPr>
      </w:pPr>
      <w:r w:rsidRPr="00C6165A">
        <w:rPr>
          <w:sz w:val="16"/>
          <w:szCs w:val="16"/>
        </w:rPr>
        <w:t>Fuente: Elaboración propia a partir de las encuestas ganaderas del Ministerio de Agricultura, Pesca y Alimentación</w:t>
      </w:r>
    </w:p>
    <w:p w14:paraId="0115576D" w14:textId="77777777" w:rsidR="00AA49C3" w:rsidRPr="00C6165A" w:rsidRDefault="00AA49C3" w:rsidP="00AA49C3"/>
    <w:p w14:paraId="5D1B1FB5" w14:textId="50D18A70" w:rsidR="00AA49C3" w:rsidRPr="00C6165A" w:rsidRDefault="00AA49C3" w:rsidP="00AA49C3">
      <w:r w:rsidRPr="00C6165A">
        <w:t xml:space="preserve">De la </w:t>
      </w:r>
      <w:r w:rsidRPr="00C6165A">
        <w:rPr>
          <w:b/>
          <w:bCs/>
        </w:rPr>
        <w:t>especie caprina</w:t>
      </w:r>
      <w:r w:rsidRPr="00C6165A">
        <w:t xml:space="preserve"> el censo, también de noviembre de </w:t>
      </w:r>
      <w:r w:rsidR="00BB24A4" w:rsidRPr="00C6165A">
        <w:t>202</w:t>
      </w:r>
      <w:r w:rsidR="00E15FD9" w:rsidRPr="00C6165A">
        <w:t>1</w:t>
      </w:r>
      <w:r w:rsidRPr="00C6165A">
        <w:t xml:space="preserve">, fue de </w:t>
      </w:r>
      <w:r w:rsidR="00E15FD9" w:rsidRPr="00C6165A">
        <w:t>149.325</w:t>
      </w:r>
      <w:r w:rsidR="00BB24A4" w:rsidRPr="00C6165A">
        <w:t xml:space="preserve"> </w:t>
      </w:r>
      <w:r w:rsidRPr="00C6165A">
        <w:t xml:space="preserve">animales, </w:t>
      </w:r>
      <w:r w:rsidR="00E15FD9" w:rsidRPr="00C6165A">
        <w:t>424</w:t>
      </w:r>
      <w:r w:rsidR="00BB24A4" w:rsidRPr="00C6165A">
        <w:t xml:space="preserve"> más</w:t>
      </w:r>
      <w:r w:rsidRPr="00C6165A">
        <w:t xml:space="preserve"> que en la encuesta anterior. Castilla y León es la sexta región en importancia, con un 5</w:t>
      </w:r>
      <w:r w:rsidR="00E77654" w:rsidRPr="00C6165A">
        <w:t>,</w:t>
      </w:r>
      <w:r w:rsidR="00E15FD9" w:rsidRPr="00C6165A">
        <w:t>77</w:t>
      </w:r>
      <w:r w:rsidR="00154C4C" w:rsidRPr="00C6165A">
        <w:t>%</w:t>
      </w:r>
      <w:r w:rsidRPr="00C6165A">
        <w:t xml:space="preserve"> de la cabaña ganadera nacional, a gran distancia de la primera, que es Andalucía</w:t>
      </w:r>
      <w:r w:rsidR="00E15FD9" w:rsidRPr="00C6165A">
        <w:t xml:space="preserve"> con un 38,37%</w:t>
      </w:r>
      <w:r w:rsidRPr="00C6165A">
        <w:t>.</w:t>
      </w:r>
    </w:p>
    <w:p w14:paraId="749C577D" w14:textId="77777777" w:rsidR="00AA49C3" w:rsidRPr="00C6165A" w:rsidRDefault="00AA49C3" w:rsidP="00AA49C3"/>
    <w:p w14:paraId="2CD55677" w14:textId="77777777" w:rsidR="00AA49C3" w:rsidRPr="00C6165A" w:rsidRDefault="00AA49C3" w:rsidP="00AA49C3">
      <w:pPr>
        <w:spacing w:after="120"/>
      </w:pPr>
      <w:r w:rsidRPr="00C6165A">
        <w:t>En la tabla siguiente se puede ver el censo y la evolución por tipo de ganado:</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1955"/>
        <w:gridCol w:w="1012"/>
        <w:gridCol w:w="1012"/>
        <w:gridCol w:w="1573"/>
      </w:tblGrid>
      <w:tr w:rsidR="00C6165A" w:rsidRPr="00C6165A" w14:paraId="3C02C1E9" w14:textId="77777777" w:rsidTr="00643FEF">
        <w:trPr>
          <w:trHeight w:val="300"/>
          <w:tblHeader/>
          <w:jc w:val="center"/>
        </w:trPr>
        <w:tc>
          <w:tcPr>
            <w:tcW w:w="4644" w:type="dxa"/>
            <w:gridSpan w:val="3"/>
            <w:tcBorders>
              <w:top w:val="nil"/>
              <w:left w:val="nil"/>
            </w:tcBorders>
            <w:shd w:val="clear" w:color="auto" w:fill="auto"/>
            <w:noWrap/>
            <w:vAlign w:val="center"/>
            <w:hideMark/>
          </w:tcPr>
          <w:p w14:paraId="0F62D70B" w14:textId="77777777" w:rsidR="005B0C86" w:rsidRPr="00C6165A" w:rsidRDefault="005B0C86" w:rsidP="005B0C86">
            <w:pPr>
              <w:jc w:val="center"/>
              <w:rPr>
                <w:sz w:val="22"/>
                <w:szCs w:val="22"/>
              </w:rPr>
            </w:pPr>
          </w:p>
        </w:tc>
        <w:tc>
          <w:tcPr>
            <w:tcW w:w="1000" w:type="dxa"/>
            <w:shd w:val="clear" w:color="auto" w:fill="auto"/>
            <w:noWrap/>
            <w:vAlign w:val="center"/>
            <w:hideMark/>
          </w:tcPr>
          <w:p w14:paraId="5DE0833B" w14:textId="26BD9745" w:rsidR="005B0C86" w:rsidRPr="00C6165A" w:rsidRDefault="005B0C86" w:rsidP="005B0C86">
            <w:pPr>
              <w:jc w:val="center"/>
              <w:rPr>
                <w:b/>
                <w:bCs/>
                <w:sz w:val="22"/>
                <w:szCs w:val="22"/>
              </w:rPr>
            </w:pPr>
            <w:r w:rsidRPr="00C6165A">
              <w:rPr>
                <w:b/>
                <w:bCs/>
                <w:sz w:val="22"/>
                <w:szCs w:val="22"/>
              </w:rPr>
              <w:t>2020</w:t>
            </w:r>
          </w:p>
        </w:tc>
        <w:tc>
          <w:tcPr>
            <w:tcW w:w="1000" w:type="dxa"/>
            <w:shd w:val="clear" w:color="auto" w:fill="auto"/>
            <w:noWrap/>
            <w:vAlign w:val="center"/>
            <w:hideMark/>
          </w:tcPr>
          <w:p w14:paraId="09175E28" w14:textId="12D5A02A" w:rsidR="005B0C86" w:rsidRPr="00C6165A" w:rsidRDefault="005B0C86" w:rsidP="005B0C86">
            <w:pPr>
              <w:jc w:val="center"/>
              <w:rPr>
                <w:b/>
                <w:bCs/>
                <w:sz w:val="22"/>
                <w:szCs w:val="22"/>
              </w:rPr>
            </w:pPr>
            <w:r w:rsidRPr="00C6165A">
              <w:rPr>
                <w:b/>
                <w:bCs/>
                <w:sz w:val="22"/>
                <w:szCs w:val="22"/>
              </w:rPr>
              <w:t>2021</w:t>
            </w:r>
          </w:p>
        </w:tc>
        <w:tc>
          <w:tcPr>
            <w:tcW w:w="1573" w:type="dxa"/>
            <w:shd w:val="clear" w:color="auto" w:fill="auto"/>
            <w:noWrap/>
            <w:vAlign w:val="center"/>
            <w:hideMark/>
          </w:tcPr>
          <w:p w14:paraId="6083D156" w14:textId="77777777" w:rsidR="005B0C86" w:rsidRPr="00C6165A" w:rsidRDefault="005B0C86" w:rsidP="005B0C86">
            <w:pPr>
              <w:jc w:val="center"/>
              <w:rPr>
                <w:b/>
                <w:bCs/>
                <w:sz w:val="22"/>
                <w:szCs w:val="22"/>
              </w:rPr>
            </w:pPr>
            <w:r w:rsidRPr="00C6165A">
              <w:rPr>
                <w:b/>
                <w:bCs/>
                <w:sz w:val="22"/>
                <w:szCs w:val="22"/>
              </w:rPr>
              <w:t>Variación (%)</w:t>
            </w:r>
          </w:p>
        </w:tc>
      </w:tr>
      <w:tr w:rsidR="00C6165A" w:rsidRPr="00C6165A" w14:paraId="3F07F2B2" w14:textId="77777777" w:rsidTr="00E15FD9">
        <w:trPr>
          <w:trHeight w:val="300"/>
          <w:tblHeader/>
          <w:jc w:val="center"/>
        </w:trPr>
        <w:tc>
          <w:tcPr>
            <w:tcW w:w="4644" w:type="dxa"/>
            <w:gridSpan w:val="3"/>
            <w:shd w:val="clear" w:color="auto" w:fill="auto"/>
            <w:noWrap/>
            <w:vAlign w:val="center"/>
            <w:hideMark/>
          </w:tcPr>
          <w:p w14:paraId="50D5D02D" w14:textId="77777777" w:rsidR="00E15FD9" w:rsidRPr="00C6165A" w:rsidRDefault="00E15FD9" w:rsidP="00E15FD9">
            <w:pPr>
              <w:jc w:val="left"/>
              <w:rPr>
                <w:b/>
                <w:sz w:val="22"/>
                <w:szCs w:val="22"/>
              </w:rPr>
            </w:pPr>
            <w:r w:rsidRPr="00C6165A">
              <w:rPr>
                <w:b/>
                <w:sz w:val="22"/>
                <w:szCs w:val="22"/>
              </w:rPr>
              <w:t>Total</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02198" w14:textId="60750356" w:rsidR="00E15FD9" w:rsidRPr="00C6165A" w:rsidRDefault="00E15FD9" w:rsidP="00E15FD9">
            <w:pPr>
              <w:jc w:val="center"/>
              <w:rPr>
                <w:b/>
                <w:sz w:val="22"/>
                <w:szCs w:val="22"/>
              </w:rPr>
            </w:pPr>
            <w:r w:rsidRPr="00C6165A">
              <w:rPr>
                <w:b/>
                <w:bCs/>
                <w:sz w:val="22"/>
                <w:szCs w:val="22"/>
              </w:rPr>
              <w:t>148.901</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5B35967D" w14:textId="08433D0D" w:rsidR="00E15FD9" w:rsidRPr="00C6165A" w:rsidRDefault="00E15FD9" w:rsidP="00E15FD9">
            <w:pPr>
              <w:jc w:val="center"/>
              <w:rPr>
                <w:b/>
                <w:sz w:val="22"/>
                <w:szCs w:val="22"/>
              </w:rPr>
            </w:pPr>
            <w:r w:rsidRPr="00C6165A">
              <w:rPr>
                <w:b/>
                <w:bCs/>
                <w:sz w:val="22"/>
                <w:szCs w:val="22"/>
              </w:rPr>
              <w:t>149.325</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31DB242F" w14:textId="12D2D155" w:rsidR="00E15FD9" w:rsidRPr="00C6165A" w:rsidRDefault="00E15FD9" w:rsidP="00E15FD9">
            <w:pPr>
              <w:jc w:val="center"/>
              <w:rPr>
                <w:b/>
                <w:bCs/>
                <w:sz w:val="22"/>
                <w:szCs w:val="22"/>
              </w:rPr>
            </w:pPr>
            <w:r w:rsidRPr="00C6165A">
              <w:rPr>
                <w:b/>
                <w:bCs/>
                <w:sz w:val="22"/>
                <w:szCs w:val="22"/>
              </w:rPr>
              <w:t>0,3%</w:t>
            </w:r>
          </w:p>
        </w:tc>
      </w:tr>
      <w:tr w:rsidR="00C6165A" w:rsidRPr="00C6165A" w14:paraId="326D8C67" w14:textId="77777777" w:rsidTr="00E15FD9">
        <w:trPr>
          <w:trHeight w:val="300"/>
          <w:jc w:val="center"/>
        </w:trPr>
        <w:tc>
          <w:tcPr>
            <w:tcW w:w="4644" w:type="dxa"/>
            <w:gridSpan w:val="3"/>
            <w:shd w:val="clear" w:color="auto" w:fill="auto"/>
            <w:noWrap/>
            <w:vAlign w:val="center"/>
            <w:hideMark/>
          </w:tcPr>
          <w:p w14:paraId="2EF6656A" w14:textId="77777777" w:rsidR="00E15FD9" w:rsidRPr="00C6165A" w:rsidRDefault="00E15FD9" w:rsidP="00E15FD9">
            <w:pPr>
              <w:jc w:val="left"/>
              <w:rPr>
                <w:sz w:val="22"/>
                <w:szCs w:val="22"/>
              </w:rPr>
            </w:pPr>
            <w:r w:rsidRPr="00C6165A">
              <w:rPr>
                <w:sz w:val="22"/>
                <w:szCs w:val="22"/>
              </w:rPr>
              <w:t>Chivos</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D9D69AD" w14:textId="24C9D60F" w:rsidR="00E15FD9" w:rsidRPr="00C6165A" w:rsidRDefault="00E15FD9" w:rsidP="00E15FD9">
            <w:pPr>
              <w:jc w:val="center"/>
              <w:rPr>
                <w:sz w:val="22"/>
                <w:szCs w:val="22"/>
              </w:rPr>
            </w:pPr>
            <w:r w:rsidRPr="00C6165A">
              <w:rPr>
                <w:sz w:val="22"/>
                <w:szCs w:val="22"/>
              </w:rPr>
              <w:t>27.551</w:t>
            </w:r>
          </w:p>
        </w:tc>
        <w:tc>
          <w:tcPr>
            <w:tcW w:w="1000" w:type="dxa"/>
            <w:tcBorders>
              <w:top w:val="nil"/>
              <w:left w:val="nil"/>
              <w:bottom w:val="single" w:sz="4" w:space="0" w:color="auto"/>
              <w:right w:val="single" w:sz="4" w:space="0" w:color="auto"/>
            </w:tcBorders>
            <w:shd w:val="clear" w:color="auto" w:fill="auto"/>
            <w:noWrap/>
            <w:vAlign w:val="center"/>
          </w:tcPr>
          <w:p w14:paraId="5AEBE757" w14:textId="24B52A53" w:rsidR="00E15FD9" w:rsidRPr="00C6165A" w:rsidRDefault="00E15FD9" w:rsidP="00E15FD9">
            <w:pPr>
              <w:jc w:val="center"/>
              <w:rPr>
                <w:sz w:val="22"/>
                <w:szCs w:val="22"/>
              </w:rPr>
            </w:pPr>
            <w:r w:rsidRPr="00C6165A">
              <w:rPr>
                <w:sz w:val="22"/>
                <w:szCs w:val="22"/>
              </w:rPr>
              <w:t>28.967</w:t>
            </w:r>
          </w:p>
        </w:tc>
        <w:tc>
          <w:tcPr>
            <w:tcW w:w="1573" w:type="dxa"/>
            <w:tcBorders>
              <w:top w:val="nil"/>
              <w:left w:val="nil"/>
              <w:bottom w:val="single" w:sz="4" w:space="0" w:color="auto"/>
              <w:right w:val="single" w:sz="4" w:space="0" w:color="auto"/>
            </w:tcBorders>
            <w:shd w:val="clear" w:color="auto" w:fill="auto"/>
            <w:noWrap/>
            <w:vAlign w:val="center"/>
          </w:tcPr>
          <w:p w14:paraId="2716D81D" w14:textId="64CF1627" w:rsidR="00E15FD9" w:rsidRPr="00C6165A" w:rsidRDefault="00E15FD9" w:rsidP="00E15FD9">
            <w:pPr>
              <w:jc w:val="center"/>
              <w:rPr>
                <w:sz w:val="22"/>
                <w:szCs w:val="22"/>
              </w:rPr>
            </w:pPr>
            <w:r w:rsidRPr="00C6165A">
              <w:rPr>
                <w:sz w:val="22"/>
                <w:szCs w:val="22"/>
              </w:rPr>
              <w:t>5,1%</w:t>
            </w:r>
          </w:p>
        </w:tc>
      </w:tr>
      <w:tr w:rsidR="00C6165A" w:rsidRPr="00C6165A" w14:paraId="2378A54E" w14:textId="77777777" w:rsidTr="00E15FD9">
        <w:trPr>
          <w:trHeight w:val="300"/>
          <w:jc w:val="center"/>
        </w:trPr>
        <w:tc>
          <w:tcPr>
            <w:tcW w:w="4644" w:type="dxa"/>
            <w:gridSpan w:val="3"/>
            <w:shd w:val="clear" w:color="auto" w:fill="auto"/>
            <w:noWrap/>
            <w:vAlign w:val="center"/>
            <w:hideMark/>
          </w:tcPr>
          <w:p w14:paraId="2FB02A47" w14:textId="77777777" w:rsidR="00E15FD9" w:rsidRPr="00C6165A" w:rsidRDefault="00E15FD9" w:rsidP="00E15FD9">
            <w:pPr>
              <w:jc w:val="left"/>
              <w:rPr>
                <w:sz w:val="22"/>
                <w:szCs w:val="22"/>
              </w:rPr>
            </w:pPr>
            <w:r w:rsidRPr="00C6165A">
              <w:rPr>
                <w:sz w:val="22"/>
                <w:szCs w:val="22"/>
              </w:rPr>
              <w:t>Sementales</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452BDFD" w14:textId="374C0268" w:rsidR="00E15FD9" w:rsidRPr="00C6165A" w:rsidRDefault="00E15FD9" w:rsidP="00E15FD9">
            <w:pPr>
              <w:jc w:val="center"/>
              <w:rPr>
                <w:sz w:val="22"/>
                <w:szCs w:val="22"/>
              </w:rPr>
            </w:pPr>
            <w:r w:rsidRPr="00C6165A">
              <w:rPr>
                <w:sz w:val="22"/>
                <w:szCs w:val="22"/>
              </w:rPr>
              <w:t>4.812</w:t>
            </w:r>
          </w:p>
        </w:tc>
        <w:tc>
          <w:tcPr>
            <w:tcW w:w="1000" w:type="dxa"/>
            <w:tcBorders>
              <w:top w:val="nil"/>
              <w:left w:val="nil"/>
              <w:bottom w:val="single" w:sz="4" w:space="0" w:color="auto"/>
              <w:right w:val="single" w:sz="4" w:space="0" w:color="auto"/>
            </w:tcBorders>
            <w:shd w:val="clear" w:color="auto" w:fill="auto"/>
            <w:noWrap/>
            <w:vAlign w:val="center"/>
          </w:tcPr>
          <w:p w14:paraId="454F3E5E" w14:textId="4A6CAFC3" w:rsidR="00E15FD9" w:rsidRPr="00C6165A" w:rsidRDefault="00E15FD9" w:rsidP="00E15FD9">
            <w:pPr>
              <w:jc w:val="center"/>
              <w:rPr>
                <w:sz w:val="22"/>
                <w:szCs w:val="22"/>
              </w:rPr>
            </w:pPr>
            <w:r w:rsidRPr="00C6165A">
              <w:rPr>
                <w:sz w:val="22"/>
                <w:szCs w:val="22"/>
              </w:rPr>
              <w:t>4.680</w:t>
            </w:r>
          </w:p>
        </w:tc>
        <w:tc>
          <w:tcPr>
            <w:tcW w:w="1573" w:type="dxa"/>
            <w:tcBorders>
              <w:top w:val="nil"/>
              <w:left w:val="nil"/>
              <w:bottom w:val="single" w:sz="4" w:space="0" w:color="auto"/>
              <w:right w:val="single" w:sz="4" w:space="0" w:color="auto"/>
            </w:tcBorders>
            <w:shd w:val="clear" w:color="auto" w:fill="auto"/>
            <w:noWrap/>
            <w:vAlign w:val="center"/>
          </w:tcPr>
          <w:p w14:paraId="0C18837A" w14:textId="183FA0C4" w:rsidR="00E15FD9" w:rsidRPr="00C6165A" w:rsidRDefault="00E15FD9" w:rsidP="00E15FD9">
            <w:pPr>
              <w:jc w:val="center"/>
              <w:rPr>
                <w:sz w:val="22"/>
                <w:szCs w:val="22"/>
              </w:rPr>
            </w:pPr>
            <w:r w:rsidRPr="00C6165A">
              <w:rPr>
                <w:sz w:val="22"/>
                <w:szCs w:val="22"/>
              </w:rPr>
              <w:t>-2,7%</w:t>
            </w:r>
          </w:p>
        </w:tc>
      </w:tr>
      <w:tr w:rsidR="00C6165A" w:rsidRPr="00C6165A" w14:paraId="2EE64410" w14:textId="77777777" w:rsidTr="00E15FD9">
        <w:trPr>
          <w:trHeight w:val="300"/>
          <w:jc w:val="center"/>
        </w:trPr>
        <w:tc>
          <w:tcPr>
            <w:tcW w:w="1413" w:type="dxa"/>
            <w:vMerge w:val="restart"/>
            <w:shd w:val="clear" w:color="auto" w:fill="auto"/>
            <w:noWrap/>
            <w:vAlign w:val="center"/>
            <w:hideMark/>
          </w:tcPr>
          <w:p w14:paraId="666A6DD6" w14:textId="77777777" w:rsidR="00E15FD9" w:rsidRPr="00C6165A" w:rsidRDefault="00E15FD9" w:rsidP="00E15FD9">
            <w:pPr>
              <w:jc w:val="left"/>
              <w:rPr>
                <w:sz w:val="22"/>
                <w:szCs w:val="22"/>
              </w:rPr>
            </w:pPr>
            <w:r w:rsidRPr="00C6165A">
              <w:rPr>
                <w:sz w:val="22"/>
                <w:szCs w:val="22"/>
              </w:rPr>
              <w:t>Hembras para vida</w:t>
            </w:r>
          </w:p>
        </w:tc>
        <w:tc>
          <w:tcPr>
            <w:tcW w:w="3231" w:type="dxa"/>
            <w:gridSpan w:val="2"/>
            <w:shd w:val="clear" w:color="auto" w:fill="auto"/>
            <w:noWrap/>
            <w:vAlign w:val="center"/>
            <w:hideMark/>
          </w:tcPr>
          <w:p w14:paraId="1C04960B" w14:textId="40310564" w:rsidR="00E15FD9" w:rsidRPr="00C6165A" w:rsidRDefault="00E15FD9" w:rsidP="00E15FD9">
            <w:pPr>
              <w:jc w:val="left"/>
              <w:rPr>
                <w:i/>
                <w:sz w:val="22"/>
                <w:szCs w:val="22"/>
              </w:rPr>
            </w:pPr>
            <w:r w:rsidRPr="00C6165A">
              <w:rPr>
                <w:i/>
                <w:iCs/>
                <w:sz w:val="22"/>
                <w:szCs w:val="22"/>
              </w:rPr>
              <w:t xml:space="preserve">Total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CDBAA" w14:textId="250E3161" w:rsidR="00E15FD9" w:rsidRPr="00C6165A" w:rsidRDefault="00E15FD9" w:rsidP="00E15FD9">
            <w:pPr>
              <w:jc w:val="center"/>
              <w:rPr>
                <w:sz w:val="22"/>
                <w:szCs w:val="22"/>
              </w:rPr>
            </w:pPr>
            <w:r w:rsidRPr="00C6165A">
              <w:rPr>
                <w:i/>
                <w:iCs/>
                <w:sz w:val="22"/>
                <w:szCs w:val="22"/>
              </w:rPr>
              <w:t>116.538</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5D840763" w14:textId="7391EF9E" w:rsidR="00E15FD9" w:rsidRPr="00C6165A" w:rsidRDefault="00E15FD9" w:rsidP="00E15FD9">
            <w:pPr>
              <w:jc w:val="center"/>
              <w:rPr>
                <w:i/>
                <w:iCs/>
                <w:sz w:val="22"/>
                <w:szCs w:val="22"/>
                <w:lang w:eastAsia="es-ES"/>
              </w:rPr>
            </w:pPr>
            <w:r w:rsidRPr="00C6165A">
              <w:rPr>
                <w:i/>
                <w:iCs/>
                <w:sz w:val="22"/>
                <w:szCs w:val="22"/>
              </w:rPr>
              <w:t>115.678</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2D1C39E8" w14:textId="344C40AD" w:rsidR="00E15FD9" w:rsidRPr="00C6165A" w:rsidRDefault="00E15FD9" w:rsidP="00E15FD9">
            <w:pPr>
              <w:jc w:val="center"/>
              <w:rPr>
                <w:sz w:val="22"/>
                <w:szCs w:val="22"/>
                <w:lang w:eastAsia="es-ES"/>
              </w:rPr>
            </w:pPr>
            <w:r w:rsidRPr="00C6165A">
              <w:rPr>
                <w:sz w:val="22"/>
                <w:szCs w:val="22"/>
              </w:rPr>
              <w:t>-0,7%</w:t>
            </w:r>
          </w:p>
        </w:tc>
      </w:tr>
      <w:tr w:rsidR="00C6165A" w:rsidRPr="00C6165A" w14:paraId="5DACCA67" w14:textId="77777777" w:rsidTr="00E15FD9">
        <w:trPr>
          <w:trHeight w:val="300"/>
          <w:jc w:val="center"/>
        </w:trPr>
        <w:tc>
          <w:tcPr>
            <w:tcW w:w="1413" w:type="dxa"/>
            <w:vMerge/>
            <w:shd w:val="clear" w:color="auto" w:fill="auto"/>
            <w:vAlign w:val="center"/>
            <w:hideMark/>
          </w:tcPr>
          <w:p w14:paraId="52CDD7ED" w14:textId="77777777" w:rsidR="00E15FD9" w:rsidRPr="00C6165A" w:rsidRDefault="00E15FD9" w:rsidP="00E15FD9">
            <w:pPr>
              <w:jc w:val="left"/>
              <w:rPr>
                <w:sz w:val="22"/>
                <w:szCs w:val="22"/>
              </w:rPr>
            </w:pPr>
          </w:p>
        </w:tc>
        <w:tc>
          <w:tcPr>
            <w:tcW w:w="1276" w:type="dxa"/>
            <w:vMerge w:val="restart"/>
            <w:shd w:val="clear" w:color="auto" w:fill="auto"/>
            <w:noWrap/>
            <w:vAlign w:val="center"/>
            <w:hideMark/>
          </w:tcPr>
          <w:p w14:paraId="3DE18F31" w14:textId="18500888" w:rsidR="00E15FD9" w:rsidRPr="00C6165A" w:rsidRDefault="00E15FD9" w:rsidP="00E15FD9">
            <w:pPr>
              <w:jc w:val="left"/>
              <w:rPr>
                <w:sz w:val="22"/>
                <w:szCs w:val="22"/>
              </w:rPr>
            </w:pPr>
            <w:r w:rsidRPr="00C6165A">
              <w:rPr>
                <w:sz w:val="22"/>
                <w:szCs w:val="22"/>
              </w:rPr>
              <w:t>Nunca han parido</w:t>
            </w:r>
          </w:p>
        </w:tc>
        <w:tc>
          <w:tcPr>
            <w:tcW w:w="1955" w:type="dxa"/>
            <w:shd w:val="clear" w:color="auto" w:fill="auto"/>
            <w:noWrap/>
            <w:vAlign w:val="center"/>
            <w:hideMark/>
          </w:tcPr>
          <w:p w14:paraId="113F1A74" w14:textId="77777777" w:rsidR="00E15FD9" w:rsidRPr="00C6165A" w:rsidRDefault="00E15FD9" w:rsidP="00E15FD9">
            <w:pPr>
              <w:jc w:val="left"/>
              <w:rPr>
                <w:sz w:val="22"/>
                <w:szCs w:val="22"/>
              </w:rPr>
            </w:pPr>
            <w:r w:rsidRPr="00C6165A">
              <w:rPr>
                <w:sz w:val="22"/>
                <w:szCs w:val="22"/>
              </w:rPr>
              <w:t>No cubiertas</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68AD7" w14:textId="0E2090BA" w:rsidR="00E15FD9" w:rsidRPr="00C6165A" w:rsidRDefault="00E15FD9" w:rsidP="00E15FD9">
            <w:pPr>
              <w:jc w:val="center"/>
              <w:rPr>
                <w:sz w:val="22"/>
                <w:szCs w:val="22"/>
              </w:rPr>
            </w:pPr>
            <w:r w:rsidRPr="00C6165A">
              <w:rPr>
                <w:sz w:val="22"/>
                <w:szCs w:val="22"/>
              </w:rPr>
              <w:t>1.164</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73692482" w14:textId="4C53C2F8" w:rsidR="00E15FD9" w:rsidRPr="00C6165A" w:rsidRDefault="00E15FD9" w:rsidP="00E15FD9">
            <w:pPr>
              <w:jc w:val="center"/>
              <w:rPr>
                <w:sz w:val="22"/>
                <w:szCs w:val="22"/>
              </w:rPr>
            </w:pPr>
            <w:r w:rsidRPr="00C6165A">
              <w:rPr>
                <w:sz w:val="22"/>
                <w:szCs w:val="22"/>
              </w:rPr>
              <w:t>1.158</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23AA773B" w14:textId="2A929894" w:rsidR="00E15FD9" w:rsidRPr="00C6165A" w:rsidRDefault="00E15FD9" w:rsidP="00E15FD9">
            <w:pPr>
              <w:jc w:val="center"/>
              <w:rPr>
                <w:sz w:val="22"/>
                <w:szCs w:val="22"/>
              </w:rPr>
            </w:pPr>
            <w:r w:rsidRPr="00C6165A">
              <w:rPr>
                <w:sz w:val="22"/>
                <w:szCs w:val="22"/>
              </w:rPr>
              <w:t>-0,5%</w:t>
            </w:r>
          </w:p>
        </w:tc>
      </w:tr>
      <w:tr w:rsidR="00C6165A" w:rsidRPr="00C6165A" w14:paraId="25A241CC" w14:textId="77777777" w:rsidTr="00E15FD9">
        <w:trPr>
          <w:trHeight w:val="300"/>
          <w:jc w:val="center"/>
        </w:trPr>
        <w:tc>
          <w:tcPr>
            <w:tcW w:w="1413" w:type="dxa"/>
            <w:vMerge/>
            <w:shd w:val="clear" w:color="auto" w:fill="auto"/>
            <w:vAlign w:val="center"/>
            <w:hideMark/>
          </w:tcPr>
          <w:p w14:paraId="48DDC58E" w14:textId="77777777" w:rsidR="00E15FD9" w:rsidRPr="00C6165A" w:rsidRDefault="00E15FD9" w:rsidP="00E15FD9">
            <w:pPr>
              <w:jc w:val="left"/>
              <w:rPr>
                <w:sz w:val="22"/>
                <w:szCs w:val="22"/>
              </w:rPr>
            </w:pPr>
          </w:p>
        </w:tc>
        <w:tc>
          <w:tcPr>
            <w:tcW w:w="1276" w:type="dxa"/>
            <w:vMerge/>
            <w:shd w:val="clear" w:color="auto" w:fill="auto"/>
            <w:vAlign w:val="center"/>
            <w:hideMark/>
          </w:tcPr>
          <w:p w14:paraId="7EF0C740" w14:textId="77777777" w:rsidR="00E15FD9" w:rsidRPr="00C6165A" w:rsidRDefault="00E15FD9" w:rsidP="00E15FD9">
            <w:pPr>
              <w:jc w:val="left"/>
              <w:rPr>
                <w:sz w:val="22"/>
                <w:szCs w:val="22"/>
              </w:rPr>
            </w:pPr>
          </w:p>
        </w:tc>
        <w:tc>
          <w:tcPr>
            <w:tcW w:w="1955" w:type="dxa"/>
            <w:shd w:val="clear" w:color="auto" w:fill="auto"/>
            <w:noWrap/>
            <w:vAlign w:val="center"/>
            <w:hideMark/>
          </w:tcPr>
          <w:p w14:paraId="7618ED50" w14:textId="77777777" w:rsidR="00E15FD9" w:rsidRPr="00C6165A" w:rsidRDefault="00E15FD9" w:rsidP="00E15FD9">
            <w:pPr>
              <w:jc w:val="left"/>
              <w:rPr>
                <w:sz w:val="22"/>
                <w:szCs w:val="22"/>
              </w:rPr>
            </w:pPr>
            <w:r w:rsidRPr="00C6165A">
              <w:rPr>
                <w:sz w:val="22"/>
                <w:szCs w:val="22"/>
              </w:rPr>
              <w:t>Cubiertas 1ª vez</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5551B10" w14:textId="344AF9F5" w:rsidR="00E15FD9" w:rsidRPr="00C6165A" w:rsidRDefault="00E15FD9" w:rsidP="00E15FD9">
            <w:pPr>
              <w:jc w:val="center"/>
              <w:rPr>
                <w:sz w:val="22"/>
                <w:szCs w:val="22"/>
              </w:rPr>
            </w:pPr>
            <w:r w:rsidRPr="00C6165A">
              <w:rPr>
                <w:sz w:val="22"/>
                <w:szCs w:val="22"/>
              </w:rPr>
              <w:t>5.544</w:t>
            </w:r>
          </w:p>
        </w:tc>
        <w:tc>
          <w:tcPr>
            <w:tcW w:w="1000" w:type="dxa"/>
            <w:tcBorders>
              <w:top w:val="nil"/>
              <w:left w:val="nil"/>
              <w:bottom w:val="single" w:sz="4" w:space="0" w:color="auto"/>
              <w:right w:val="single" w:sz="4" w:space="0" w:color="auto"/>
            </w:tcBorders>
            <w:shd w:val="clear" w:color="auto" w:fill="auto"/>
            <w:noWrap/>
            <w:vAlign w:val="center"/>
          </w:tcPr>
          <w:p w14:paraId="1CFBF82D" w14:textId="1BA2982A" w:rsidR="00E15FD9" w:rsidRPr="00C6165A" w:rsidRDefault="00E15FD9" w:rsidP="00E15FD9">
            <w:pPr>
              <w:jc w:val="center"/>
              <w:rPr>
                <w:sz w:val="22"/>
                <w:szCs w:val="22"/>
              </w:rPr>
            </w:pPr>
            <w:r w:rsidRPr="00C6165A">
              <w:rPr>
                <w:sz w:val="22"/>
                <w:szCs w:val="22"/>
              </w:rPr>
              <w:t>5.468</w:t>
            </w:r>
          </w:p>
        </w:tc>
        <w:tc>
          <w:tcPr>
            <w:tcW w:w="1573" w:type="dxa"/>
            <w:tcBorders>
              <w:top w:val="nil"/>
              <w:left w:val="nil"/>
              <w:bottom w:val="single" w:sz="4" w:space="0" w:color="auto"/>
              <w:right w:val="single" w:sz="4" w:space="0" w:color="auto"/>
            </w:tcBorders>
            <w:shd w:val="clear" w:color="auto" w:fill="auto"/>
            <w:noWrap/>
            <w:vAlign w:val="center"/>
          </w:tcPr>
          <w:p w14:paraId="096C9524" w14:textId="1BB43111" w:rsidR="00E15FD9" w:rsidRPr="00C6165A" w:rsidRDefault="00E15FD9" w:rsidP="00E15FD9">
            <w:pPr>
              <w:jc w:val="center"/>
              <w:rPr>
                <w:sz w:val="22"/>
                <w:szCs w:val="22"/>
              </w:rPr>
            </w:pPr>
            <w:r w:rsidRPr="00C6165A">
              <w:rPr>
                <w:sz w:val="22"/>
                <w:szCs w:val="22"/>
              </w:rPr>
              <w:t>-1,4%</w:t>
            </w:r>
          </w:p>
        </w:tc>
      </w:tr>
      <w:tr w:rsidR="00C6165A" w:rsidRPr="00C6165A" w14:paraId="45BE0598" w14:textId="77777777" w:rsidTr="00E15FD9">
        <w:trPr>
          <w:trHeight w:val="300"/>
          <w:jc w:val="center"/>
        </w:trPr>
        <w:tc>
          <w:tcPr>
            <w:tcW w:w="1413" w:type="dxa"/>
            <w:vMerge/>
            <w:shd w:val="clear" w:color="auto" w:fill="auto"/>
            <w:vAlign w:val="center"/>
            <w:hideMark/>
          </w:tcPr>
          <w:p w14:paraId="5CC30008" w14:textId="77777777" w:rsidR="00E15FD9" w:rsidRPr="00C6165A" w:rsidRDefault="00E15FD9" w:rsidP="00E15FD9">
            <w:pPr>
              <w:jc w:val="left"/>
              <w:rPr>
                <w:sz w:val="22"/>
                <w:szCs w:val="22"/>
              </w:rPr>
            </w:pPr>
          </w:p>
        </w:tc>
        <w:tc>
          <w:tcPr>
            <w:tcW w:w="1276" w:type="dxa"/>
            <w:vMerge w:val="restart"/>
            <w:shd w:val="clear" w:color="auto" w:fill="auto"/>
            <w:noWrap/>
            <w:vAlign w:val="center"/>
            <w:hideMark/>
          </w:tcPr>
          <w:p w14:paraId="3FE51357" w14:textId="102A0733" w:rsidR="00E15FD9" w:rsidRPr="00C6165A" w:rsidRDefault="00E15FD9" w:rsidP="00E15FD9">
            <w:pPr>
              <w:jc w:val="left"/>
              <w:rPr>
                <w:sz w:val="22"/>
                <w:szCs w:val="22"/>
              </w:rPr>
            </w:pPr>
            <w:r w:rsidRPr="00C6165A">
              <w:rPr>
                <w:sz w:val="22"/>
                <w:szCs w:val="22"/>
              </w:rPr>
              <w:t>Que ya han parido</w:t>
            </w:r>
          </w:p>
        </w:tc>
        <w:tc>
          <w:tcPr>
            <w:tcW w:w="1955" w:type="dxa"/>
            <w:shd w:val="clear" w:color="auto" w:fill="auto"/>
            <w:noWrap/>
            <w:vAlign w:val="center"/>
            <w:hideMark/>
          </w:tcPr>
          <w:p w14:paraId="5223C1AD" w14:textId="77777777" w:rsidR="00E15FD9" w:rsidRPr="00C6165A" w:rsidRDefault="00E15FD9" w:rsidP="00E15FD9">
            <w:pPr>
              <w:jc w:val="left"/>
              <w:rPr>
                <w:sz w:val="22"/>
                <w:szCs w:val="22"/>
              </w:rPr>
            </w:pPr>
            <w:r w:rsidRPr="00C6165A">
              <w:rPr>
                <w:sz w:val="22"/>
                <w:szCs w:val="22"/>
              </w:rPr>
              <w:t>Ordeño</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9F838" w14:textId="4D7306C6" w:rsidR="00E15FD9" w:rsidRPr="00C6165A" w:rsidRDefault="00E15FD9" w:rsidP="00E15FD9">
            <w:pPr>
              <w:jc w:val="center"/>
              <w:rPr>
                <w:sz w:val="22"/>
                <w:szCs w:val="22"/>
              </w:rPr>
            </w:pPr>
            <w:r w:rsidRPr="00C6165A">
              <w:rPr>
                <w:sz w:val="22"/>
                <w:szCs w:val="22"/>
              </w:rPr>
              <w:t>79.107</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1F44452D" w14:textId="29CE686D" w:rsidR="00E15FD9" w:rsidRPr="00C6165A" w:rsidRDefault="00E15FD9" w:rsidP="00E15FD9">
            <w:pPr>
              <w:jc w:val="center"/>
              <w:rPr>
                <w:sz w:val="22"/>
                <w:szCs w:val="22"/>
              </w:rPr>
            </w:pPr>
            <w:r w:rsidRPr="00C6165A">
              <w:rPr>
                <w:sz w:val="22"/>
                <w:szCs w:val="22"/>
              </w:rPr>
              <w:t>79.083</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191E981B" w14:textId="539E3AB7" w:rsidR="00E15FD9" w:rsidRPr="00C6165A" w:rsidRDefault="00E15FD9" w:rsidP="00E15FD9">
            <w:pPr>
              <w:jc w:val="center"/>
              <w:rPr>
                <w:sz w:val="22"/>
                <w:szCs w:val="22"/>
              </w:rPr>
            </w:pPr>
            <w:r w:rsidRPr="00C6165A">
              <w:rPr>
                <w:sz w:val="22"/>
                <w:szCs w:val="22"/>
              </w:rPr>
              <w:t>0%</w:t>
            </w:r>
          </w:p>
        </w:tc>
      </w:tr>
      <w:tr w:rsidR="00C6165A" w:rsidRPr="00C6165A" w14:paraId="080701B6" w14:textId="77777777" w:rsidTr="00E15FD9">
        <w:trPr>
          <w:trHeight w:val="300"/>
          <w:jc w:val="center"/>
        </w:trPr>
        <w:tc>
          <w:tcPr>
            <w:tcW w:w="1413" w:type="dxa"/>
            <w:vMerge/>
            <w:shd w:val="clear" w:color="auto" w:fill="auto"/>
            <w:vAlign w:val="center"/>
            <w:hideMark/>
          </w:tcPr>
          <w:p w14:paraId="25E9847E" w14:textId="77777777" w:rsidR="00E15FD9" w:rsidRPr="00C6165A" w:rsidRDefault="00E15FD9" w:rsidP="00E15FD9">
            <w:pPr>
              <w:jc w:val="left"/>
              <w:rPr>
                <w:sz w:val="22"/>
                <w:szCs w:val="22"/>
              </w:rPr>
            </w:pPr>
          </w:p>
        </w:tc>
        <w:tc>
          <w:tcPr>
            <w:tcW w:w="1276" w:type="dxa"/>
            <w:vMerge/>
            <w:shd w:val="clear" w:color="auto" w:fill="auto"/>
            <w:vAlign w:val="bottom"/>
            <w:hideMark/>
          </w:tcPr>
          <w:p w14:paraId="0A8C9B4F" w14:textId="77777777" w:rsidR="00E15FD9" w:rsidRPr="00C6165A" w:rsidRDefault="00E15FD9" w:rsidP="00E15FD9">
            <w:pPr>
              <w:jc w:val="left"/>
              <w:rPr>
                <w:sz w:val="22"/>
                <w:szCs w:val="22"/>
              </w:rPr>
            </w:pPr>
          </w:p>
        </w:tc>
        <w:tc>
          <w:tcPr>
            <w:tcW w:w="1955" w:type="dxa"/>
            <w:shd w:val="clear" w:color="auto" w:fill="auto"/>
            <w:noWrap/>
            <w:vAlign w:val="center"/>
            <w:hideMark/>
          </w:tcPr>
          <w:p w14:paraId="4F2EEEC1" w14:textId="77777777" w:rsidR="00E15FD9" w:rsidRPr="00C6165A" w:rsidRDefault="00E15FD9" w:rsidP="00E15FD9">
            <w:pPr>
              <w:jc w:val="left"/>
              <w:rPr>
                <w:sz w:val="22"/>
                <w:szCs w:val="22"/>
              </w:rPr>
            </w:pPr>
            <w:r w:rsidRPr="00C6165A">
              <w:rPr>
                <w:sz w:val="22"/>
                <w:szCs w:val="22"/>
              </w:rPr>
              <w:t>No ordeño</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68A3FC6" w14:textId="066E380D" w:rsidR="00E15FD9" w:rsidRPr="00C6165A" w:rsidRDefault="00E15FD9" w:rsidP="00E15FD9">
            <w:pPr>
              <w:jc w:val="center"/>
              <w:rPr>
                <w:sz w:val="22"/>
                <w:szCs w:val="22"/>
              </w:rPr>
            </w:pPr>
            <w:r w:rsidRPr="00C6165A">
              <w:rPr>
                <w:sz w:val="22"/>
                <w:szCs w:val="22"/>
              </w:rPr>
              <w:t>30.723</w:t>
            </w:r>
          </w:p>
        </w:tc>
        <w:tc>
          <w:tcPr>
            <w:tcW w:w="1000" w:type="dxa"/>
            <w:tcBorders>
              <w:top w:val="nil"/>
              <w:left w:val="nil"/>
              <w:bottom w:val="single" w:sz="4" w:space="0" w:color="auto"/>
              <w:right w:val="single" w:sz="4" w:space="0" w:color="auto"/>
            </w:tcBorders>
            <w:shd w:val="clear" w:color="auto" w:fill="auto"/>
            <w:noWrap/>
            <w:vAlign w:val="center"/>
          </w:tcPr>
          <w:p w14:paraId="10BD6AB8" w14:textId="2BCE0886" w:rsidR="00E15FD9" w:rsidRPr="00C6165A" w:rsidRDefault="00E15FD9" w:rsidP="00E15FD9">
            <w:pPr>
              <w:jc w:val="center"/>
              <w:rPr>
                <w:sz w:val="22"/>
                <w:szCs w:val="22"/>
              </w:rPr>
            </w:pPr>
            <w:r w:rsidRPr="00C6165A">
              <w:rPr>
                <w:sz w:val="22"/>
                <w:szCs w:val="22"/>
              </w:rPr>
              <w:t>29.969</w:t>
            </w:r>
          </w:p>
        </w:tc>
        <w:tc>
          <w:tcPr>
            <w:tcW w:w="1573" w:type="dxa"/>
            <w:tcBorders>
              <w:top w:val="nil"/>
              <w:left w:val="nil"/>
              <w:bottom w:val="single" w:sz="4" w:space="0" w:color="auto"/>
              <w:right w:val="single" w:sz="4" w:space="0" w:color="auto"/>
            </w:tcBorders>
            <w:shd w:val="clear" w:color="auto" w:fill="auto"/>
            <w:noWrap/>
            <w:vAlign w:val="center"/>
          </w:tcPr>
          <w:p w14:paraId="4DB3DBE0" w14:textId="233F4AD8" w:rsidR="00E15FD9" w:rsidRPr="00C6165A" w:rsidRDefault="00E15FD9" w:rsidP="00E15FD9">
            <w:pPr>
              <w:jc w:val="center"/>
              <w:rPr>
                <w:sz w:val="22"/>
                <w:szCs w:val="22"/>
              </w:rPr>
            </w:pPr>
            <w:r w:rsidRPr="00C6165A">
              <w:rPr>
                <w:sz w:val="22"/>
                <w:szCs w:val="22"/>
              </w:rPr>
              <w:t>-2,5%</w:t>
            </w:r>
          </w:p>
        </w:tc>
      </w:tr>
    </w:tbl>
    <w:p w14:paraId="7E331FC0" w14:textId="77777777" w:rsidR="00CB5999" w:rsidRPr="00C6165A" w:rsidRDefault="00CB5999" w:rsidP="00CB5999">
      <w:pPr>
        <w:jc w:val="center"/>
        <w:rPr>
          <w:sz w:val="16"/>
          <w:szCs w:val="16"/>
        </w:rPr>
      </w:pPr>
      <w:r w:rsidRPr="00C6165A">
        <w:rPr>
          <w:sz w:val="16"/>
          <w:szCs w:val="16"/>
        </w:rPr>
        <w:t>Fuente: Elaboración propia a partir de las encuestas ganaderas del Ministerio de Agricultura, Pesca y Alimentación</w:t>
      </w:r>
    </w:p>
    <w:p w14:paraId="1F93FA20" w14:textId="77777777" w:rsidR="00AA49C3" w:rsidRPr="00C6165A" w:rsidRDefault="00AA49C3" w:rsidP="00AA49C3"/>
    <w:p w14:paraId="0AEF6AF4" w14:textId="5DC9BA1F" w:rsidR="00AA49C3" w:rsidRPr="00C6165A" w:rsidRDefault="00AA49C3" w:rsidP="00AA49C3">
      <w:r w:rsidRPr="00C6165A">
        <w:t xml:space="preserve">De la </w:t>
      </w:r>
      <w:r w:rsidRPr="00C6165A">
        <w:rPr>
          <w:b/>
          <w:bCs/>
        </w:rPr>
        <w:t>especie porcina</w:t>
      </w:r>
      <w:r w:rsidRPr="00C6165A">
        <w:t xml:space="preserve">, el Ministerio censó en mayo de </w:t>
      </w:r>
      <w:r w:rsidR="006D4BB3" w:rsidRPr="00C6165A">
        <w:t>202</w:t>
      </w:r>
      <w:r w:rsidR="0061219E" w:rsidRPr="00C6165A">
        <w:t>2</w:t>
      </w:r>
      <w:r w:rsidRPr="00C6165A">
        <w:t xml:space="preserve"> un total de </w:t>
      </w:r>
      <w:r w:rsidR="006C327D" w:rsidRPr="00C6165A">
        <w:rPr>
          <w:bCs/>
        </w:rPr>
        <w:t>4.</w:t>
      </w:r>
      <w:r w:rsidR="0061219E" w:rsidRPr="00C6165A">
        <w:rPr>
          <w:bCs/>
        </w:rPr>
        <w:t>502</w:t>
      </w:r>
      <w:r w:rsidR="006C327D" w:rsidRPr="00C6165A">
        <w:rPr>
          <w:bCs/>
        </w:rPr>
        <w:t>.</w:t>
      </w:r>
      <w:r w:rsidR="0061219E" w:rsidRPr="00C6165A">
        <w:rPr>
          <w:bCs/>
        </w:rPr>
        <w:t>20</w:t>
      </w:r>
      <w:r w:rsidR="006C327D" w:rsidRPr="00C6165A">
        <w:rPr>
          <w:bCs/>
        </w:rPr>
        <w:t xml:space="preserve">5 </w:t>
      </w:r>
      <w:r w:rsidRPr="00C6165A">
        <w:rPr>
          <w:bCs/>
        </w:rPr>
        <w:t xml:space="preserve">animales, que supone un </w:t>
      </w:r>
      <w:r w:rsidR="006C327D" w:rsidRPr="00C6165A">
        <w:rPr>
          <w:bCs/>
        </w:rPr>
        <w:t>incremento</w:t>
      </w:r>
      <w:r w:rsidRPr="00C6165A">
        <w:rPr>
          <w:bCs/>
        </w:rPr>
        <w:t xml:space="preserve"> de </w:t>
      </w:r>
      <w:r w:rsidR="006C327D" w:rsidRPr="00C6165A">
        <w:rPr>
          <w:bCs/>
        </w:rPr>
        <w:t xml:space="preserve">más de </w:t>
      </w:r>
      <w:r w:rsidR="0061219E" w:rsidRPr="00C6165A">
        <w:rPr>
          <w:bCs/>
        </w:rPr>
        <w:t>78.690</w:t>
      </w:r>
      <w:r w:rsidR="00CB6C8D" w:rsidRPr="00C6165A">
        <w:rPr>
          <w:bCs/>
        </w:rPr>
        <w:t xml:space="preserve"> </w:t>
      </w:r>
      <w:r w:rsidRPr="00C6165A">
        <w:rPr>
          <w:bCs/>
        </w:rPr>
        <w:t xml:space="preserve">cabezas en comparación con </w:t>
      </w:r>
      <w:r w:rsidR="006C327D" w:rsidRPr="00C6165A">
        <w:rPr>
          <w:bCs/>
        </w:rPr>
        <w:t>202</w:t>
      </w:r>
      <w:r w:rsidR="0061219E" w:rsidRPr="00C6165A">
        <w:rPr>
          <w:bCs/>
        </w:rPr>
        <w:t>1</w:t>
      </w:r>
      <w:r w:rsidRPr="00C6165A">
        <w:t>.</w:t>
      </w:r>
      <w:r w:rsidR="0075547C" w:rsidRPr="00C6165A">
        <w:t xml:space="preserve"> </w:t>
      </w:r>
      <w:r w:rsidR="00CB6C8D" w:rsidRPr="00C6165A">
        <w:rPr>
          <w:bCs/>
        </w:rPr>
        <w:t>Castilla y León es la tercera región</w:t>
      </w:r>
      <w:r w:rsidR="00CB6C8D" w:rsidRPr="00C6165A">
        <w:t xml:space="preserve"> de España en censo de porcino, con el 13,</w:t>
      </w:r>
      <w:r w:rsidR="0037566C" w:rsidRPr="00C6165A">
        <w:t>83</w:t>
      </w:r>
      <w:r w:rsidR="00154C4C" w:rsidRPr="00C6165A">
        <w:t>%</w:t>
      </w:r>
      <w:r w:rsidR="00CB6C8D" w:rsidRPr="00C6165A">
        <w:t xml:space="preserve"> del total</w:t>
      </w:r>
      <w:r w:rsidR="00E31C2F" w:rsidRPr="00C6165A">
        <w:t xml:space="preserve"> nacional (</w:t>
      </w:r>
      <w:r w:rsidR="006C327D" w:rsidRPr="00C6165A">
        <w:t>32.</w:t>
      </w:r>
      <w:r w:rsidR="0037566C" w:rsidRPr="00C6165A">
        <w:t>552.596</w:t>
      </w:r>
      <w:r w:rsidR="006C327D" w:rsidRPr="00C6165A">
        <w:t xml:space="preserve"> </w:t>
      </w:r>
      <w:r w:rsidR="00E31C2F" w:rsidRPr="00C6165A">
        <w:t>animales)</w:t>
      </w:r>
      <w:r w:rsidR="00CB6C8D" w:rsidRPr="00C6165A">
        <w:t>, por detrás de Aragón</w:t>
      </w:r>
      <w:r w:rsidR="00E31C2F" w:rsidRPr="00C6165A">
        <w:t xml:space="preserve"> (</w:t>
      </w:r>
      <w:r w:rsidR="006C327D" w:rsidRPr="00C6165A">
        <w:t>9.2</w:t>
      </w:r>
      <w:r w:rsidR="0037566C" w:rsidRPr="00C6165A">
        <w:t>13</w:t>
      </w:r>
      <w:r w:rsidR="006C327D" w:rsidRPr="00C6165A">
        <w:t>.</w:t>
      </w:r>
      <w:r w:rsidR="0037566C" w:rsidRPr="00C6165A">
        <w:t>411</w:t>
      </w:r>
      <w:r w:rsidR="006C327D" w:rsidRPr="00C6165A">
        <w:t xml:space="preserve"> </w:t>
      </w:r>
      <w:r w:rsidR="00E31C2F" w:rsidRPr="00C6165A">
        <w:t>animales)</w:t>
      </w:r>
      <w:r w:rsidR="00CB6C8D" w:rsidRPr="00C6165A">
        <w:t xml:space="preserve"> y Cataluña</w:t>
      </w:r>
      <w:r w:rsidR="00E31C2F" w:rsidRPr="00C6165A">
        <w:t xml:space="preserve"> (</w:t>
      </w:r>
      <w:r w:rsidR="006C327D" w:rsidRPr="00C6165A">
        <w:t>7.</w:t>
      </w:r>
      <w:r w:rsidR="0037566C" w:rsidRPr="00C6165A">
        <w:t>648</w:t>
      </w:r>
      <w:r w:rsidR="006C327D" w:rsidRPr="00C6165A">
        <w:t>.</w:t>
      </w:r>
      <w:r w:rsidR="0037566C" w:rsidRPr="00C6165A">
        <w:t>058</w:t>
      </w:r>
      <w:r w:rsidR="006C327D" w:rsidRPr="00C6165A">
        <w:t xml:space="preserve"> </w:t>
      </w:r>
      <w:r w:rsidR="00E31C2F" w:rsidRPr="00C6165A">
        <w:t>animales)</w:t>
      </w:r>
      <w:r w:rsidR="00CB6C8D" w:rsidRPr="00C6165A">
        <w:t xml:space="preserve">. </w:t>
      </w:r>
      <w:r w:rsidR="0075547C" w:rsidRPr="00C6165A">
        <w:t xml:space="preserve">En este censo están incluidas las </w:t>
      </w:r>
      <w:r w:rsidR="004B65E5" w:rsidRPr="00C6165A">
        <w:t>1.</w:t>
      </w:r>
      <w:r w:rsidR="0037566C" w:rsidRPr="00C6165A">
        <w:t>055.914</w:t>
      </w:r>
      <w:r w:rsidR="004B65E5" w:rsidRPr="00C6165A">
        <w:t xml:space="preserve"> </w:t>
      </w:r>
      <w:r w:rsidR="0075547C" w:rsidRPr="00C6165A">
        <w:t>cabezas de porcino ibérico que tiene nuestra región</w:t>
      </w:r>
      <w:r w:rsidR="00CB6C8D" w:rsidRPr="00C6165A">
        <w:t xml:space="preserve">, donde se ha experimentado un </w:t>
      </w:r>
      <w:r w:rsidR="004B65E5" w:rsidRPr="00C6165A">
        <w:t>incremento</w:t>
      </w:r>
      <w:r w:rsidR="00CB6C8D" w:rsidRPr="00C6165A">
        <w:t xml:space="preserve"> </w:t>
      </w:r>
      <w:r w:rsidR="002C44C9" w:rsidRPr="00C6165A">
        <w:t>del</w:t>
      </w:r>
      <w:r w:rsidR="00CB6C8D" w:rsidRPr="00C6165A">
        <w:t xml:space="preserve"> </w:t>
      </w:r>
      <w:r w:rsidR="0037566C" w:rsidRPr="00C6165A">
        <w:t>4,48</w:t>
      </w:r>
      <w:r w:rsidR="00154C4C" w:rsidRPr="00C6165A">
        <w:t>%</w:t>
      </w:r>
      <w:r w:rsidR="00CB6C8D" w:rsidRPr="00C6165A">
        <w:t xml:space="preserve"> en el último año, siendo la </w:t>
      </w:r>
      <w:r w:rsidR="004B65E5" w:rsidRPr="00C6165A">
        <w:t>segunda</w:t>
      </w:r>
      <w:r w:rsidR="00CB6C8D" w:rsidRPr="00C6165A">
        <w:t xml:space="preserve"> región en número de animales por detrás de Extremadura,</w:t>
      </w:r>
      <w:r w:rsidR="00511215" w:rsidRPr="00C6165A">
        <w:t xml:space="preserve"> que tiene</w:t>
      </w:r>
      <w:r w:rsidR="00CB6C8D" w:rsidRPr="00C6165A">
        <w:t xml:space="preserve"> el </w:t>
      </w:r>
      <w:r w:rsidR="0037566C" w:rsidRPr="00C6165A">
        <w:t>34,73</w:t>
      </w:r>
      <w:r w:rsidR="00154C4C" w:rsidRPr="00C6165A">
        <w:t>%</w:t>
      </w:r>
      <w:r w:rsidR="00CB6C8D" w:rsidRPr="00C6165A">
        <w:t xml:space="preserve"> del total nacional de cerdo ibérico.</w:t>
      </w:r>
    </w:p>
    <w:p w14:paraId="1DE6D781" w14:textId="77777777" w:rsidR="00AA49C3" w:rsidRPr="00C6165A" w:rsidRDefault="00AA49C3" w:rsidP="00AA49C3"/>
    <w:p w14:paraId="3BE62091" w14:textId="7851A9A8" w:rsidR="00AA49C3" w:rsidRPr="00C6165A" w:rsidRDefault="00AA49C3" w:rsidP="00AA49C3">
      <w:pPr>
        <w:spacing w:after="120"/>
      </w:pPr>
      <w:r w:rsidRPr="00C6165A">
        <w:t>En la tabla siguiente se puede ver el censo y la evolución por tipo de ganado:</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091"/>
        <w:gridCol w:w="2456"/>
        <w:gridCol w:w="1195"/>
        <w:gridCol w:w="1195"/>
        <w:gridCol w:w="1207"/>
      </w:tblGrid>
      <w:tr w:rsidR="00C6165A" w:rsidRPr="00C6165A" w14:paraId="78B8E502" w14:textId="77777777" w:rsidTr="00DC4F14">
        <w:trPr>
          <w:trHeight w:val="290"/>
          <w:jc w:val="center"/>
        </w:trPr>
        <w:tc>
          <w:tcPr>
            <w:tcW w:w="5062" w:type="dxa"/>
            <w:gridSpan w:val="3"/>
            <w:tcBorders>
              <w:top w:val="nil"/>
              <w:left w:val="nil"/>
            </w:tcBorders>
            <w:shd w:val="clear" w:color="auto" w:fill="auto"/>
            <w:noWrap/>
            <w:vAlign w:val="center"/>
            <w:hideMark/>
          </w:tcPr>
          <w:p w14:paraId="067C3711" w14:textId="77777777" w:rsidR="004B65E5" w:rsidRPr="00C6165A" w:rsidRDefault="004B65E5" w:rsidP="004B65E5">
            <w:pPr>
              <w:jc w:val="center"/>
              <w:rPr>
                <w:sz w:val="22"/>
                <w:szCs w:val="22"/>
              </w:rPr>
            </w:pPr>
          </w:p>
        </w:tc>
        <w:tc>
          <w:tcPr>
            <w:tcW w:w="1150" w:type="dxa"/>
            <w:shd w:val="clear" w:color="auto" w:fill="auto"/>
            <w:noWrap/>
            <w:vAlign w:val="center"/>
            <w:hideMark/>
          </w:tcPr>
          <w:p w14:paraId="6659393A" w14:textId="5251367B" w:rsidR="004B65E5" w:rsidRPr="00C6165A" w:rsidRDefault="004B65E5" w:rsidP="004B65E5">
            <w:pPr>
              <w:jc w:val="center"/>
              <w:rPr>
                <w:b/>
                <w:bCs/>
                <w:sz w:val="22"/>
                <w:szCs w:val="22"/>
              </w:rPr>
            </w:pPr>
            <w:r w:rsidRPr="00C6165A">
              <w:rPr>
                <w:b/>
                <w:bCs/>
                <w:sz w:val="22"/>
                <w:szCs w:val="22"/>
              </w:rPr>
              <w:t>2020</w:t>
            </w:r>
          </w:p>
        </w:tc>
        <w:tc>
          <w:tcPr>
            <w:tcW w:w="1150" w:type="dxa"/>
            <w:shd w:val="clear" w:color="auto" w:fill="auto"/>
            <w:noWrap/>
            <w:vAlign w:val="center"/>
            <w:hideMark/>
          </w:tcPr>
          <w:p w14:paraId="07F54CCD" w14:textId="16C55572" w:rsidR="004B65E5" w:rsidRPr="00C6165A" w:rsidRDefault="004B65E5" w:rsidP="004B65E5">
            <w:pPr>
              <w:jc w:val="center"/>
              <w:rPr>
                <w:b/>
                <w:bCs/>
                <w:sz w:val="22"/>
                <w:szCs w:val="22"/>
              </w:rPr>
            </w:pPr>
            <w:r w:rsidRPr="00C6165A">
              <w:rPr>
                <w:b/>
                <w:bCs/>
                <w:sz w:val="22"/>
                <w:szCs w:val="22"/>
              </w:rPr>
              <w:t>202</w:t>
            </w:r>
            <w:r w:rsidR="00711CED" w:rsidRPr="00C6165A">
              <w:rPr>
                <w:b/>
                <w:bCs/>
                <w:sz w:val="22"/>
                <w:szCs w:val="22"/>
              </w:rPr>
              <w:t>1</w:t>
            </w:r>
          </w:p>
        </w:tc>
        <w:tc>
          <w:tcPr>
            <w:tcW w:w="1161" w:type="dxa"/>
            <w:shd w:val="clear" w:color="auto" w:fill="auto"/>
            <w:noWrap/>
            <w:vAlign w:val="center"/>
            <w:hideMark/>
          </w:tcPr>
          <w:p w14:paraId="68900912" w14:textId="77777777" w:rsidR="004B65E5" w:rsidRPr="00C6165A" w:rsidRDefault="004B65E5" w:rsidP="004B65E5">
            <w:pPr>
              <w:jc w:val="center"/>
              <w:rPr>
                <w:b/>
                <w:bCs/>
                <w:sz w:val="22"/>
                <w:szCs w:val="22"/>
              </w:rPr>
            </w:pPr>
            <w:r w:rsidRPr="00C6165A">
              <w:rPr>
                <w:b/>
                <w:bCs/>
                <w:sz w:val="22"/>
                <w:szCs w:val="22"/>
              </w:rPr>
              <w:t>Variación (%)</w:t>
            </w:r>
          </w:p>
        </w:tc>
      </w:tr>
      <w:tr w:rsidR="00C6165A" w:rsidRPr="00C6165A" w14:paraId="63CF814B" w14:textId="77777777" w:rsidTr="00DC4F14">
        <w:trPr>
          <w:trHeight w:val="290"/>
          <w:jc w:val="center"/>
        </w:trPr>
        <w:tc>
          <w:tcPr>
            <w:tcW w:w="5062" w:type="dxa"/>
            <w:gridSpan w:val="3"/>
            <w:shd w:val="clear" w:color="auto" w:fill="auto"/>
            <w:noWrap/>
            <w:vAlign w:val="center"/>
            <w:hideMark/>
          </w:tcPr>
          <w:p w14:paraId="68366606" w14:textId="77777777" w:rsidR="00C12A4D" w:rsidRPr="00C6165A" w:rsidRDefault="00C12A4D" w:rsidP="00C12A4D">
            <w:pPr>
              <w:jc w:val="left"/>
              <w:rPr>
                <w:b/>
                <w:sz w:val="22"/>
                <w:szCs w:val="22"/>
              </w:rPr>
            </w:pPr>
            <w:r w:rsidRPr="00C6165A">
              <w:rPr>
                <w:b/>
                <w:sz w:val="22"/>
                <w:szCs w:val="22"/>
              </w:rPr>
              <w:t>Total</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4EE64" w14:textId="2BB47DDD" w:rsidR="00C12A4D" w:rsidRPr="00C6165A" w:rsidRDefault="00C12A4D" w:rsidP="00C12A4D">
            <w:pPr>
              <w:jc w:val="center"/>
              <w:rPr>
                <w:b/>
                <w:bCs/>
                <w:sz w:val="22"/>
                <w:szCs w:val="22"/>
              </w:rPr>
            </w:pPr>
            <w:r w:rsidRPr="00C6165A">
              <w:rPr>
                <w:b/>
                <w:bCs/>
                <w:sz w:val="22"/>
                <w:szCs w:val="22"/>
              </w:rPr>
              <w:t>4.423.515</w:t>
            </w:r>
          </w:p>
        </w:tc>
        <w:tc>
          <w:tcPr>
            <w:tcW w:w="1150" w:type="dxa"/>
            <w:tcBorders>
              <w:top w:val="single" w:sz="4" w:space="0" w:color="auto"/>
              <w:left w:val="nil"/>
              <w:bottom w:val="single" w:sz="4" w:space="0" w:color="auto"/>
              <w:right w:val="single" w:sz="4" w:space="0" w:color="auto"/>
            </w:tcBorders>
            <w:shd w:val="clear" w:color="auto" w:fill="auto"/>
            <w:noWrap/>
            <w:vAlign w:val="center"/>
          </w:tcPr>
          <w:p w14:paraId="146A2F9F" w14:textId="7B81A8E8" w:rsidR="00C12A4D" w:rsidRPr="00C6165A" w:rsidRDefault="00C12A4D" w:rsidP="00C12A4D">
            <w:pPr>
              <w:jc w:val="center"/>
              <w:rPr>
                <w:b/>
                <w:bCs/>
                <w:sz w:val="22"/>
                <w:szCs w:val="22"/>
              </w:rPr>
            </w:pPr>
            <w:r w:rsidRPr="00C6165A">
              <w:rPr>
                <w:b/>
                <w:bCs/>
                <w:sz w:val="22"/>
                <w:szCs w:val="22"/>
              </w:rPr>
              <w:t>4.502.205</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48B1B091" w14:textId="2C941306" w:rsidR="00C12A4D" w:rsidRPr="00C6165A" w:rsidRDefault="00C12A4D" w:rsidP="00C12A4D">
            <w:pPr>
              <w:jc w:val="center"/>
              <w:rPr>
                <w:b/>
                <w:bCs/>
                <w:sz w:val="22"/>
                <w:szCs w:val="22"/>
              </w:rPr>
            </w:pPr>
            <w:r w:rsidRPr="00C6165A">
              <w:rPr>
                <w:b/>
                <w:bCs/>
                <w:sz w:val="22"/>
                <w:szCs w:val="22"/>
              </w:rPr>
              <w:t>1,78%</w:t>
            </w:r>
          </w:p>
        </w:tc>
      </w:tr>
      <w:tr w:rsidR="00C6165A" w:rsidRPr="00C6165A" w14:paraId="1655563C" w14:textId="77777777" w:rsidTr="00DC4F14">
        <w:trPr>
          <w:trHeight w:val="290"/>
          <w:jc w:val="center"/>
        </w:trPr>
        <w:tc>
          <w:tcPr>
            <w:tcW w:w="5062" w:type="dxa"/>
            <w:gridSpan w:val="3"/>
            <w:shd w:val="clear" w:color="auto" w:fill="auto"/>
            <w:noWrap/>
            <w:vAlign w:val="center"/>
            <w:hideMark/>
          </w:tcPr>
          <w:p w14:paraId="2A9FF330" w14:textId="77777777" w:rsidR="00711CED" w:rsidRPr="00C6165A" w:rsidRDefault="00711CED" w:rsidP="00711CED">
            <w:pPr>
              <w:jc w:val="left"/>
              <w:rPr>
                <w:sz w:val="22"/>
                <w:szCs w:val="22"/>
              </w:rPr>
            </w:pPr>
            <w:r w:rsidRPr="00C6165A">
              <w:rPr>
                <w:sz w:val="22"/>
                <w:szCs w:val="22"/>
              </w:rPr>
              <w:t>Lechones</w:t>
            </w:r>
          </w:p>
        </w:tc>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55414337" w14:textId="7E18AC7B" w:rsidR="00711CED" w:rsidRPr="00C6165A" w:rsidRDefault="00C12A4D" w:rsidP="00C12A4D">
            <w:pPr>
              <w:jc w:val="center"/>
              <w:rPr>
                <w:sz w:val="22"/>
                <w:szCs w:val="22"/>
              </w:rPr>
            </w:pPr>
            <w:r w:rsidRPr="00C6165A">
              <w:rPr>
                <w:sz w:val="22"/>
                <w:szCs w:val="22"/>
              </w:rPr>
              <w:t>1.248.684</w:t>
            </w:r>
          </w:p>
        </w:tc>
        <w:tc>
          <w:tcPr>
            <w:tcW w:w="1150" w:type="dxa"/>
            <w:tcBorders>
              <w:top w:val="nil"/>
              <w:left w:val="nil"/>
              <w:bottom w:val="single" w:sz="4" w:space="0" w:color="auto"/>
              <w:right w:val="single" w:sz="4" w:space="0" w:color="auto"/>
            </w:tcBorders>
            <w:shd w:val="clear" w:color="auto" w:fill="auto"/>
            <w:noWrap/>
            <w:vAlign w:val="center"/>
          </w:tcPr>
          <w:p w14:paraId="43BC7976" w14:textId="7FF3185E" w:rsidR="00711CED" w:rsidRPr="00C6165A" w:rsidRDefault="00C12A4D" w:rsidP="00C12A4D">
            <w:pPr>
              <w:jc w:val="center"/>
              <w:rPr>
                <w:sz w:val="22"/>
                <w:szCs w:val="22"/>
              </w:rPr>
            </w:pPr>
            <w:r w:rsidRPr="00C6165A">
              <w:rPr>
                <w:sz w:val="22"/>
                <w:szCs w:val="22"/>
              </w:rPr>
              <w:t>1.313.975</w:t>
            </w:r>
          </w:p>
        </w:tc>
        <w:tc>
          <w:tcPr>
            <w:tcW w:w="1161" w:type="dxa"/>
            <w:tcBorders>
              <w:top w:val="nil"/>
              <w:left w:val="nil"/>
              <w:bottom w:val="single" w:sz="4" w:space="0" w:color="auto"/>
              <w:right w:val="single" w:sz="4" w:space="0" w:color="auto"/>
            </w:tcBorders>
            <w:shd w:val="clear" w:color="auto" w:fill="auto"/>
            <w:noWrap/>
            <w:vAlign w:val="center"/>
          </w:tcPr>
          <w:p w14:paraId="308C6D99" w14:textId="2F15C7CB" w:rsidR="00711CED" w:rsidRPr="00C6165A" w:rsidRDefault="00C12A4D" w:rsidP="00C12A4D">
            <w:pPr>
              <w:jc w:val="center"/>
              <w:rPr>
                <w:sz w:val="22"/>
                <w:szCs w:val="22"/>
              </w:rPr>
            </w:pPr>
            <w:r w:rsidRPr="00C6165A">
              <w:rPr>
                <w:sz w:val="22"/>
                <w:szCs w:val="22"/>
              </w:rPr>
              <w:t>5,23</w:t>
            </w:r>
            <w:r w:rsidR="00711CED" w:rsidRPr="00C6165A">
              <w:rPr>
                <w:sz w:val="22"/>
                <w:szCs w:val="22"/>
              </w:rPr>
              <w:t>%</w:t>
            </w:r>
          </w:p>
        </w:tc>
      </w:tr>
      <w:tr w:rsidR="00C6165A" w:rsidRPr="00C6165A" w14:paraId="3C49FDB7" w14:textId="77777777" w:rsidTr="00DC4F14">
        <w:trPr>
          <w:trHeight w:val="290"/>
          <w:jc w:val="center"/>
        </w:trPr>
        <w:tc>
          <w:tcPr>
            <w:tcW w:w="5062" w:type="dxa"/>
            <w:gridSpan w:val="3"/>
            <w:shd w:val="clear" w:color="auto" w:fill="auto"/>
            <w:noWrap/>
            <w:vAlign w:val="center"/>
            <w:hideMark/>
          </w:tcPr>
          <w:p w14:paraId="62D9F27E" w14:textId="77777777" w:rsidR="00711CED" w:rsidRPr="00C6165A" w:rsidRDefault="00711CED" w:rsidP="00711CED">
            <w:pPr>
              <w:jc w:val="left"/>
              <w:rPr>
                <w:sz w:val="22"/>
                <w:szCs w:val="22"/>
              </w:rPr>
            </w:pPr>
            <w:r w:rsidRPr="00C6165A">
              <w:rPr>
                <w:sz w:val="22"/>
                <w:szCs w:val="22"/>
              </w:rPr>
              <w:t>Cerdos de 20-49 kg (peso vivo)</w:t>
            </w:r>
          </w:p>
        </w:tc>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5E38BC8A" w14:textId="13B38BA9" w:rsidR="00711CED" w:rsidRPr="00C6165A" w:rsidRDefault="00C12A4D" w:rsidP="00C12A4D">
            <w:pPr>
              <w:jc w:val="center"/>
              <w:rPr>
                <w:sz w:val="22"/>
                <w:szCs w:val="22"/>
              </w:rPr>
            </w:pPr>
            <w:r w:rsidRPr="00C6165A">
              <w:rPr>
                <w:sz w:val="22"/>
                <w:szCs w:val="22"/>
              </w:rPr>
              <w:t>748.546</w:t>
            </w:r>
          </w:p>
        </w:tc>
        <w:tc>
          <w:tcPr>
            <w:tcW w:w="1150" w:type="dxa"/>
            <w:tcBorders>
              <w:top w:val="nil"/>
              <w:left w:val="nil"/>
              <w:bottom w:val="single" w:sz="4" w:space="0" w:color="auto"/>
              <w:right w:val="single" w:sz="4" w:space="0" w:color="auto"/>
            </w:tcBorders>
            <w:shd w:val="clear" w:color="auto" w:fill="auto"/>
            <w:noWrap/>
            <w:vAlign w:val="center"/>
          </w:tcPr>
          <w:p w14:paraId="41A5E222" w14:textId="7DF911A1" w:rsidR="00711CED" w:rsidRPr="00C6165A" w:rsidRDefault="00C12A4D" w:rsidP="00C12A4D">
            <w:pPr>
              <w:jc w:val="center"/>
              <w:rPr>
                <w:sz w:val="22"/>
                <w:szCs w:val="22"/>
              </w:rPr>
            </w:pPr>
            <w:r w:rsidRPr="00C6165A">
              <w:rPr>
                <w:sz w:val="22"/>
                <w:szCs w:val="22"/>
              </w:rPr>
              <w:t>760.679</w:t>
            </w:r>
          </w:p>
        </w:tc>
        <w:tc>
          <w:tcPr>
            <w:tcW w:w="1161" w:type="dxa"/>
            <w:tcBorders>
              <w:top w:val="nil"/>
              <w:left w:val="nil"/>
              <w:bottom w:val="single" w:sz="4" w:space="0" w:color="auto"/>
              <w:right w:val="single" w:sz="4" w:space="0" w:color="auto"/>
            </w:tcBorders>
            <w:shd w:val="clear" w:color="auto" w:fill="auto"/>
            <w:noWrap/>
            <w:vAlign w:val="center"/>
          </w:tcPr>
          <w:p w14:paraId="13E110B0" w14:textId="4B994524" w:rsidR="00711CED" w:rsidRPr="00C6165A" w:rsidRDefault="00C12A4D" w:rsidP="00C12A4D">
            <w:pPr>
              <w:jc w:val="center"/>
              <w:rPr>
                <w:sz w:val="22"/>
                <w:szCs w:val="22"/>
              </w:rPr>
            </w:pPr>
            <w:r w:rsidRPr="00C6165A">
              <w:rPr>
                <w:sz w:val="22"/>
                <w:szCs w:val="22"/>
              </w:rPr>
              <w:t>1,62</w:t>
            </w:r>
            <w:r w:rsidR="00711CED" w:rsidRPr="00C6165A">
              <w:rPr>
                <w:sz w:val="22"/>
                <w:szCs w:val="22"/>
              </w:rPr>
              <w:t>%</w:t>
            </w:r>
          </w:p>
        </w:tc>
      </w:tr>
      <w:tr w:rsidR="00C6165A" w:rsidRPr="00C6165A" w14:paraId="7755D3CF" w14:textId="77777777" w:rsidTr="00DC4F14">
        <w:trPr>
          <w:trHeight w:val="290"/>
          <w:jc w:val="center"/>
        </w:trPr>
        <w:tc>
          <w:tcPr>
            <w:tcW w:w="1515" w:type="dxa"/>
            <w:vMerge w:val="restart"/>
            <w:shd w:val="clear" w:color="auto" w:fill="auto"/>
            <w:noWrap/>
            <w:vAlign w:val="center"/>
            <w:hideMark/>
          </w:tcPr>
          <w:p w14:paraId="7D971DC8" w14:textId="77777777" w:rsidR="00711CED" w:rsidRPr="00C6165A" w:rsidRDefault="00711CED" w:rsidP="00711CED">
            <w:pPr>
              <w:jc w:val="left"/>
              <w:rPr>
                <w:sz w:val="22"/>
                <w:szCs w:val="22"/>
              </w:rPr>
            </w:pPr>
            <w:r w:rsidRPr="00C6165A">
              <w:rPr>
                <w:sz w:val="22"/>
                <w:szCs w:val="22"/>
              </w:rPr>
              <w:t>Cerdos en cebo</w:t>
            </w:r>
          </w:p>
        </w:tc>
        <w:tc>
          <w:tcPr>
            <w:tcW w:w="3547" w:type="dxa"/>
            <w:gridSpan w:val="2"/>
            <w:shd w:val="clear" w:color="auto" w:fill="auto"/>
            <w:noWrap/>
            <w:vAlign w:val="center"/>
            <w:hideMark/>
          </w:tcPr>
          <w:p w14:paraId="295E8CBA" w14:textId="77777777" w:rsidR="00711CED" w:rsidRPr="00C6165A" w:rsidRDefault="00711CED" w:rsidP="00711CED">
            <w:pPr>
              <w:jc w:val="left"/>
              <w:rPr>
                <w:i/>
                <w:sz w:val="22"/>
                <w:szCs w:val="22"/>
              </w:rPr>
            </w:pPr>
            <w:proofErr w:type="gramStart"/>
            <w:r w:rsidRPr="00C6165A">
              <w:rPr>
                <w:i/>
                <w:sz w:val="22"/>
                <w:szCs w:val="22"/>
              </w:rPr>
              <w:t>Total</w:t>
            </w:r>
            <w:proofErr w:type="gramEnd"/>
            <w:r w:rsidRPr="00C6165A">
              <w:rPr>
                <w:i/>
                <w:sz w:val="22"/>
                <w:szCs w:val="22"/>
              </w:rPr>
              <w:t xml:space="preserve"> cerdos de cebo (peso vivo)</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973D8" w14:textId="76ACEB7E" w:rsidR="00711CED" w:rsidRPr="00C6165A" w:rsidRDefault="00C12A4D" w:rsidP="00C12A4D">
            <w:pPr>
              <w:jc w:val="center"/>
              <w:rPr>
                <w:i/>
                <w:iCs/>
                <w:sz w:val="22"/>
                <w:szCs w:val="22"/>
              </w:rPr>
            </w:pPr>
            <w:r w:rsidRPr="00C6165A">
              <w:rPr>
                <w:i/>
                <w:iCs/>
                <w:sz w:val="22"/>
                <w:szCs w:val="22"/>
              </w:rPr>
              <w:t>1.930.934</w:t>
            </w:r>
          </w:p>
        </w:tc>
        <w:tc>
          <w:tcPr>
            <w:tcW w:w="1150" w:type="dxa"/>
            <w:tcBorders>
              <w:top w:val="single" w:sz="4" w:space="0" w:color="auto"/>
              <w:left w:val="nil"/>
              <w:bottom w:val="single" w:sz="4" w:space="0" w:color="auto"/>
              <w:right w:val="single" w:sz="4" w:space="0" w:color="auto"/>
            </w:tcBorders>
            <w:shd w:val="clear" w:color="auto" w:fill="auto"/>
            <w:noWrap/>
            <w:vAlign w:val="center"/>
          </w:tcPr>
          <w:p w14:paraId="3BEDE8C1" w14:textId="7C252D44" w:rsidR="00711CED" w:rsidRPr="00C6165A" w:rsidRDefault="00C12A4D" w:rsidP="00C12A4D">
            <w:pPr>
              <w:jc w:val="center"/>
              <w:rPr>
                <w:i/>
                <w:sz w:val="22"/>
                <w:szCs w:val="22"/>
              </w:rPr>
            </w:pPr>
            <w:r w:rsidRPr="00C6165A">
              <w:rPr>
                <w:i/>
                <w:sz w:val="22"/>
                <w:szCs w:val="22"/>
              </w:rPr>
              <w:t>1.957.300</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3107124D" w14:textId="6DBD98AE" w:rsidR="00711CED" w:rsidRPr="00C6165A" w:rsidRDefault="00C12A4D" w:rsidP="00C12A4D">
            <w:pPr>
              <w:jc w:val="center"/>
              <w:rPr>
                <w:i/>
                <w:iCs/>
                <w:sz w:val="22"/>
                <w:szCs w:val="22"/>
              </w:rPr>
            </w:pPr>
            <w:r w:rsidRPr="00C6165A">
              <w:rPr>
                <w:i/>
                <w:iCs/>
                <w:sz w:val="22"/>
                <w:szCs w:val="22"/>
              </w:rPr>
              <w:t>1,37</w:t>
            </w:r>
            <w:r w:rsidR="00711CED" w:rsidRPr="00C6165A">
              <w:rPr>
                <w:i/>
                <w:iCs/>
                <w:sz w:val="22"/>
                <w:szCs w:val="22"/>
              </w:rPr>
              <w:t>%</w:t>
            </w:r>
          </w:p>
        </w:tc>
      </w:tr>
      <w:tr w:rsidR="00C6165A" w:rsidRPr="00C6165A" w14:paraId="7F8D771C" w14:textId="77777777" w:rsidTr="00DC4F14">
        <w:trPr>
          <w:trHeight w:val="290"/>
          <w:jc w:val="center"/>
        </w:trPr>
        <w:tc>
          <w:tcPr>
            <w:tcW w:w="1515" w:type="dxa"/>
            <w:vMerge/>
            <w:shd w:val="clear" w:color="auto" w:fill="auto"/>
            <w:noWrap/>
            <w:vAlign w:val="center"/>
            <w:hideMark/>
          </w:tcPr>
          <w:p w14:paraId="32ABA31D" w14:textId="77777777" w:rsidR="00711CED" w:rsidRPr="00C6165A" w:rsidRDefault="00711CED" w:rsidP="00711CED">
            <w:pPr>
              <w:jc w:val="left"/>
              <w:rPr>
                <w:sz w:val="22"/>
                <w:szCs w:val="22"/>
              </w:rPr>
            </w:pPr>
          </w:p>
        </w:tc>
        <w:tc>
          <w:tcPr>
            <w:tcW w:w="3547" w:type="dxa"/>
            <w:gridSpan w:val="2"/>
            <w:shd w:val="clear" w:color="auto" w:fill="auto"/>
            <w:noWrap/>
            <w:vAlign w:val="center"/>
            <w:hideMark/>
          </w:tcPr>
          <w:p w14:paraId="7D9D4D33" w14:textId="77777777" w:rsidR="00711CED" w:rsidRPr="00C6165A" w:rsidRDefault="00711CED" w:rsidP="00711CED">
            <w:pPr>
              <w:jc w:val="left"/>
              <w:rPr>
                <w:sz w:val="22"/>
                <w:szCs w:val="22"/>
              </w:rPr>
            </w:pPr>
            <w:r w:rsidRPr="00C6165A">
              <w:rPr>
                <w:sz w:val="22"/>
                <w:szCs w:val="22"/>
              </w:rPr>
              <w:t>De 50-79 kg</w:t>
            </w:r>
          </w:p>
        </w:tc>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16A78A2D" w14:textId="34033DEA" w:rsidR="00711CED" w:rsidRPr="00C6165A" w:rsidRDefault="00C12A4D" w:rsidP="00C12A4D">
            <w:pPr>
              <w:jc w:val="center"/>
              <w:rPr>
                <w:sz w:val="22"/>
                <w:szCs w:val="22"/>
              </w:rPr>
            </w:pPr>
            <w:r w:rsidRPr="00C6165A">
              <w:rPr>
                <w:sz w:val="22"/>
                <w:szCs w:val="22"/>
              </w:rPr>
              <w:t>759.205</w:t>
            </w:r>
          </w:p>
        </w:tc>
        <w:tc>
          <w:tcPr>
            <w:tcW w:w="1150" w:type="dxa"/>
            <w:tcBorders>
              <w:top w:val="nil"/>
              <w:left w:val="nil"/>
              <w:bottom w:val="single" w:sz="4" w:space="0" w:color="auto"/>
              <w:right w:val="single" w:sz="4" w:space="0" w:color="auto"/>
            </w:tcBorders>
            <w:shd w:val="clear" w:color="auto" w:fill="auto"/>
            <w:noWrap/>
            <w:vAlign w:val="center"/>
          </w:tcPr>
          <w:p w14:paraId="346CA283" w14:textId="642BBAFC" w:rsidR="00711CED" w:rsidRPr="00C6165A" w:rsidRDefault="00C12A4D" w:rsidP="00C12A4D">
            <w:pPr>
              <w:jc w:val="center"/>
              <w:rPr>
                <w:sz w:val="22"/>
                <w:szCs w:val="22"/>
              </w:rPr>
            </w:pPr>
            <w:r w:rsidRPr="00C6165A">
              <w:rPr>
                <w:sz w:val="22"/>
                <w:szCs w:val="22"/>
              </w:rPr>
              <w:t>719.527</w:t>
            </w:r>
          </w:p>
        </w:tc>
        <w:tc>
          <w:tcPr>
            <w:tcW w:w="1161" w:type="dxa"/>
            <w:tcBorders>
              <w:top w:val="nil"/>
              <w:left w:val="nil"/>
              <w:bottom w:val="single" w:sz="4" w:space="0" w:color="auto"/>
              <w:right w:val="single" w:sz="4" w:space="0" w:color="auto"/>
            </w:tcBorders>
            <w:shd w:val="clear" w:color="auto" w:fill="auto"/>
            <w:noWrap/>
            <w:vAlign w:val="center"/>
          </w:tcPr>
          <w:p w14:paraId="46A33DFA" w14:textId="29B36E54" w:rsidR="00711CED" w:rsidRPr="00C6165A" w:rsidRDefault="00C12A4D" w:rsidP="00C12A4D">
            <w:pPr>
              <w:jc w:val="center"/>
              <w:rPr>
                <w:sz w:val="22"/>
                <w:szCs w:val="22"/>
              </w:rPr>
            </w:pPr>
            <w:r w:rsidRPr="00C6165A">
              <w:rPr>
                <w:sz w:val="22"/>
                <w:szCs w:val="22"/>
              </w:rPr>
              <w:t>-5,23</w:t>
            </w:r>
            <w:r w:rsidR="00711CED" w:rsidRPr="00C6165A">
              <w:rPr>
                <w:sz w:val="22"/>
                <w:szCs w:val="22"/>
              </w:rPr>
              <w:t>%</w:t>
            </w:r>
          </w:p>
        </w:tc>
      </w:tr>
      <w:tr w:rsidR="00C6165A" w:rsidRPr="00C6165A" w14:paraId="1ED504B4" w14:textId="77777777" w:rsidTr="00DC4F14">
        <w:trPr>
          <w:trHeight w:val="290"/>
          <w:jc w:val="center"/>
        </w:trPr>
        <w:tc>
          <w:tcPr>
            <w:tcW w:w="1515" w:type="dxa"/>
            <w:vMerge/>
            <w:shd w:val="clear" w:color="auto" w:fill="auto"/>
            <w:noWrap/>
            <w:vAlign w:val="center"/>
            <w:hideMark/>
          </w:tcPr>
          <w:p w14:paraId="711F5E76" w14:textId="77777777" w:rsidR="00711CED" w:rsidRPr="00C6165A" w:rsidRDefault="00711CED" w:rsidP="00711CED">
            <w:pPr>
              <w:jc w:val="left"/>
              <w:rPr>
                <w:sz w:val="22"/>
                <w:szCs w:val="22"/>
              </w:rPr>
            </w:pPr>
          </w:p>
        </w:tc>
        <w:tc>
          <w:tcPr>
            <w:tcW w:w="3547" w:type="dxa"/>
            <w:gridSpan w:val="2"/>
            <w:shd w:val="clear" w:color="auto" w:fill="auto"/>
            <w:noWrap/>
            <w:vAlign w:val="center"/>
            <w:hideMark/>
          </w:tcPr>
          <w:p w14:paraId="5B77C748" w14:textId="77777777" w:rsidR="00711CED" w:rsidRPr="00C6165A" w:rsidRDefault="00711CED" w:rsidP="00711CED">
            <w:pPr>
              <w:jc w:val="left"/>
              <w:rPr>
                <w:sz w:val="22"/>
                <w:szCs w:val="22"/>
              </w:rPr>
            </w:pPr>
            <w:r w:rsidRPr="00C6165A">
              <w:rPr>
                <w:sz w:val="22"/>
                <w:szCs w:val="22"/>
              </w:rPr>
              <w:t>De 80-109 kg</w:t>
            </w:r>
          </w:p>
        </w:tc>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1D24FD16" w14:textId="082CC294" w:rsidR="00711CED" w:rsidRPr="00C6165A" w:rsidRDefault="00C12A4D" w:rsidP="00C12A4D">
            <w:pPr>
              <w:jc w:val="center"/>
              <w:rPr>
                <w:sz w:val="22"/>
                <w:szCs w:val="22"/>
              </w:rPr>
            </w:pPr>
            <w:r w:rsidRPr="00C6165A">
              <w:rPr>
                <w:sz w:val="22"/>
                <w:szCs w:val="22"/>
              </w:rPr>
              <w:t>798.684</w:t>
            </w:r>
          </w:p>
        </w:tc>
        <w:tc>
          <w:tcPr>
            <w:tcW w:w="1150" w:type="dxa"/>
            <w:tcBorders>
              <w:top w:val="nil"/>
              <w:left w:val="nil"/>
              <w:bottom w:val="single" w:sz="4" w:space="0" w:color="auto"/>
              <w:right w:val="single" w:sz="4" w:space="0" w:color="auto"/>
            </w:tcBorders>
            <w:shd w:val="clear" w:color="auto" w:fill="auto"/>
            <w:noWrap/>
            <w:vAlign w:val="center"/>
          </w:tcPr>
          <w:p w14:paraId="2F0DE5FF" w14:textId="34214DEB" w:rsidR="00711CED" w:rsidRPr="00C6165A" w:rsidRDefault="00C12A4D" w:rsidP="00C12A4D">
            <w:pPr>
              <w:jc w:val="center"/>
              <w:rPr>
                <w:sz w:val="22"/>
                <w:szCs w:val="22"/>
              </w:rPr>
            </w:pPr>
            <w:r w:rsidRPr="00C6165A">
              <w:rPr>
                <w:sz w:val="22"/>
                <w:szCs w:val="22"/>
              </w:rPr>
              <w:t>793.865</w:t>
            </w:r>
          </w:p>
        </w:tc>
        <w:tc>
          <w:tcPr>
            <w:tcW w:w="1161" w:type="dxa"/>
            <w:tcBorders>
              <w:top w:val="nil"/>
              <w:left w:val="nil"/>
              <w:bottom w:val="single" w:sz="4" w:space="0" w:color="auto"/>
              <w:right w:val="single" w:sz="4" w:space="0" w:color="auto"/>
            </w:tcBorders>
            <w:shd w:val="clear" w:color="auto" w:fill="auto"/>
            <w:noWrap/>
            <w:vAlign w:val="center"/>
          </w:tcPr>
          <w:p w14:paraId="433D3989" w14:textId="616078B7" w:rsidR="00711CED" w:rsidRPr="00C6165A" w:rsidRDefault="00C12A4D" w:rsidP="00C12A4D">
            <w:pPr>
              <w:jc w:val="center"/>
              <w:rPr>
                <w:sz w:val="22"/>
                <w:szCs w:val="22"/>
              </w:rPr>
            </w:pPr>
            <w:r w:rsidRPr="00C6165A">
              <w:rPr>
                <w:sz w:val="22"/>
                <w:szCs w:val="22"/>
              </w:rPr>
              <w:t>-0,60</w:t>
            </w:r>
            <w:r w:rsidR="00711CED" w:rsidRPr="00C6165A">
              <w:rPr>
                <w:sz w:val="22"/>
                <w:szCs w:val="22"/>
              </w:rPr>
              <w:t>%</w:t>
            </w:r>
          </w:p>
        </w:tc>
      </w:tr>
      <w:tr w:rsidR="00C6165A" w:rsidRPr="00C6165A" w14:paraId="7E4638F7" w14:textId="77777777" w:rsidTr="00DC4F14">
        <w:trPr>
          <w:trHeight w:val="290"/>
          <w:jc w:val="center"/>
        </w:trPr>
        <w:tc>
          <w:tcPr>
            <w:tcW w:w="1515" w:type="dxa"/>
            <w:vMerge/>
            <w:shd w:val="clear" w:color="auto" w:fill="auto"/>
            <w:noWrap/>
            <w:vAlign w:val="center"/>
            <w:hideMark/>
          </w:tcPr>
          <w:p w14:paraId="6D222F40" w14:textId="77777777" w:rsidR="00711CED" w:rsidRPr="00C6165A" w:rsidRDefault="00711CED" w:rsidP="00711CED">
            <w:pPr>
              <w:jc w:val="left"/>
              <w:rPr>
                <w:sz w:val="22"/>
                <w:szCs w:val="22"/>
              </w:rPr>
            </w:pPr>
          </w:p>
        </w:tc>
        <w:tc>
          <w:tcPr>
            <w:tcW w:w="3547" w:type="dxa"/>
            <w:gridSpan w:val="2"/>
            <w:shd w:val="clear" w:color="auto" w:fill="auto"/>
            <w:noWrap/>
            <w:vAlign w:val="center"/>
            <w:hideMark/>
          </w:tcPr>
          <w:p w14:paraId="537B9D7D" w14:textId="77777777" w:rsidR="00711CED" w:rsidRPr="00C6165A" w:rsidRDefault="00711CED" w:rsidP="00711CED">
            <w:pPr>
              <w:jc w:val="left"/>
              <w:rPr>
                <w:sz w:val="22"/>
                <w:szCs w:val="22"/>
              </w:rPr>
            </w:pPr>
            <w:r w:rsidRPr="00C6165A">
              <w:rPr>
                <w:sz w:val="22"/>
                <w:szCs w:val="22"/>
              </w:rPr>
              <w:t>&gt; 109 kg</w:t>
            </w:r>
          </w:p>
        </w:tc>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4855AC56" w14:textId="5A8D6DF4" w:rsidR="00711CED" w:rsidRPr="00C6165A" w:rsidRDefault="00C12A4D" w:rsidP="00C12A4D">
            <w:pPr>
              <w:jc w:val="center"/>
              <w:rPr>
                <w:sz w:val="22"/>
                <w:szCs w:val="22"/>
              </w:rPr>
            </w:pPr>
            <w:r w:rsidRPr="00C6165A">
              <w:rPr>
                <w:sz w:val="22"/>
                <w:szCs w:val="22"/>
              </w:rPr>
              <w:t>373.045</w:t>
            </w:r>
          </w:p>
        </w:tc>
        <w:tc>
          <w:tcPr>
            <w:tcW w:w="1150" w:type="dxa"/>
            <w:tcBorders>
              <w:top w:val="nil"/>
              <w:left w:val="nil"/>
              <w:bottom w:val="single" w:sz="4" w:space="0" w:color="auto"/>
              <w:right w:val="single" w:sz="4" w:space="0" w:color="auto"/>
            </w:tcBorders>
            <w:shd w:val="clear" w:color="auto" w:fill="auto"/>
            <w:noWrap/>
            <w:vAlign w:val="center"/>
          </w:tcPr>
          <w:p w14:paraId="19C1369C" w14:textId="7C09CA37" w:rsidR="00711CED" w:rsidRPr="00C6165A" w:rsidRDefault="00C12A4D" w:rsidP="00C12A4D">
            <w:pPr>
              <w:jc w:val="center"/>
              <w:rPr>
                <w:sz w:val="22"/>
                <w:szCs w:val="22"/>
              </w:rPr>
            </w:pPr>
            <w:r w:rsidRPr="00C6165A">
              <w:rPr>
                <w:sz w:val="22"/>
                <w:szCs w:val="22"/>
              </w:rPr>
              <w:t>443.908</w:t>
            </w:r>
          </w:p>
        </w:tc>
        <w:tc>
          <w:tcPr>
            <w:tcW w:w="1161" w:type="dxa"/>
            <w:tcBorders>
              <w:top w:val="nil"/>
              <w:left w:val="nil"/>
              <w:bottom w:val="single" w:sz="4" w:space="0" w:color="auto"/>
              <w:right w:val="single" w:sz="4" w:space="0" w:color="auto"/>
            </w:tcBorders>
            <w:shd w:val="clear" w:color="auto" w:fill="auto"/>
            <w:noWrap/>
            <w:vAlign w:val="center"/>
          </w:tcPr>
          <w:p w14:paraId="2458D092" w14:textId="197B0F0B" w:rsidR="00711CED" w:rsidRPr="00C6165A" w:rsidRDefault="00C12A4D" w:rsidP="00C12A4D">
            <w:pPr>
              <w:jc w:val="center"/>
              <w:rPr>
                <w:sz w:val="22"/>
                <w:szCs w:val="22"/>
              </w:rPr>
            </w:pPr>
            <w:r w:rsidRPr="00C6165A">
              <w:rPr>
                <w:sz w:val="22"/>
                <w:szCs w:val="22"/>
              </w:rPr>
              <w:t>19</w:t>
            </w:r>
            <w:r w:rsidR="00711CED" w:rsidRPr="00C6165A">
              <w:rPr>
                <w:sz w:val="22"/>
                <w:szCs w:val="22"/>
              </w:rPr>
              <w:t>%</w:t>
            </w:r>
          </w:p>
        </w:tc>
      </w:tr>
      <w:tr w:rsidR="00C6165A" w:rsidRPr="00C6165A" w14:paraId="552E5CDE" w14:textId="77777777" w:rsidTr="00DC4F14">
        <w:trPr>
          <w:trHeight w:val="290"/>
          <w:jc w:val="center"/>
        </w:trPr>
        <w:tc>
          <w:tcPr>
            <w:tcW w:w="5062" w:type="dxa"/>
            <w:gridSpan w:val="3"/>
            <w:shd w:val="clear" w:color="auto" w:fill="auto"/>
            <w:noWrap/>
            <w:vAlign w:val="center"/>
            <w:hideMark/>
          </w:tcPr>
          <w:p w14:paraId="67046A51" w14:textId="77777777" w:rsidR="00711CED" w:rsidRPr="00C6165A" w:rsidRDefault="00711CED" w:rsidP="00711CED">
            <w:pPr>
              <w:jc w:val="left"/>
              <w:rPr>
                <w:sz w:val="22"/>
                <w:szCs w:val="22"/>
              </w:rPr>
            </w:pPr>
            <w:r w:rsidRPr="00C6165A">
              <w:rPr>
                <w:sz w:val="22"/>
                <w:szCs w:val="22"/>
              </w:rPr>
              <w:t>Verracos</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F98BE" w14:textId="438738E8" w:rsidR="00711CED" w:rsidRPr="00C6165A" w:rsidRDefault="00C12A4D" w:rsidP="00C12A4D">
            <w:pPr>
              <w:jc w:val="center"/>
              <w:rPr>
                <w:sz w:val="22"/>
                <w:szCs w:val="22"/>
              </w:rPr>
            </w:pPr>
            <w:r w:rsidRPr="00C6165A">
              <w:rPr>
                <w:sz w:val="22"/>
                <w:szCs w:val="22"/>
              </w:rPr>
              <w:t>5.053</w:t>
            </w:r>
          </w:p>
        </w:tc>
        <w:tc>
          <w:tcPr>
            <w:tcW w:w="1150" w:type="dxa"/>
            <w:tcBorders>
              <w:top w:val="single" w:sz="4" w:space="0" w:color="auto"/>
              <w:left w:val="nil"/>
              <w:bottom w:val="single" w:sz="4" w:space="0" w:color="auto"/>
              <w:right w:val="single" w:sz="4" w:space="0" w:color="auto"/>
            </w:tcBorders>
            <w:shd w:val="clear" w:color="auto" w:fill="auto"/>
            <w:noWrap/>
            <w:vAlign w:val="center"/>
          </w:tcPr>
          <w:p w14:paraId="67437967" w14:textId="43405204" w:rsidR="00711CED" w:rsidRPr="00C6165A" w:rsidRDefault="00C12A4D" w:rsidP="00C12A4D">
            <w:pPr>
              <w:jc w:val="center"/>
              <w:rPr>
                <w:sz w:val="22"/>
                <w:szCs w:val="22"/>
              </w:rPr>
            </w:pPr>
            <w:r w:rsidRPr="00C6165A">
              <w:rPr>
                <w:sz w:val="22"/>
                <w:szCs w:val="22"/>
              </w:rPr>
              <w:t>5.183</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22955018" w14:textId="75DD9B38" w:rsidR="00711CED" w:rsidRPr="00C6165A" w:rsidRDefault="00C12A4D" w:rsidP="00C12A4D">
            <w:pPr>
              <w:jc w:val="center"/>
              <w:rPr>
                <w:sz w:val="22"/>
                <w:szCs w:val="22"/>
              </w:rPr>
            </w:pPr>
            <w:r w:rsidRPr="00C6165A">
              <w:rPr>
                <w:sz w:val="22"/>
                <w:szCs w:val="22"/>
              </w:rPr>
              <w:t>2,57</w:t>
            </w:r>
            <w:r w:rsidR="00711CED" w:rsidRPr="00C6165A">
              <w:rPr>
                <w:sz w:val="22"/>
                <w:szCs w:val="22"/>
              </w:rPr>
              <w:t>%</w:t>
            </w:r>
          </w:p>
        </w:tc>
      </w:tr>
      <w:tr w:rsidR="00C6165A" w:rsidRPr="00C6165A" w14:paraId="40900AED" w14:textId="77777777" w:rsidTr="00DC4F14">
        <w:trPr>
          <w:trHeight w:val="290"/>
          <w:jc w:val="center"/>
        </w:trPr>
        <w:tc>
          <w:tcPr>
            <w:tcW w:w="1515" w:type="dxa"/>
            <w:vMerge w:val="restart"/>
            <w:shd w:val="clear" w:color="auto" w:fill="auto"/>
            <w:noWrap/>
            <w:vAlign w:val="center"/>
            <w:hideMark/>
          </w:tcPr>
          <w:p w14:paraId="6EAD9AAB" w14:textId="77777777" w:rsidR="00711CED" w:rsidRPr="00C6165A" w:rsidRDefault="00711CED" w:rsidP="00711CED">
            <w:pPr>
              <w:jc w:val="left"/>
              <w:rPr>
                <w:sz w:val="22"/>
                <w:szCs w:val="22"/>
              </w:rPr>
            </w:pPr>
            <w:r w:rsidRPr="00C6165A">
              <w:rPr>
                <w:sz w:val="22"/>
                <w:szCs w:val="22"/>
              </w:rPr>
              <w:t>Cerdas reproductoras</w:t>
            </w:r>
          </w:p>
        </w:tc>
        <w:tc>
          <w:tcPr>
            <w:tcW w:w="3547" w:type="dxa"/>
            <w:gridSpan w:val="2"/>
            <w:shd w:val="clear" w:color="auto" w:fill="auto"/>
            <w:noWrap/>
            <w:vAlign w:val="center"/>
            <w:hideMark/>
          </w:tcPr>
          <w:p w14:paraId="15139327" w14:textId="77777777" w:rsidR="00711CED" w:rsidRPr="00C6165A" w:rsidRDefault="00711CED" w:rsidP="00711CED">
            <w:pPr>
              <w:jc w:val="left"/>
              <w:rPr>
                <w:i/>
                <w:sz w:val="22"/>
                <w:szCs w:val="22"/>
              </w:rPr>
            </w:pPr>
            <w:proofErr w:type="gramStart"/>
            <w:r w:rsidRPr="00C6165A">
              <w:rPr>
                <w:i/>
                <w:sz w:val="22"/>
                <w:szCs w:val="22"/>
              </w:rPr>
              <w:t>Total</w:t>
            </w:r>
            <w:proofErr w:type="gramEnd"/>
            <w:r w:rsidRPr="00C6165A">
              <w:rPr>
                <w:i/>
                <w:sz w:val="22"/>
                <w:szCs w:val="22"/>
              </w:rPr>
              <w:t xml:space="preserve"> cerdas reproductoras</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0EA8E" w14:textId="0B471C8B" w:rsidR="00711CED" w:rsidRPr="00C6165A" w:rsidRDefault="00C12A4D" w:rsidP="00C12A4D">
            <w:pPr>
              <w:jc w:val="center"/>
              <w:rPr>
                <w:i/>
                <w:iCs/>
                <w:sz w:val="22"/>
                <w:szCs w:val="22"/>
              </w:rPr>
            </w:pPr>
            <w:r w:rsidRPr="00C6165A">
              <w:rPr>
                <w:i/>
                <w:iCs/>
                <w:sz w:val="22"/>
                <w:szCs w:val="22"/>
              </w:rPr>
              <w:t>490.298</w:t>
            </w:r>
          </w:p>
        </w:tc>
        <w:tc>
          <w:tcPr>
            <w:tcW w:w="1150" w:type="dxa"/>
            <w:tcBorders>
              <w:top w:val="single" w:sz="4" w:space="0" w:color="auto"/>
              <w:left w:val="nil"/>
              <w:bottom w:val="single" w:sz="4" w:space="0" w:color="auto"/>
              <w:right w:val="single" w:sz="4" w:space="0" w:color="auto"/>
            </w:tcBorders>
            <w:shd w:val="clear" w:color="auto" w:fill="auto"/>
            <w:noWrap/>
            <w:vAlign w:val="center"/>
          </w:tcPr>
          <w:p w14:paraId="5D330394" w14:textId="4E565422" w:rsidR="00711CED" w:rsidRPr="00C6165A" w:rsidRDefault="00C12A4D" w:rsidP="00C12A4D">
            <w:pPr>
              <w:jc w:val="center"/>
              <w:rPr>
                <w:i/>
                <w:iCs/>
                <w:sz w:val="22"/>
                <w:szCs w:val="22"/>
              </w:rPr>
            </w:pPr>
            <w:r w:rsidRPr="00C6165A">
              <w:rPr>
                <w:i/>
                <w:iCs/>
                <w:sz w:val="22"/>
                <w:szCs w:val="22"/>
              </w:rPr>
              <w:t>465.068</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091D353D" w14:textId="7FD60204" w:rsidR="00711CED" w:rsidRPr="00C6165A" w:rsidRDefault="00C12A4D" w:rsidP="00C12A4D">
            <w:pPr>
              <w:jc w:val="center"/>
              <w:rPr>
                <w:i/>
                <w:iCs/>
                <w:sz w:val="22"/>
                <w:szCs w:val="22"/>
              </w:rPr>
            </w:pPr>
            <w:r w:rsidRPr="00C6165A">
              <w:rPr>
                <w:i/>
                <w:iCs/>
                <w:sz w:val="22"/>
                <w:szCs w:val="22"/>
              </w:rPr>
              <w:t>-5,15</w:t>
            </w:r>
            <w:r w:rsidR="00711CED" w:rsidRPr="00C6165A">
              <w:rPr>
                <w:i/>
                <w:iCs/>
                <w:sz w:val="22"/>
                <w:szCs w:val="22"/>
              </w:rPr>
              <w:t>%</w:t>
            </w:r>
          </w:p>
        </w:tc>
      </w:tr>
      <w:tr w:rsidR="00C6165A" w:rsidRPr="00C6165A" w14:paraId="6EE99196" w14:textId="77777777" w:rsidTr="00DC4F14">
        <w:trPr>
          <w:trHeight w:val="290"/>
          <w:jc w:val="center"/>
        </w:trPr>
        <w:tc>
          <w:tcPr>
            <w:tcW w:w="1515" w:type="dxa"/>
            <w:vMerge/>
            <w:shd w:val="clear" w:color="auto" w:fill="auto"/>
            <w:noWrap/>
            <w:vAlign w:val="center"/>
            <w:hideMark/>
          </w:tcPr>
          <w:p w14:paraId="70FFEE8D" w14:textId="77777777" w:rsidR="00711CED" w:rsidRPr="00C6165A" w:rsidRDefault="00711CED" w:rsidP="00711CED">
            <w:pPr>
              <w:jc w:val="left"/>
              <w:rPr>
                <w:sz w:val="22"/>
                <w:szCs w:val="22"/>
              </w:rPr>
            </w:pPr>
          </w:p>
        </w:tc>
        <w:tc>
          <w:tcPr>
            <w:tcW w:w="1091" w:type="dxa"/>
            <w:vMerge w:val="restart"/>
            <w:shd w:val="clear" w:color="auto" w:fill="auto"/>
            <w:noWrap/>
            <w:vAlign w:val="center"/>
            <w:hideMark/>
          </w:tcPr>
          <w:p w14:paraId="256F89DD" w14:textId="77777777" w:rsidR="00711CED" w:rsidRPr="00C6165A" w:rsidRDefault="00711CED" w:rsidP="00711CED">
            <w:pPr>
              <w:jc w:val="left"/>
              <w:rPr>
                <w:sz w:val="22"/>
                <w:szCs w:val="22"/>
              </w:rPr>
            </w:pPr>
            <w:r w:rsidRPr="00C6165A">
              <w:rPr>
                <w:sz w:val="22"/>
                <w:szCs w:val="22"/>
              </w:rPr>
              <w:t>Nunca han parido</w:t>
            </w:r>
          </w:p>
        </w:tc>
        <w:tc>
          <w:tcPr>
            <w:tcW w:w="2455" w:type="dxa"/>
            <w:shd w:val="clear" w:color="auto" w:fill="auto"/>
            <w:noWrap/>
            <w:vAlign w:val="center"/>
            <w:hideMark/>
          </w:tcPr>
          <w:p w14:paraId="4308B9D4" w14:textId="77777777" w:rsidR="00711CED" w:rsidRPr="00C6165A" w:rsidRDefault="00711CED" w:rsidP="00711CED">
            <w:pPr>
              <w:jc w:val="left"/>
              <w:rPr>
                <w:sz w:val="22"/>
                <w:szCs w:val="22"/>
              </w:rPr>
            </w:pPr>
            <w:r w:rsidRPr="00C6165A">
              <w:rPr>
                <w:sz w:val="22"/>
                <w:szCs w:val="22"/>
              </w:rPr>
              <w:t>Cerdas todavía no cubiertas</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DCBFD" w14:textId="550BAAB2" w:rsidR="00711CED" w:rsidRPr="00C6165A" w:rsidRDefault="00C12A4D" w:rsidP="00C12A4D">
            <w:pPr>
              <w:jc w:val="center"/>
              <w:rPr>
                <w:sz w:val="22"/>
                <w:szCs w:val="22"/>
              </w:rPr>
            </w:pPr>
            <w:r w:rsidRPr="00C6165A">
              <w:rPr>
                <w:sz w:val="22"/>
                <w:szCs w:val="22"/>
              </w:rPr>
              <w:t>126.626</w:t>
            </w:r>
          </w:p>
        </w:tc>
        <w:tc>
          <w:tcPr>
            <w:tcW w:w="1150" w:type="dxa"/>
            <w:tcBorders>
              <w:top w:val="single" w:sz="4" w:space="0" w:color="auto"/>
              <w:left w:val="nil"/>
              <w:bottom w:val="single" w:sz="4" w:space="0" w:color="auto"/>
              <w:right w:val="single" w:sz="4" w:space="0" w:color="auto"/>
            </w:tcBorders>
            <w:shd w:val="clear" w:color="auto" w:fill="auto"/>
            <w:noWrap/>
            <w:vAlign w:val="center"/>
          </w:tcPr>
          <w:p w14:paraId="321777D0" w14:textId="6239C065" w:rsidR="00711CED" w:rsidRPr="00C6165A" w:rsidRDefault="00C12A4D" w:rsidP="00C12A4D">
            <w:pPr>
              <w:jc w:val="center"/>
              <w:rPr>
                <w:sz w:val="22"/>
                <w:szCs w:val="22"/>
              </w:rPr>
            </w:pPr>
            <w:r w:rsidRPr="00C6165A">
              <w:rPr>
                <w:sz w:val="22"/>
                <w:szCs w:val="22"/>
              </w:rPr>
              <w:t>100.455</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495C244E" w14:textId="5C2DFAE5" w:rsidR="00711CED" w:rsidRPr="00C6165A" w:rsidRDefault="00C12A4D" w:rsidP="00C12A4D">
            <w:pPr>
              <w:jc w:val="center"/>
              <w:rPr>
                <w:sz w:val="22"/>
                <w:szCs w:val="22"/>
              </w:rPr>
            </w:pPr>
            <w:r w:rsidRPr="00C6165A">
              <w:rPr>
                <w:sz w:val="22"/>
                <w:szCs w:val="22"/>
              </w:rPr>
              <w:t>-20,67</w:t>
            </w:r>
            <w:r w:rsidR="00711CED" w:rsidRPr="00C6165A">
              <w:rPr>
                <w:sz w:val="22"/>
                <w:szCs w:val="22"/>
              </w:rPr>
              <w:t>%</w:t>
            </w:r>
          </w:p>
        </w:tc>
      </w:tr>
      <w:tr w:rsidR="00C6165A" w:rsidRPr="00C6165A" w14:paraId="2B85B53C" w14:textId="77777777" w:rsidTr="00DC4F14">
        <w:trPr>
          <w:trHeight w:val="290"/>
          <w:jc w:val="center"/>
        </w:trPr>
        <w:tc>
          <w:tcPr>
            <w:tcW w:w="1515" w:type="dxa"/>
            <w:vMerge/>
            <w:shd w:val="clear" w:color="auto" w:fill="auto"/>
            <w:noWrap/>
            <w:vAlign w:val="center"/>
            <w:hideMark/>
          </w:tcPr>
          <w:p w14:paraId="11830BC0" w14:textId="77777777" w:rsidR="00711CED" w:rsidRPr="00C6165A" w:rsidRDefault="00711CED" w:rsidP="00711CED">
            <w:pPr>
              <w:jc w:val="left"/>
              <w:rPr>
                <w:sz w:val="22"/>
                <w:szCs w:val="22"/>
              </w:rPr>
            </w:pPr>
          </w:p>
        </w:tc>
        <w:tc>
          <w:tcPr>
            <w:tcW w:w="1091" w:type="dxa"/>
            <w:vMerge/>
            <w:shd w:val="clear" w:color="auto" w:fill="auto"/>
            <w:noWrap/>
            <w:vAlign w:val="center"/>
            <w:hideMark/>
          </w:tcPr>
          <w:p w14:paraId="6B6679B9" w14:textId="77777777" w:rsidR="00711CED" w:rsidRPr="00C6165A" w:rsidRDefault="00711CED" w:rsidP="00711CED">
            <w:pPr>
              <w:jc w:val="left"/>
              <w:rPr>
                <w:sz w:val="22"/>
                <w:szCs w:val="22"/>
              </w:rPr>
            </w:pPr>
          </w:p>
        </w:tc>
        <w:tc>
          <w:tcPr>
            <w:tcW w:w="2455" w:type="dxa"/>
            <w:shd w:val="clear" w:color="auto" w:fill="auto"/>
            <w:noWrap/>
            <w:vAlign w:val="center"/>
            <w:hideMark/>
          </w:tcPr>
          <w:p w14:paraId="55589828" w14:textId="77777777" w:rsidR="00711CED" w:rsidRPr="00C6165A" w:rsidRDefault="00711CED" w:rsidP="00711CED">
            <w:pPr>
              <w:jc w:val="left"/>
              <w:rPr>
                <w:sz w:val="22"/>
                <w:szCs w:val="22"/>
              </w:rPr>
            </w:pPr>
            <w:r w:rsidRPr="00C6165A">
              <w:rPr>
                <w:sz w:val="22"/>
                <w:szCs w:val="22"/>
              </w:rPr>
              <w:t>Cerdas cubiertas por 1ª vez</w:t>
            </w:r>
          </w:p>
        </w:tc>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42D20A60" w14:textId="4E2273F3" w:rsidR="00711CED" w:rsidRPr="00C6165A" w:rsidRDefault="00C12A4D" w:rsidP="00C12A4D">
            <w:pPr>
              <w:jc w:val="center"/>
              <w:rPr>
                <w:sz w:val="22"/>
                <w:szCs w:val="22"/>
              </w:rPr>
            </w:pPr>
            <w:r w:rsidRPr="00C6165A">
              <w:rPr>
                <w:sz w:val="22"/>
                <w:szCs w:val="22"/>
              </w:rPr>
              <w:t>38.741</w:t>
            </w:r>
          </w:p>
        </w:tc>
        <w:tc>
          <w:tcPr>
            <w:tcW w:w="1150" w:type="dxa"/>
            <w:tcBorders>
              <w:top w:val="nil"/>
              <w:left w:val="nil"/>
              <w:bottom w:val="single" w:sz="4" w:space="0" w:color="auto"/>
              <w:right w:val="single" w:sz="4" w:space="0" w:color="auto"/>
            </w:tcBorders>
            <w:shd w:val="clear" w:color="auto" w:fill="auto"/>
            <w:noWrap/>
            <w:vAlign w:val="center"/>
          </w:tcPr>
          <w:p w14:paraId="0EE4E888" w14:textId="7C202213" w:rsidR="00711CED" w:rsidRPr="00C6165A" w:rsidRDefault="00C12A4D" w:rsidP="00C12A4D">
            <w:pPr>
              <w:jc w:val="center"/>
              <w:rPr>
                <w:sz w:val="22"/>
                <w:szCs w:val="22"/>
              </w:rPr>
            </w:pPr>
            <w:r w:rsidRPr="00C6165A">
              <w:rPr>
                <w:sz w:val="22"/>
                <w:szCs w:val="22"/>
              </w:rPr>
              <w:t>39.650</w:t>
            </w:r>
          </w:p>
        </w:tc>
        <w:tc>
          <w:tcPr>
            <w:tcW w:w="1161" w:type="dxa"/>
            <w:tcBorders>
              <w:top w:val="nil"/>
              <w:left w:val="nil"/>
              <w:bottom w:val="single" w:sz="4" w:space="0" w:color="auto"/>
              <w:right w:val="single" w:sz="4" w:space="0" w:color="auto"/>
            </w:tcBorders>
            <w:shd w:val="clear" w:color="auto" w:fill="auto"/>
            <w:noWrap/>
            <w:vAlign w:val="center"/>
          </w:tcPr>
          <w:p w14:paraId="7EB97335" w14:textId="0CD0D8ED" w:rsidR="00711CED" w:rsidRPr="00C6165A" w:rsidRDefault="00C12A4D" w:rsidP="00C12A4D">
            <w:pPr>
              <w:jc w:val="center"/>
              <w:rPr>
                <w:sz w:val="22"/>
                <w:szCs w:val="22"/>
              </w:rPr>
            </w:pPr>
            <w:r w:rsidRPr="00C6165A">
              <w:rPr>
                <w:sz w:val="22"/>
                <w:szCs w:val="22"/>
              </w:rPr>
              <w:t>2,35</w:t>
            </w:r>
            <w:r w:rsidR="00711CED" w:rsidRPr="00C6165A">
              <w:rPr>
                <w:sz w:val="22"/>
                <w:szCs w:val="22"/>
              </w:rPr>
              <w:t>%</w:t>
            </w:r>
          </w:p>
        </w:tc>
      </w:tr>
      <w:tr w:rsidR="00C6165A" w:rsidRPr="00C6165A" w14:paraId="0BB25E50" w14:textId="77777777" w:rsidTr="00DC4F14">
        <w:trPr>
          <w:trHeight w:val="290"/>
          <w:jc w:val="center"/>
        </w:trPr>
        <w:tc>
          <w:tcPr>
            <w:tcW w:w="1515" w:type="dxa"/>
            <w:vMerge/>
            <w:shd w:val="clear" w:color="auto" w:fill="auto"/>
            <w:noWrap/>
            <w:vAlign w:val="center"/>
            <w:hideMark/>
          </w:tcPr>
          <w:p w14:paraId="438697BD" w14:textId="77777777" w:rsidR="00711CED" w:rsidRPr="00C6165A" w:rsidRDefault="00711CED" w:rsidP="00711CED">
            <w:pPr>
              <w:jc w:val="left"/>
              <w:rPr>
                <w:sz w:val="22"/>
                <w:szCs w:val="22"/>
              </w:rPr>
            </w:pPr>
          </w:p>
        </w:tc>
        <w:tc>
          <w:tcPr>
            <w:tcW w:w="1091" w:type="dxa"/>
            <w:vMerge w:val="restart"/>
            <w:shd w:val="clear" w:color="auto" w:fill="auto"/>
            <w:noWrap/>
            <w:vAlign w:val="center"/>
            <w:hideMark/>
          </w:tcPr>
          <w:p w14:paraId="1D77F871" w14:textId="77777777" w:rsidR="00711CED" w:rsidRPr="00C6165A" w:rsidRDefault="00711CED" w:rsidP="00711CED">
            <w:pPr>
              <w:jc w:val="left"/>
              <w:rPr>
                <w:sz w:val="22"/>
                <w:szCs w:val="22"/>
              </w:rPr>
            </w:pPr>
            <w:r w:rsidRPr="00C6165A">
              <w:rPr>
                <w:sz w:val="22"/>
                <w:szCs w:val="22"/>
              </w:rPr>
              <w:t>Han parido</w:t>
            </w:r>
          </w:p>
        </w:tc>
        <w:tc>
          <w:tcPr>
            <w:tcW w:w="2455" w:type="dxa"/>
            <w:shd w:val="clear" w:color="auto" w:fill="auto"/>
            <w:noWrap/>
            <w:vAlign w:val="center"/>
            <w:hideMark/>
          </w:tcPr>
          <w:p w14:paraId="1E82C52B" w14:textId="77777777" w:rsidR="00711CED" w:rsidRPr="00C6165A" w:rsidRDefault="00711CED" w:rsidP="00711CED">
            <w:pPr>
              <w:jc w:val="left"/>
              <w:rPr>
                <w:sz w:val="22"/>
                <w:szCs w:val="22"/>
              </w:rPr>
            </w:pPr>
            <w:r w:rsidRPr="00C6165A">
              <w:rPr>
                <w:sz w:val="22"/>
                <w:szCs w:val="22"/>
              </w:rPr>
              <w:t>Cerdas cubiertas más veces</w:t>
            </w:r>
          </w:p>
        </w:tc>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19D2CC5A" w14:textId="02CF15A9" w:rsidR="00711CED" w:rsidRPr="00C6165A" w:rsidRDefault="00C12A4D" w:rsidP="00C12A4D">
            <w:pPr>
              <w:jc w:val="center"/>
              <w:rPr>
                <w:sz w:val="22"/>
                <w:szCs w:val="22"/>
              </w:rPr>
            </w:pPr>
            <w:r w:rsidRPr="00C6165A">
              <w:rPr>
                <w:sz w:val="22"/>
                <w:szCs w:val="22"/>
              </w:rPr>
              <w:t>239.169</w:t>
            </w:r>
          </w:p>
        </w:tc>
        <w:tc>
          <w:tcPr>
            <w:tcW w:w="1150" w:type="dxa"/>
            <w:tcBorders>
              <w:top w:val="nil"/>
              <w:left w:val="nil"/>
              <w:bottom w:val="single" w:sz="4" w:space="0" w:color="auto"/>
              <w:right w:val="single" w:sz="4" w:space="0" w:color="auto"/>
            </w:tcBorders>
            <w:shd w:val="clear" w:color="auto" w:fill="auto"/>
            <w:noWrap/>
            <w:vAlign w:val="center"/>
          </w:tcPr>
          <w:p w14:paraId="46F66858" w14:textId="6E624263" w:rsidR="00711CED" w:rsidRPr="00C6165A" w:rsidRDefault="00711CED" w:rsidP="00C12A4D">
            <w:pPr>
              <w:jc w:val="center"/>
              <w:rPr>
                <w:sz w:val="22"/>
                <w:szCs w:val="22"/>
              </w:rPr>
            </w:pPr>
            <w:r w:rsidRPr="00C6165A">
              <w:rPr>
                <w:sz w:val="22"/>
                <w:szCs w:val="22"/>
              </w:rPr>
              <w:t>239.</w:t>
            </w:r>
            <w:r w:rsidR="00C12A4D" w:rsidRPr="00C6165A">
              <w:rPr>
                <w:sz w:val="22"/>
                <w:szCs w:val="22"/>
              </w:rPr>
              <w:t>526</w:t>
            </w:r>
          </w:p>
        </w:tc>
        <w:tc>
          <w:tcPr>
            <w:tcW w:w="1161" w:type="dxa"/>
            <w:tcBorders>
              <w:top w:val="nil"/>
              <w:left w:val="nil"/>
              <w:bottom w:val="single" w:sz="4" w:space="0" w:color="auto"/>
              <w:right w:val="single" w:sz="4" w:space="0" w:color="auto"/>
            </w:tcBorders>
            <w:shd w:val="clear" w:color="auto" w:fill="auto"/>
            <w:noWrap/>
            <w:vAlign w:val="center"/>
          </w:tcPr>
          <w:p w14:paraId="760DD507" w14:textId="03AD5558" w:rsidR="00711CED" w:rsidRPr="00C6165A" w:rsidRDefault="00C12A4D" w:rsidP="00C12A4D">
            <w:pPr>
              <w:jc w:val="center"/>
              <w:rPr>
                <w:sz w:val="22"/>
                <w:szCs w:val="22"/>
              </w:rPr>
            </w:pPr>
            <w:r w:rsidRPr="00C6165A">
              <w:rPr>
                <w:sz w:val="22"/>
                <w:szCs w:val="22"/>
              </w:rPr>
              <w:t>0,15</w:t>
            </w:r>
            <w:r w:rsidR="00711CED" w:rsidRPr="00C6165A">
              <w:rPr>
                <w:sz w:val="22"/>
                <w:szCs w:val="22"/>
              </w:rPr>
              <w:t>%</w:t>
            </w:r>
          </w:p>
        </w:tc>
      </w:tr>
      <w:tr w:rsidR="00C6165A" w:rsidRPr="00C6165A" w14:paraId="6A68B911" w14:textId="77777777" w:rsidTr="00DC4F14">
        <w:trPr>
          <w:trHeight w:val="290"/>
          <w:jc w:val="center"/>
        </w:trPr>
        <w:tc>
          <w:tcPr>
            <w:tcW w:w="1515" w:type="dxa"/>
            <w:vMerge/>
            <w:shd w:val="clear" w:color="auto" w:fill="auto"/>
            <w:noWrap/>
            <w:vAlign w:val="center"/>
            <w:hideMark/>
          </w:tcPr>
          <w:p w14:paraId="54D8E4C6" w14:textId="77777777" w:rsidR="00711CED" w:rsidRPr="00C6165A" w:rsidRDefault="00711CED" w:rsidP="00711CED">
            <w:pPr>
              <w:jc w:val="left"/>
              <w:rPr>
                <w:sz w:val="22"/>
                <w:szCs w:val="22"/>
              </w:rPr>
            </w:pPr>
          </w:p>
        </w:tc>
        <w:tc>
          <w:tcPr>
            <w:tcW w:w="1091" w:type="dxa"/>
            <w:vMerge/>
            <w:shd w:val="clear" w:color="auto" w:fill="auto"/>
            <w:noWrap/>
            <w:vAlign w:val="center"/>
            <w:hideMark/>
          </w:tcPr>
          <w:p w14:paraId="1FCD653C" w14:textId="77777777" w:rsidR="00711CED" w:rsidRPr="00C6165A" w:rsidRDefault="00711CED" w:rsidP="00711CED">
            <w:pPr>
              <w:jc w:val="left"/>
              <w:rPr>
                <w:sz w:val="22"/>
                <w:szCs w:val="22"/>
              </w:rPr>
            </w:pPr>
          </w:p>
        </w:tc>
        <w:tc>
          <w:tcPr>
            <w:tcW w:w="2455" w:type="dxa"/>
            <w:shd w:val="clear" w:color="auto" w:fill="auto"/>
            <w:noWrap/>
            <w:vAlign w:val="center"/>
            <w:hideMark/>
          </w:tcPr>
          <w:p w14:paraId="25B17874" w14:textId="77777777" w:rsidR="00711CED" w:rsidRPr="00C6165A" w:rsidRDefault="00711CED" w:rsidP="00711CED">
            <w:pPr>
              <w:jc w:val="left"/>
              <w:rPr>
                <w:sz w:val="22"/>
                <w:szCs w:val="22"/>
              </w:rPr>
            </w:pPr>
            <w:r w:rsidRPr="00C6165A">
              <w:rPr>
                <w:sz w:val="22"/>
                <w:szCs w:val="22"/>
              </w:rPr>
              <w:t>Cerdas criando o en reposo</w:t>
            </w:r>
          </w:p>
        </w:tc>
        <w:tc>
          <w:tcPr>
            <w:tcW w:w="1150" w:type="dxa"/>
            <w:tcBorders>
              <w:top w:val="nil"/>
              <w:left w:val="single" w:sz="4" w:space="0" w:color="auto"/>
              <w:bottom w:val="single" w:sz="4" w:space="0" w:color="auto"/>
              <w:right w:val="single" w:sz="4" w:space="0" w:color="auto"/>
            </w:tcBorders>
            <w:shd w:val="clear" w:color="auto" w:fill="auto"/>
            <w:noWrap/>
            <w:vAlign w:val="center"/>
            <w:hideMark/>
          </w:tcPr>
          <w:p w14:paraId="2466C2D3" w14:textId="553C002D" w:rsidR="00711CED" w:rsidRPr="00C6165A" w:rsidRDefault="00C12A4D" w:rsidP="00C12A4D">
            <w:pPr>
              <w:jc w:val="center"/>
              <w:rPr>
                <w:sz w:val="22"/>
                <w:szCs w:val="22"/>
              </w:rPr>
            </w:pPr>
            <w:r w:rsidRPr="00C6165A">
              <w:rPr>
                <w:sz w:val="22"/>
                <w:szCs w:val="22"/>
              </w:rPr>
              <w:t>85.762</w:t>
            </w:r>
          </w:p>
        </w:tc>
        <w:tc>
          <w:tcPr>
            <w:tcW w:w="1150" w:type="dxa"/>
            <w:tcBorders>
              <w:top w:val="nil"/>
              <w:left w:val="nil"/>
              <w:bottom w:val="single" w:sz="4" w:space="0" w:color="auto"/>
              <w:right w:val="single" w:sz="4" w:space="0" w:color="auto"/>
            </w:tcBorders>
            <w:shd w:val="clear" w:color="auto" w:fill="auto"/>
            <w:noWrap/>
            <w:vAlign w:val="center"/>
          </w:tcPr>
          <w:p w14:paraId="154CD379" w14:textId="2B1F59A6" w:rsidR="00711CED" w:rsidRPr="00C6165A" w:rsidRDefault="00711CED" w:rsidP="00C12A4D">
            <w:pPr>
              <w:jc w:val="center"/>
              <w:rPr>
                <w:sz w:val="22"/>
                <w:szCs w:val="22"/>
              </w:rPr>
            </w:pPr>
            <w:r w:rsidRPr="00C6165A">
              <w:rPr>
                <w:sz w:val="22"/>
                <w:szCs w:val="22"/>
              </w:rPr>
              <w:t>85.</w:t>
            </w:r>
            <w:r w:rsidR="00C12A4D" w:rsidRPr="00C6165A">
              <w:rPr>
                <w:sz w:val="22"/>
                <w:szCs w:val="22"/>
              </w:rPr>
              <w:t>437</w:t>
            </w:r>
          </w:p>
        </w:tc>
        <w:tc>
          <w:tcPr>
            <w:tcW w:w="1161" w:type="dxa"/>
            <w:tcBorders>
              <w:top w:val="nil"/>
              <w:left w:val="nil"/>
              <w:bottom w:val="single" w:sz="4" w:space="0" w:color="auto"/>
              <w:right w:val="single" w:sz="4" w:space="0" w:color="auto"/>
            </w:tcBorders>
            <w:shd w:val="clear" w:color="auto" w:fill="auto"/>
            <w:noWrap/>
            <w:vAlign w:val="center"/>
          </w:tcPr>
          <w:p w14:paraId="3F5992FD" w14:textId="73A961F8" w:rsidR="00711CED" w:rsidRPr="00C6165A" w:rsidRDefault="00C12A4D" w:rsidP="00C12A4D">
            <w:pPr>
              <w:jc w:val="center"/>
              <w:rPr>
                <w:sz w:val="22"/>
                <w:szCs w:val="22"/>
              </w:rPr>
            </w:pPr>
            <w:r w:rsidRPr="00C6165A">
              <w:rPr>
                <w:sz w:val="22"/>
                <w:szCs w:val="22"/>
              </w:rPr>
              <w:t>-0,38</w:t>
            </w:r>
            <w:r w:rsidR="00711CED" w:rsidRPr="00C6165A">
              <w:rPr>
                <w:sz w:val="22"/>
                <w:szCs w:val="22"/>
              </w:rPr>
              <w:t>%</w:t>
            </w:r>
          </w:p>
        </w:tc>
      </w:tr>
    </w:tbl>
    <w:p w14:paraId="0B8E45DA" w14:textId="77777777" w:rsidR="00CB5999" w:rsidRPr="00C6165A" w:rsidRDefault="00CB5999" w:rsidP="00CB5999">
      <w:pPr>
        <w:jc w:val="center"/>
        <w:rPr>
          <w:sz w:val="16"/>
          <w:szCs w:val="16"/>
        </w:rPr>
      </w:pPr>
      <w:r w:rsidRPr="00C6165A">
        <w:rPr>
          <w:sz w:val="16"/>
          <w:szCs w:val="16"/>
        </w:rPr>
        <w:t>Fuente: Elaboración propia a partir de las encuestas ganaderas del Ministerio de Agricultura, Pesca y Alimentación</w:t>
      </w:r>
    </w:p>
    <w:p w14:paraId="205AAECE" w14:textId="77777777" w:rsidR="00AA49C3" w:rsidRPr="00C6165A" w:rsidRDefault="00AA49C3" w:rsidP="00AA49C3"/>
    <w:p w14:paraId="51F0C863" w14:textId="77777777" w:rsidR="00AA49C3" w:rsidRPr="00C6165A" w:rsidRDefault="00AA49C3" w:rsidP="00AA49C3"/>
    <w:p w14:paraId="1D44569C" w14:textId="77777777" w:rsidR="00AA49C3" w:rsidRPr="00C6165A" w:rsidRDefault="00B211DB" w:rsidP="00AA49C3">
      <w:pPr>
        <w:rPr>
          <w:b/>
        </w:rPr>
      </w:pPr>
      <w:r w:rsidRPr="00C6165A">
        <w:rPr>
          <w:b/>
        </w:rPr>
        <w:t>El mercado de la producción de carne</w:t>
      </w:r>
    </w:p>
    <w:p w14:paraId="43063983" w14:textId="77777777" w:rsidR="00374EA3" w:rsidRPr="00C6165A" w:rsidRDefault="00374EA3" w:rsidP="00AA49C3"/>
    <w:p w14:paraId="781692DD" w14:textId="42CF8F2D" w:rsidR="001E7D5B" w:rsidRPr="00C6165A" w:rsidRDefault="00374EA3" w:rsidP="00AA49C3">
      <w:r w:rsidRPr="00C6165A">
        <w:t xml:space="preserve">La producción de carne en Castilla y León, </w:t>
      </w:r>
      <w:r w:rsidR="00191781" w:rsidRPr="00C6165A">
        <w:t>en los últimos doce</w:t>
      </w:r>
      <w:r w:rsidRPr="00C6165A">
        <w:t xml:space="preserve"> meses </w:t>
      </w:r>
      <w:r w:rsidR="00191781" w:rsidRPr="00C6165A">
        <w:t>con datos disponibles</w:t>
      </w:r>
      <w:r w:rsidRPr="00C6165A">
        <w:t xml:space="preserve"> ascendió a </w:t>
      </w:r>
      <w:r w:rsidR="001E7D5B" w:rsidRPr="00C6165A">
        <w:t>950.460</w:t>
      </w:r>
      <w:r w:rsidRPr="00C6165A">
        <w:t xml:space="preserve"> toneladas, que supone un </w:t>
      </w:r>
      <w:r w:rsidR="001E7D5B" w:rsidRPr="00C6165A">
        <w:t>aumento del 4,6</w:t>
      </w:r>
      <w:r w:rsidR="00154C4C" w:rsidRPr="00C6165A">
        <w:t>%</w:t>
      </w:r>
      <w:r w:rsidRPr="00C6165A">
        <w:t xml:space="preserve"> </w:t>
      </w:r>
      <w:r w:rsidR="001E7D5B" w:rsidRPr="00C6165A">
        <w:t>en relación con el</w:t>
      </w:r>
      <w:r w:rsidRPr="00C6165A">
        <w:t xml:space="preserve"> mismo periodo del año </w:t>
      </w:r>
      <w:r w:rsidR="00191781" w:rsidRPr="00C6165A">
        <w:t>anterior</w:t>
      </w:r>
      <w:r w:rsidRPr="00C6165A">
        <w:t xml:space="preserve">, </w:t>
      </w:r>
      <w:r w:rsidR="007E798A" w:rsidRPr="00C6165A">
        <w:t>con un</w:t>
      </w:r>
      <w:r w:rsidRPr="00C6165A">
        <w:t xml:space="preserve"> número de animales sacrificados </w:t>
      </w:r>
      <w:r w:rsidR="007E798A" w:rsidRPr="00C6165A">
        <w:t xml:space="preserve">también </w:t>
      </w:r>
      <w:r w:rsidR="00106678" w:rsidRPr="00C6165A">
        <w:t>incrementado</w:t>
      </w:r>
      <w:r w:rsidRPr="00C6165A">
        <w:t xml:space="preserve"> en un </w:t>
      </w:r>
      <w:r w:rsidR="001E7D5B" w:rsidRPr="00C6165A">
        <w:t>6,7</w:t>
      </w:r>
      <w:r w:rsidR="00154C4C" w:rsidRPr="00C6165A">
        <w:t>%</w:t>
      </w:r>
      <w:r w:rsidRPr="00C6165A">
        <w:t>.</w:t>
      </w:r>
    </w:p>
    <w:p w14:paraId="61BB4D93" w14:textId="7D7E79E0" w:rsidR="00AA49C3" w:rsidRPr="00C6165A" w:rsidRDefault="00374EA3" w:rsidP="00AA49C3">
      <w:r w:rsidRPr="00C6165A">
        <w:t>La distribución de animales sacrificados y producción de carne, por especie, se puede ver en la tabla siguiente.</w:t>
      </w:r>
    </w:p>
    <w:p w14:paraId="1BBC5837" w14:textId="77777777" w:rsidR="00AA49C3" w:rsidRPr="00C6165A" w:rsidRDefault="00AA49C3" w:rsidP="00AA49C3"/>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348"/>
        <w:gridCol w:w="1418"/>
        <w:gridCol w:w="992"/>
        <w:gridCol w:w="1134"/>
        <w:gridCol w:w="1134"/>
        <w:gridCol w:w="1276"/>
      </w:tblGrid>
      <w:tr w:rsidR="00C6165A" w:rsidRPr="00C6165A" w14:paraId="4D3CBCA8" w14:textId="77777777" w:rsidTr="00106678">
        <w:trPr>
          <w:trHeight w:val="321"/>
          <w:jc w:val="center"/>
        </w:trPr>
        <w:tc>
          <w:tcPr>
            <w:tcW w:w="1062" w:type="dxa"/>
            <w:tcBorders>
              <w:top w:val="nil"/>
              <w:left w:val="nil"/>
              <w:bottom w:val="nil"/>
            </w:tcBorders>
          </w:tcPr>
          <w:p w14:paraId="2390F8E5" w14:textId="77777777" w:rsidR="00AA49C3" w:rsidRPr="00C6165A" w:rsidRDefault="00AA49C3" w:rsidP="003466FC">
            <w:pPr>
              <w:rPr>
                <w:b/>
                <w:bCs/>
                <w:sz w:val="22"/>
                <w:szCs w:val="22"/>
              </w:rPr>
            </w:pPr>
          </w:p>
        </w:tc>
        <w:tc>
          <w:tcPr>
            <w:tcW w:w="3758" w:type="dxa"/>
            <w:gridSpan w:val="3"/>
            <w:tcBorders>
              <w:bottom w:val="single" w:sz="4" w:space="0" w:color="auto"/>
            </w:tcBorders>
            <w:vAlign w:val="center"/>
          </w:tcPr>
          <w:p w14:paraId="0BA9248A" w14:textId="77777777" w:rsidR="00AA49C3" w:rsidRPr="00C6165A" w:rsidRDefault="00AA49C3" w:rsidP="003466FC">
            <w:pPr>
              <w:jc w:val="center"/>
              <w:rPr>
                <w:b/>
                <w:bCs/>
                <w:sz w:val="22"/>
                <w:szCs w:val="22"/>
              </w:rPr>
            </w:pPr>
            <w:r w:rsidRPr="00C6165A">
              <w:rPr>
                <w:b/>
                <w:bCs/>
                <w:sz w:val="22"/>
                <w:szCs w:val="22"/>
              </w:rPr>
              <w:t>Animales sacrificados (</w:t>
            </w:r>
            <w:proofErr w:type="spellStart"/>
            <w:r w:rsidRPr="00C6165A">
              <w:rPr>
                <w:b/>
                <w:bCs/>
                <w:sz w:val="22"/>
                <w:szCs w:val="22"/>
              </w:rPr>
              <w:t>Nº</w:t>
            </w:r>
            <w:proofErr w:type="spellEnd"/>
            <w:r w:rsidRPr="00C6165A">
              <w:rPr>
                <w:b/>
                <w:bCs/>
                <w:sz w:val="22"/>
                <w:szCs w:val="22"/>
              </w:rPr>
              <w:t>)</w:t>
            </w:r>
          </w:p>
        </w:tc>
        <w:tc>
          <w:tcPr>
            <w:tcW w:w="3544" w:type="dxa"/>
            <w:gridSpan w:val="3"/>
            <w:tcBorders>
              <w:bottom w:val="single" w:sz="4" w:space="0" w:color="auto"/>
            </w:tcBorders>
            <w:vAlign w:val="center"/>
          </w:tcPr>
          <w:p w14:paraId="72EB7036" w14:textId="77777777" w:rsidR="00AA49C3" w:rsidRPr="00C6165A" w:rsidRDefault="00AA49C3" w:rsidP="003466FC">
            <w:pPr>
              <w:jc w:val="center"/>
              <w:rPr>
                <w:b/>
                <w:bCs/>
                <w:sz w:val="22"/>
                <w:szCs w:val="22"/>
              </w:rPr>
            </w:pPr>
            <w:r w:rsidRPr="00C6165A">
              <w:rPr>
                <w:b/>
                <w:bCs/>
                <w:sz w:val="22"/>
                <w:szCs w:val="22"/>
              </w:rPr>
              <w:t>Peso total (toneladas)</w:t>
            </w:r>
          </w:p>
        </w:tc>
      </w:tr>
      <w:tr w:rsidR="00C6165A" w:rsidRPr="00C6165A" w14:paraId="17ED3978" w14:textId="77777777" w:rsidTr="00A35A55">
        <w:trPr>
          <w:trHeight w:val="553"/>
          <w:jc w:val="center"/>
        </w:trPr>
        <w:tc>
          <w:tcPr>
            <w:tcW w:w="1062" w:type="dxa"/>
            <w:tcBorders>
              <w:top w:val="nil"/>
              <w:left w:val="nil"/>
            </w:tcBorders>
          </w:tcPr>
          <w:p w14:paraId="2E1E4862" w14:textId="77777777" w:rsidR="001E7D5B" w:rsidRPr="00C6165A" w:rsidRDefault="001E7D5B" w:rsidP="001E7D5B">
            <w:pPr>
              <w:rPr>
                <w:sz w:val="22"/>
                <w:szCs w:val="22"/>
              </w:rPr>
            </w:pPr>
          </w:p>
        </w:tc>
        <w:tc>
          <w:tcPr>
            <w:tcW w:w="1348" w:type="dxa"/>
            <w:tcBorders>
              <w:top w:val="single" w:sz="4" w:space="0" w:color="auto"/>
              <w:left w:val="nil"/>
              <w:bottom w:val="single" w:sz="4" w:space="0" w:color="auto"/>
              <w:right w:val="single" w:sz="4" w:space="0" w:color="auto"/>
            </w:tcBorders>
            <w:shd w:val="clear" w:color="auto" w:fill="auto"/>
            <w:vAlign w:val="center"/>
          </w:tcPr>
          <w:p w14:paraId="5ACB98CA" w14:textId="7ED6ADFE" w:rsidR="001E7D5B" w:rsidRPr="00C6165A" w:rsidRDefault="001E7D5B" w:rsidP="001E7D5B">
            <w:pPr>
              <w:jc w:val="center"/>
              <w:rPr>
                <w:b/>
                <w:bCs/>
                <w:sz w:val="22"/>
                <w:szCs w:val="22"/>
              </w:rPr>
            </w:pPr>
            <w:r w:rsidRPr="00C6165A">
              <w:rPr>
                <w:b/>
                <w:bCs/>
                <w:sz w:val="22"/>
                <w:szCs w:val="22"/>
              </w:rPr>
              <w:t>Oct 2020-Sep 2021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B15845" w14:textId="607EAA25" w:rsidR="001E7D5B" w:rsidRPr="00C6165A" w:rsidRDefault="001E7D5B" w:rsidP="001E7D5B">
            <w:pPr>
              <w:jc w:val="center"/>
              <w:rPr>
                <w:b/>
                <w:bCs/>
                <w:sz w:val="22"/>
                <w:szCs w:val="22"/>
              </w:rPr>
            </w:pPr>
            <w:r w:rsidRPr="00C6165A">
              <w:rPr>
                <w:b/>
                <w:bCs/>
                <w:sz w:val="22"/>
                <w:szCs w:val="22"/>
              </w:rPr>
              <w:t>Oct 2021-Sep 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943591" w14:textId="536D46E5" w:rsidR="001E7D5B" w:rsidRPr="00C6165A" w:rsidRDefault="001E7D5B" w:rsidP="001E7D5B">
            <w:pPr>
              <w:jc w:val="center"/>
              <w:rPr>
                <w:b/>
                <w:bCs/>
                <w:sz w:val="22"/>
                <w:szCs w:val="22"/>
              </w:rPr>
            </w:pPr>
            <w:r w:rsidRPr="00C6165A">
              <w:rPr>
                <w:b/>
                <w:bCs/>
                <w:sz w:val="22"/>
                <w:szCs w:val="22"/>
              </w:rPr>
              <w:t>Variación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8229A2" w14:textId="77777777" w:rsidR="001E7D5B" w:rsidRPr="00C6165A" w:rsidRDefault="001E7D5B" w:rsidP="001E7D5B">
            <w:pPr>
              <w:jc w:val="center"/>
              <w:rPr>
                <w:b/>
                <w:bCs/>
                <w:sz w:val="22"/>
                <w:szCs w:val="22"/>
              </w:rPr>
            </w:pPr>
            <w:r w:rsidRPr="00C6165A">
              <w:rPr>
                <w:b/>
                <w:bCs/>
                <w:sz w:val="22"/>
                <w:szCs w:val="22"/>
              </w:rPr>
              <w:t>Oct 2020-</w:t>
            </w:r>
          </w:p>
          <w:p w14:paraId="0DD7E81A" w14:textId="6C184E56" w:rsidR="001E7D5B" w:rsidRPr="00C6165A" w:rsidRDefault="001E7D5B" w:rsidP="001E7D5B">
            <w:pPr>
              <w:jc w:val="center"/>
              <w:rPr>
                <w:b/>
                <w:bCs/>
                <w:sz w:val="22"/>
                <w:szCs w:val="22"/>
              </w:rPr>
            </w:pPr>
            <w:proofErr w:type="spellStart"/>
            <w:r w:rsidRPr="00C6165A">
              <w:rPr>
                <w:b/>
                <w:bCs/>
                <w:sz w:val="22"/>
                <w:szCs w:val="22"/>
              </w:rPr>
              <w:t>Sep</w:t>
            </w:r>
            <w:proofErr w:type="spellEnd"/>
            <w:r w:rsidRPr="00C6165A">
              <w:rPr>
                <w:b/>
                <w:bCs/>
                <w:sz w:val="22"/>
                <w:szCs w:val="22"/>
              </w:rPr>
              <w:t xml:space="preserve"> 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EFDA8E" w14:textId="39234189" w:rsidR="001E7D5B" w:rsidRPr="00C6165A" w:rsidRDefault="001E7D5B" w:rsidP="001E7D5B">
            <w:pPr>
              <w:jc w:val="center"/>
              <w:rPr>
                <w:b/>
                <w:bCs/>
                <w:sz w:val="22"/>
                <w:szCs w:val="22"/>
              </w:rPr>
            </w:pPr>
            <w:r w:rsidRPr="00C6165A">
              <w:rPr>
                <w:b/>
                <w:bCs/>
                <w:sz w:val="22"/>
                <w:szCs w:val="22"/>
              </w:rPr>
              <w:t>Oct 2021-Sep 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A03A66" w14:textId="5552FF48" w:rsidR="001E7D5B" w:rsidRPr="00C6165A" w:rsidRDefault="001E7D5B" w:rsidP="001E7D5B">
            <w:pPr>
              <w:jc w:val="center"/>
              <w:rPr>
                <w:b/>
                <w:bCs/>
                <w:sz w:val="22"/>
                <w:szCs w:val="22"/>
              </w:rPr>
            </w:pPr>
            <w:r w:rsidRPr="00C6165A">
              <w:rPr>
                <w:b/>
                <w:bCs/>
                <w:sz w:val="22"/>
                <w:szCs w:val="22"/>
              </w:rPr>
              <w:t>Variación (%)</w:t>
            </w:r>
          </w:p>
        </w:tc>
      </w:tr>
      <w:tr w:rsidR="00C6165A" w:rsidRPr="00C6165A" w14:paraId="7E7C4864" w14:textId="77777777" w:rsidTr="00A35A55">
        <w:trPr>
          <w:jc w:val="center"/>
        </w:trPr>
        <w:tc>
          <w:tcPr>
            <w:tcW w:w="1062" w:type="dxa"/>
            <w:tcBorders>
              <w:right w:val="single" w:sz="4" w:space="0" w:color="auto"/>
            </w:tcBorders>
          </w:tcPr>
          <w:p w14:paraId="02C25EFA" w14:textId="77777777" w:rsidR="00106678" w:rsidRPr="00C6165A" w:rsidRDefault="00106678" w:rsidP="00106678">
            <w:pPr>
              <w:rPr>
                <w:sz w:val="22"/>
                <w:szCs w:val="22"/>
              </w:rPr>
            </w:pPr>
            <w:r w:rsidRPr="00C6165A">
              <w:rPr>
                <w:sz w:val="22"/>
                <w:szCs w:val="22"/>
              </w:rPr>
              <w:t>Bovino</w:t>
            </w:r>
          </w:p>
        </w:tc>
        <w:tc>
          <w:tcPr>
            <w:tcW w:w="1348" w:type="dxa"/>
            <w:tcBorders>
              <w:top w:val="single" w:sz="4" w:space="0" w:color="auto"/>
              <w:left w:val="nil"/>
              <w:bottom w:val="single" w:sz="4" w:space="0" w:color="auto"/>
              <w:right w:val="single" w:sz="4" w:space="0" w:color="auto"/>
            </w:tcBorders>
            <w:shd w:val="clear" w:color="auto" w:fill="auto"/>
            <w:vAlign w:val="center"/>
          </w:tcPr>
          <w:p w14:paraId="75C26101" w14:textId="17E0EC6E" w:rsidR="00106678" w:rsidRPr="00C6165A" w:rsidRDefault="00106678" w:rsidP="00106678">
            <w:pPr>
              <w:jc w:val="center"/>
              <w:rPr>
                <w:sz w:val="22"/>
                <w:szCs w:val="22"/>
              </w:rPr>
            </w:pPr>
            <w:r w:rsidRPr="00C6165A">
              <w:rPr>
                <w:sz w:val="22"/>
                <w:szCs w:val="22"/>
              </w:rPr>
              <w:t>387.624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104872" w14:textId="15C83992" w:rsidR="00106678" w:rsidRPr="00C6165A" w:rsidRDefault="00106678" w:rsidP="00106678">
            <w:pPr>
              <w:jc w:val="center"/>
              <w:rPr>
                <w:sz w:val="22"/>
                <w:szCs w:val="22"/>
              </w:rPr>
            </w:pPr>
            <w:r w:rsidRPr="00C6165A">
              <w:rPr>
                <w:sz w:val="22"/>
                <w:szCs w:val="22"/>
              </w:rPr>
              <w:t>423.321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B8092B" w14:textId="2DA0C3AF" w:rsidR="00106678" w:rsidRPr="00C6165A" w:rsidRDefault="00106678" w:rsidP="00106678">
            <w:pPr>
              <w:jc w:val="center"/>
              <w:rPr>
                <w:i/>
                <w:iCs/>
                <w:sz w:val="22"/>
                <w:szCs w:val="22"/>
              </w:rPr>
            </w:pPr>
            <w:r w:rsidRPr="00C6165A">
              <w:rPr>
                <w:i/>
                <w:iCs/>
                <w:sz w:val="22"/>
                <w:szCs w:val="22"/>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4829A" w14:textId="657481CE" w:rsidR="00106678" w:rsidRPr="00C6165A" w:rsidRDefault="00106678" w:rsidP="00106678">
            <w:pPr>
              <w:jc w:val="center"/>
              <w:rPr>
                <w:sz w:val="22"/>
                <w:szCs w:val="22"/>
              </w:rPr>
            </w:pPr>
            <w:r w:rsidRPr="00C6165A">
              <w:rPr>
                <w:sz w:val="22"/>
                <w:szCs w:val="22"/>
              </w:rPr>
              <w:t>109.810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530877" w14:textId="18035D58" w:rsidR="00106678" w:rsidRPr="00C6165A" w:rsidRDefault="00106678" w:rsidP="00106678">
            <w:pPr>
              <w:jc w:val="center"/>
              <w:rPr>
                <w:sz w:val="22"/>
                <w:szCs w:val="22"/>
              </w:rPr>
            </w:pPr>
            <w:r w:rsidRPr="00C6165A">
              <w:rPr>
                <w:sz w:val="22"/>
                <w:szCs w:val="22"/>
              </w:rPr>
              <w:t>120.665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7891BF" w14:textId="572FD06F" w:rsidR="00106678" w:rsidRPr="00C6165A" w:rsidRDefault="00106678" w:rsidP="00106678">
            <w:pPr>
              <w:jc w:val="center"/>
              <w:rPr>
                <w:i/>
                <w:iCs/>
                <w:sz w:val="22"/>
                <w:szCs w:val="22"/>
              </w:rPr>
            </w:pPr>
            <w:r w:rsidRPr="00C6165A">
              <w:rPr>
                <w:i/>
                <w:iCs/>
                <w:sz w:val="22"/>
                <w:szCs w:val="22"/>
              </w:rPr>
              <w:t>9,9%</w:t>
            </w:r>
          </w:p>
        </w:tc>
      </w:tr>
      <w:tr w:rsidR="00C6165A" w:rsidRPr="00C6165A" w14:paraId="1A8EA123" w14:textId="77777777" w:rsidTr="00A35A55">
        <w:trPr>
          <w:jc w:val="center"/>
        </w:trPr>
        <w:tc>
          <w:tcPr>
            <w:tcW w:w="1062" w:type="dxa"/>
            <w:tcBorders>
              <w:right w:val="single" w:sz="4" w:space="0" w:color="auto"/>
            </w:tcBorders>
          </w:tcPr>
          <w:p w14:paraId="00F215D9" w14:textId="77777777" w:rsidR="00106678" w:rsidRPr="00C6165A" w:rsidRDefault="00106678" w:rsidP="00106678">
            <w:pPr>
              <w:rPr>
                <w:sz w:val="22"/>
                <w:szCs w:val="22"/>
              </w:rPr>
            </w:pPr>
            <w:r w:rsidRPr="00C6165A">
              <w:rPr>
                <w:sz w:val="22"/>
                <w:szCs w:val="22"/>
              </w:rPr>
              <w:t>Ovino</w:t>
            </w:r>
          </w:p>
        </w:tc>
        <w:tc>
          <w:tcPr>
            <w:tcW w:w="1348" w:type="dxa"/>
            <w:tcBorders>
              <w:top w:val="single" w:sz="4" w:space="0" w:color="auto"/>
              <w:left w:val="nil"/>
              <w:bottom w:val="single" w:sz="4" w:space="0" w:color="auto"/>
              <w:right w:val="single" w:sz="4" w:space="0" w:color="auto"/>
            </w:tcBorders>
            <w:shd w:val="clear" w:color="auto" w:fill="auto"/>
            <w:vAlign w:val="center"/>
          </w:tcPr>
          <w:p w14:paraId="623CE080" w14:textId="2E331A95" w:rsidR="00106678" w:rsidRPr="00C6165A" w:rsidRDefault="00106678" w:rsidP="00106678">
            <w:pPr>
              <w:jc w:val="center"/>
              <w:rPr>
                <w:sz w:val="22"/>
                <w:szCs w:val="22"/>
              </w:rPr>
            </w:pPr>
            <w:r w:rsidRPr="00C6165A">
              <w:rPr>
                <w:sz w:val="22"/>
                <w:szCs w:val="22"/>
              </w:rPr>
              <w:t>3.272.308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7D70F5" w14:textId="0FEE90B8" w:rsidR="00106678" w:rsidRPr="00C6165A" w:rsidRDefault="00106678" w:rsidP="00106678">
            <w:pPr>
              <w:jc w:val="center"/>
              <w:rPr>
                <w:sz w:val="22"/>
                <w:szCs w:val="22"/>
              </w:rPr>
            </w:pPr>
            <w:r w:rsidRPr="00C6165A">
              <w:rPr>
                <w:sz w:val="22"/>
                <w:szCs w:val="22"/>
              </w:rPr>
              <w:t>3.455.115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633FDE" w14:textId="430370B1" w:rsidR="00106678" w:rsidRPr="00C6165A" w:rsidRDefault="00106678" w:rsidP="00106678">
            <w:pPr>
              <w:jc w:val="center"/>
              <w:rPr>
                <w:i/>
                <w:iCs/>
                <w:sz w:val="22"/>
                <w:szCs w:val="22"/>
              </w:rPr>
            </w:pPr>
            <w:r w:rsidRPr="00C6165A">
              <w:rPr>
                <w:i/>
                <w:iCs/>
                <w:sz w:val="22"/>
                <w:szCs w:val="22"/>
              </w:rPr>
              <w:t>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9611D2" w14:textId="622E7E18" w:rsidR="00106678" w:rsidRPr="00C6165A" w:rsidRDefault="00106678" w:rsidP="00106678">
            <w:pPr>
              <w:jc w:val="center"/>
              <w:rPr>
                <w:sz w:val="22"/>
                <w:szCs w:val="22"/>
              </w:rPr>
            </w:pPr>
            <w:r w:rsidRPr="00C6165A">
              <w:rPr>
                <w:sz w:val="22"/>
                <w:szCs w:val="22"/>
              </w:rPr>
              <w:t>34.466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368DF6" w14:textId="055ED943" w:rsidR="00106678" w:rsidRPr="00C6165A" w:rsidRDefault="00106678" w:rsidP="00106678">
            <w:pPr>
              <w:jc w:val="center"/>
              <w:rPr>
                <w:sz w:val="22"/>
                <w:szCs w:val="22"/>
              </w:rPr>
            </w:pPr>
            <w:r w:rsidRPr="00C6165A">
              <w:rPr>
                <w:sz w:val="22"/>
                <w:szCs w:val="22"/>
              </w:rPr>
              <w:t>39.084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F10D0D" w14:textId="46C9F33D" w:rsidR="00106678" w:rsidRPr="00C6165A" w:rsidRDefault="00106678" w:rsidP="00106678">
            <w:pPr>
              <w:jc w:val="center"/>
              <w:rPr>
                <w:i/>
                <w:iCs/>
                <w:sz w:val="22"/>
                <w:szCs w:val="22"/>
              </w:rPr>
            </w:pPr>
            <w:r w:rsidRPr="00C6165A">
              <w:rPr>
                <w:i/>
                <w:iCs/>
                <w:sz w:val="22"/>
                <w:szCs w:val="22"/>
              </w:rPr>
              <w:t>13,4%</w:t>
            </w:r>
          </w:p>
        </w:tc>
      </w:tr>
      <w:tr w:rsidR="00C6165A" w:rsidRPr="00C6165A" w14:paraId="0F649C3D" w14:textId="77777777" w:rsidTr="00A35A55">
        <w:trPr>
          <w:jc w:val="center"/>
        </w:trPr>
        <w:tc>
          <w:tcPr>
            <w:tcW w:w="1062" w:type="dxa"/>
            <w:tcBorders>
              <w:right w:val="single" w:sz="4" w:space="0" w:color="auto"/>
            </w:tcBorders>
          </w:tcPr>
          <w:p w14:paraId="6CC88764" w14:textId="77777777" w:rsidR="00106678" w:rsidRPr="00C6165A" w:rsidRDefault="00106678" w:rsidP="00106678">
            <w:pPr>
              <w:rPr>
                <w:sz w:val="22"/>
                <w:szCs w:val="22"/>
              </w:rPr>
            </w:pPr>
            <w:r w:rsidRPr="00C6165A">
              <w:rPr>
                <w:sz w:val="22"/>
                <w:szCs w:val="22"/>
              </w:rPr>
              <w:t>Caprino</w:t>
            </w:r>
          </w:p>
        </w:tc>
        <w:tc>
          <w:tcPr>
            <w:tcW w:w="1348" w:type="dxa"/>
            <w:tcBorders>
              <w:top w:val="single" w:sz="4" w:space="0" w:color="auto"/>
              <w:left w:val="nil"/>
              <w:bottom w:val="single" w:sz="4" w:space="0" w:color="auto"/>
              <w:right w:val="single" w:sz="4" w:space="0" w:color="auto"/>
            </w:tcBorders>
            <w:shd w:val="clear" w:color="auto" w:fill="auto"/>
            <w:vAlign w:val="center"/>
          </w:tcPr>
          <w:p w14:paraId="63FEF2B3" w14:textId="12A5E50D" w:rsidR="00106678" w:rsidRPr="00C6165A" w:rsidRDefault="00106678" w:rsidP="00106678">
            <w:pPr>
              <w:jc w:val="center"/>
              <w:rPr>
                <w:sz w:val="22"/>
                <w:szCs w:val="22"/>
              </w:rPr>
            </w:pPr>
            <w:r w:rsidRPr="00C6165A">
              <w:rPr>
                <w:sz w:val="22"/>
                <w:szCs w:val="22"/>
              </w:rPr>
              <w:t>89.366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B1A21B" w14:textId="04E6032A" w:rsidR="00106678" w:rsidRPr="00C6165A" w:rsidRDefault="00106678" w:rsidP="00106678">
            <w:pPr>
              <w:jc w:val="center"/>
              <w:rPr>
                <w:sz w:val="22"/>
                <w:szCs w:val="22"/>
              </w:rPr>
            </w:pPr>
            <w:r w:rsidRPr="00C6165A">
              <w:rPr>
                <w:sz w:val="22"/>
                <w:szCs w:val="22"/>
              </w:rPr>
              <w:t>114.499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A4C0EC" w14:textId="0811661B" w:rsidR="00106678" w:rsidRPr="00C6165A" w:rsidRDefault="00106678" w:rsidP="00106678">
            <w:pPr>
              <w:jc w:val="center"/>
              <w:rPr>
                <w:i/>
                <w:iCs/>
                <w:sz w:val="22"/>
                <w:szCs w:val="22"/>
              </w:rPr>
            </w:pPr>
            <w:r w:rsidRPr="00C6165A">
              <w:rPr>
                <w:i/>
                <w:iCs/>
                <w:sz w:val="22"/>
                <w:szCs w:val="22"/>
              </w:rPr>
              <w:t>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89F2C6" w14:textId="5131C235" w:rsidR="00106678" w:rsidRPr="00C6165A" w:rsidRDefault="00106678" w:rsidP="00106678">
            <w:pPr>
              <w:jc w:val="center"/>
              <w:rPr>
                <w:sz w:val="22"/>
                <w:szCs w:val="22"/>
              </w:rPr>
            </w:pPr>
            <w:r w:rsidRPr="00C6165A">
              <w:rPr>
                <w:sz w:val="22"/>
                <w:szCs w:val="22"/>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339C5A" w14:textId="7627793C" w:rsidR="00106678" w:rsidRPr="00C6165A" w:rsidRDefault="00106678" w:rsidP="00106678">
            <w:pPr>
              <w:jc w:val="center"/>
              <w:rPr>
                <w:sz w:val="22"/>
                <w:szCs w:val="22"/>
              </w:rPr>
            </w:pPr>
            <w:r w:rsidRPr="00C6165A">
              <w:rPr>
                <w:sz w:val="22"/>
                <w:szCs w:val="22"/>
              </w:rPr>
              <w:t>1.158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01FD70" w14:textId="31361158" w:rsidR="00106678" w:rsidRPr="00C6165A" w:rsidRDefault="00106678" w:rsidP="00106678">
            <w:pPr>
              <w:jc w:val="center"/>
              <w:rPr>
                <w:i/>
                <w:iCs/>
                <w:sz w:val="22"/>
                <w:szCs w:val="22"/>
              </w:rPr>
            </w:pPr>
            <w:r w:rsidRPr="00C6165A">
              <w:rPr>
                <w:i/>
                <w:iCs/>
                <w:sz w:val="22"/>
                <w:szCs w:val="22"/>
              </w:rPr>
              <w:t>43,0%</w:t>
            </w:r>
          </w:p>
        </w:tc>
      </w:tr>
      <w:tr w:rsidR="00C6165A" w:rsidRPr="00C6165A" w14:paraId="0C7C709D" w14:textId="77777777" w:rsidTr="00A35A55">
        <w:trPr>
          <w:jc w:val="center"/>
        </w:trPr>
        <w:tc>
          <w:tcPr>
            <w:tcW w:w="1062" w:type="dxa"/>
            <w:tcBorders>
              <w:right w:val="single" w:sz="4" w:space="0" w:color="auto"/>
            </w:tcBorders>
          </w:tcPr>
          <w:p w14:paraId="21CA8EE1" w14:textId="77777777" w:rsidR="00106678" w:rsidRPr="00C6165A" w:rsidRDefault="00106678" w:rsidP="00106678">
            <w:pPr>
              <w:rPr>
                <w:sz w:val="22"/>
                <w:szCs w:val="22"/>
              </w:rPr>
            </w:pPr>
            <w:r w:rsidRPr="00C6165A">
              <w:rPr>
                <w:sz w:val="22"/>
                <w:szCs w:val="22"/>
              </w:rPr>
              <w:t>Porcino</w:t>
            </w:r>
          </w:p>
        </w:tc>
        <w:tc>
          <w:tcPr>
            <w:tcW w:w="1348" w:type="dxa"/>
            <w:tcBorders>
              <w:top w:val="single" w:sz="4" w:space="0" w:color="auto"/>
              <w:left w:val="nil"/>
              <w:bottom w:val="single" w:sz="4" w:space="0" w:color="auto"/>
              <w:right w:val="single" w:sz="4" w:space="0" w:color="auto"/>
            </w:tcBorders>
            <w:shd w:val="clear" w:color="auto" w:fill="auto"/>
            <w:vAlign w:val="center"/>
          </w:tcPr>
          <w:p w14:paraId="72D8027C" w14:textId="14261F2B" w:rsidR="00106678" w:rsidRPr="00C6165A" w:rsidRDefault="00106678" w:rsidP="00106678">
            <w:pPr>
              <w:jc w:val="center"/>
              <w:rPr>
                <w:sz w:val="22"/>
                <w:szCs w:val="22"/>
              </w:rPr>
            </w:pPr>
            <w:r w:rsidRPr="00C6165A">
              <w:rPr>
                <w:sz w:val="22"/>
                <w:szCs w:val="22"/>
              </w:rPr>
              <w:t>6.814.091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E44A74" w14:textId="28D4BBFF" w:rsidR="00106678" w:rsidRPr="00C6165A" w:rsidRDefault="00106678" w:rsidP="00106678">
            <w:pPr>
              <w:jc w:val="center"/>
              <w:rPr>
                <w:sz w:val="22"/>
                <w:szCs w:val="22"/>
              </w:rPr>
            </w:pPr>
            <w:r w:rsidRPr="00C6165A">
              <w:rPr>
                <w:sz w:val="22"/>
                <w:szCs w:val="22"/>
              </w:rPr>
              <w:t>7.165.156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092446" w14:textId="37191D30" w:rsidR="00106678" w:rsidRPr="00C6165A" w:rsidRDefault="00106678" w:rsidP="00106678">
            <w:pPr>
              <w:jc w:val="center"/>
              <w:rPr>
                <w:i/>
                <w:iCs/>
                <w:sz w:val="22"/>
                <w:szCs w:val="22"/>
              </w:rPr>
            </w:pPr>
            <w:r w:rsidRPr="00C6165A">
              <w:rPr>
                <w:i/>
                <w:iCs/>
                <w:sz w:val="22"/>
                <w:szCs w:val="22"/>
              </w:rPr>
              <w:t>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16CFF" w14:textId="45A07223" w:rsidR="00106678" w:rsidRPr="00C6165A" w:rsidRDefault="00106678" w:rsidP="00106678">
            <w:pPr>
              <w:jc w:val="center"/>
              <w:rPr>
                <w:sz w:val="22"/>
                <w:szCs w:val="22"/>
              </w:rPr>
            </w:pPr>
            <w:r w:rsidRPr="00C6165A">
              <w:rPr>
                <w:sz w:val="22"/>
                <w:szCs w:val="22"/>
              </w:rPr>
              <w:t>633.916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7F24C4" w14:textId="64172F82" w:rsidR="00106678" w:rsidRPr="00C6165A" w:rsidRDefault="00106678" w:rsidP="00106678">
            <w:pPr>
              <w:jc w:val="center"/>
              <w:rPr>
                <w:sz w:val="22"/>
                <w:szCs w:val="22"/>
              </w:rPr>
            </w:pPr>
            <w:r w:rsidRPr="00C6165A">
              <w:rPr>
                <w:sz w:val="22"/>
                <w:szCs w:val="22"/>
              </w:rPr>
              <w:t>651.033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B23A88" w14:textId="0BA18FC6" w:rsidR="00106678" w:rsidRPr="00C6165A" w:rsidRDefault="00106678" w:rsidP="00106678">
            <w:pPr>
              <w:jc w:val="center"/>
              <w:rPr>
                <w:i/>
                <w:iCs/>
                <w:sz w:val="22"/>
                <w:szCs w:val="22"/>
              </w:rPr>
            </w:pPr>
            <w:r w:rsidRPr="00C6165A">
              <w:rPr>
                <w:i/>
                <w:iCs/>
                <w:sz w:val="22"/>
                <w:szCs w:val="22"/>
              </w:rPr>
              <w:t>2,7%</w:t>
            </w:r>
          </w:p>
        </w:tc>
      </w:tr>
      <w:tr w:rsidR="00C6165A" w:rsidRPr="00C6165A" w14:paraId="5BA2DE9E" w14:textId="77777777" w:rsidTr="00A35A55">
        <w:trPr>
          <w:jc w:val="center"/>
        </w:trPr>
        <w:tc>
          <w:tcPr>
            <w:tcW w:w="1062" w:type="dxa"/>
            <w:tcBorders>
              <w:right w:val="single" w:sz="4" w:space="0" w:color="auto"/>
            </w:tcBorders>
          </w:tcPr>
          <w:p w14:paraId="1CF8FE98" w14:textId="77777777" w:rsidR="00106678" w:rsidRPr="00C6165A" w:rsidRDefault="00106678" w:rsidP="00106678">
            <w:pPr>
              <w:rPr>
                <w:sz w:val="22"/>
                <w:szCs w:val="22"/>
              </w:rPr>
            </w:pPr>
            <w:r w:rsidRPr="00C6165A">
              <w:rPr>
                <w:sz w:val="22"/>
                <w:szCs w:val="22"/>
              </w:rPr>
              <w:t>Equino</w:t>
            </w:r>
          </w:p>
        </w:tc>
        <w:tc>
          <w:tcPr>
            <w:tcW w:w="1348" w:type="dxa"/>
            <w:tcBorders>
              <w:top w:val="single" w:sz="4" w:space="0" w:color="auto"/>
              <w:left w:val="nil"/>
              <w:bottom w:val="single" w:sz="4" w:space="0" w:color="auto"/>
              <w:right w:val="single" w:sz="4" w:space="0" w:color="auto"/>
            </w:tcBorders>
            <w:shd w:val="clear" w:color="auto" w:fill="auto"/>
            <w:vAlign w:val="center"/>
          </w:tcPr>
          <w:p w14:paraId="174BD29B" w14:textId="63B87D32" w:rsidR="00106678" w:rsidRPr="00C6165A" w:rsidRDefault="00106678" w:rsidP="00106678">
            <w:pPr>
              <w:jc w:val="center"/>
              <w:rPr>
                <w:sz w:val="22"/>
                <w:szCs w:val="22"/>
              </w:rPr>
            </w:pPr>
            <w:r w:rsidRPr="00C6165A">
              <w:rPr>
                <w:sz w:val="22"/>
                <w:szCs w:val="22"/>
              </w:rPr>
              <w:t>3.663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DB3F6D" w14:textId="305BBCF0" w:rsidR="00106678" w:rsidRPr="00C6165A" w:rsidRDefault="00106678" w:rsidP="00106678">
            <w:pPr>
              <w:jc w:val="center"/>
              <w:rPr>
                <w:sz w:val="22"/>
                <w:szCs w:val="22"/>
              </w:rPr>
            </w:pPr>
            <w:r w:rsidRPr="00C6165A">
              <w:rPr>
                <w:sz w:val="22"/>
                <w:szCs w:val="22"/>
              </w:rPr>
              <w:t>2.854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1D1E80" w14:textId="5B83F511" w:rsidR="00106678" w:rsidRPr="00C6165A" w:rsidRDefault="00106678" w:rsidP="00106678">
            <w:pPr>
              <w:jc w:val="center"/>
              <w:rPr>
                <w:i/>
                <w:iCs/>
                <w:sz w:val="22"/>
                <w:szCs w:val="22"/>
              </w:rPr>
            </w:pPr>
            <w:r w:rsidRPr="00C6165A">
              <w:rPr>
                <w:i/>
                <w:iCs/>
                <w:sz w:val="22"/>
                <w:szCs w:val="22"/>
              </w:rPr>
              <w:t>-22,1%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27EF8A" w14:textId="4BD0259F" w:rsidR="00106678" w:rsidRPr="00C6165A" w:rsidRDefault="00106678" w:rsidP="00106678">
            <w:pPr>
              <w:jc w:val="center"/>
              <w:rPr>
                <w:sz w:val="22"/>
                <w:szCs w:val="22"/>
              </w:rPr>
            </w:pPr>
            <w:r w:rsidRPr="00C6165A">
              <w:rPr>
                <w:sz w:val="22"/>
                <w:szCs w:val="22"/>
              </w:rPr>
              <w:t>677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1D4F35" w14:textId="07C340CF" w:rsidR="00106678" w:rsidRPr="00C6165A" w:rsidRDefault="00106678" w:rsidP="00106678">
            <w:pPr>
              <w:jc w:val="center"/>
              <w:rPr>
                <w:sz w:val="22"/>
                <w:szCs w:val="22"/>
              </w:rPr>
            </w:pPr>
            <w:r w:rsidRPr="00C6165A">
              <w:rPr>
                <w:sz w:val="22"/>
                <w:szCs w:val="22"/>
              </w:rPr>
              <w:t>526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74886F" w14:textId="5EEFF276" w:rsidR="00106678" w:rsidRPr="00C6165A" w:rsidRDefault="00106678" w:rsidP="00106678">
            <w:pPr>
              <w:jc w:val="center"/>
              <w:rPr>
                <w:i/>
                <w:iCs/>
                <w:sz w:val="22"/>
                <w:szCs w:val="22"/>
              </w:rPr>
            </w:pPr>
            <w:r w:rsidRPr="00C6165A">
              <w:rPr>
                <w:i/>
                <w:iCs/>
                <w:sz w:val="22"/>
                <w:szCs w:val="22"/>
              </w:rPr>
              <w:t>-22,3%</w:t>
            </w:r>
          </w:p>
        </w:tc>
      </w:tr>
      <w:tr w:rsidR="00C6165A" w:rsidRPr="00C6165A" w14:paraId="610B9600" w14:textId="77777777" w:rsidTr="00A35A55">
        <w:trPr>
          <w:jc w:val="center"/>
        </w:trPr>
        <w:tc>
          <w:tcPr>
            <w:tcW w:w="1062" w:type="dxa"/>
            <w:tcBorders>
              <w:right w:val="single" w:sz="4" w:space="0" w:color="auto"/>
            </w:tcBorders>
          </w:tcPr>
          <w:p w14:paraId="12433A81" w14:textId="77777777" w:rsidR="00106678" w:rsidRPr="00C6165A" w:rsidRDefault="00106678" w:rsidP="00106678">
            <w:pPr>
              <w:rPr>
                <w:sz w:val="22"/>
                <w:szCs w:val="22"/>
              </w:rPr>
            </w:pPr>
            <w:r w:rsidRPr="00C6165A">
              <w:rPr>
                <w:sz w:val="22"/>
                <w:szCs w:val="22"/>
              </w:rPr>
              <w:t>Aves</w:t>
            </w:r>
          </w:p>
        </w:tc>
        <w:tc>
          <w:tcPr>
            <w:tcW w:w="1348" w:type="dxa"/>
            <w:tcBorders>
              <w:top w:val="single" w:sz="4" w:space="0" w:color="auto"/>
              <w:left w:val="nil"/>
              <w:bottom w:val="single" w:sz="4" w:space="0" w:color="auto"/>
              <w:right w:val="single" w:sz="4" w:space="0" w:color="auto"/>
            </w:tcBorders>
            <w:shd w:val="clear" w:color="auto" w:fill="auto"/>
            <w:vAlign w:val="center"/>
          </w:tcPr>
          <w:p w14:paraId="382817F1" w14:textId="3EFAE794" w:rsidR="00106678" w:rsidRPr="00C6165A" w:rsidRDefault="00106678" w:rsidP="00106678">
            <w:pPr>
              <w:jc w:val="center"/>
              <w:rPr>
                <w:sz w:val="22"/>
                <w:szCs w:val="22"/>
              </w:rPr>
            </w:pPr>
            <w:r w:rsidRPr="00C6165A">
              <w:rPr>
                <w:sz w:val="22"/>
                <w:szCs w:val="22"/>
              </w:rPr>
              <w:t>59.612.785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2B516A" w14:textId="2DE226E7" w:rsidR="00106678" w:rsidRPr="00C6165A" w:rsidRDefault="00106678" w:rsidP="00106678">
            <w:pPr>
              <w:jc w:val="center"/>
              <w:rPr>
                <w:sz w:val="22"/>
                <w:szCs w:val="22"/>
              </w:rPr>
            </w:pPr>
            <w:r w:rsidRPr="00C6165A">
              <w:rPr>
                <w:sz w:val="22"/>
                <w:szCs w:val="22"/>
              </w:rPr>
              <w:t>63.726.620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DF39AF" w14:textId="4C343FE1" w:rsidR="00106678" w:rsidRPr="00C6165A" w:rsidRDefault="00106678" w:rsidP="00106678">
            <w:pPr>
              <w:jc w:val="center"/>
              <w:rPr>
                <w:i/>
                <w:iCs/>
                <w:sz w:val="22"/>
                <w:szCs w:val="22"/>
              </w:rPr>
            </w:pPr>
            <w:r w:rsidRPr="00C6165A">
              <w:rPr>
                <w:i/>
                <w:iCs/>
                <w:sz w:val="22"/>
                <w:szCs w:val="22"/>
              </w:rPr>
              <w:t>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B4B0E3" w14:textId="37473B95" w:rsidR="00106678" w:rsidRPr="00C6165A" w:rsidRDefault="00106678" w:rsidP="00106678">
            <w:pPr>
              <w:jc w:val="center"/>
              <w:rPr>
                <w:sz w:val="22"/>
                <w:szCs w:val="22"/>
              </w:rPr>
            </w:pPr>
            <w:r w:rsidRPr="00C6165A">
              <w:rPr>
                <w:sz w:val="22"/>
                <w:szCs w:val="22"/>
              </w:rPr>
              <w:t>129.089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2C4C9" w14:textId="74BDC3D6" w:rsidR="00106678" w:rsidRPr="00C6165A" w:rsidRDefault="00106678" w:rsidP="00106678">
            <w:pPr>
              <w:jc w:val="center"/>
              <w:rPr>
                <w:sz w:val="22"/>
                <w:szCs w:val="22"/>
              </w:rPr>
            </w:pPr>
            <w:r w:rsidRPr="00C6165A">
              <w:rPr>
                <w:sz w:val="22"/>
                <w:szCs w:val="22"/>
              </w:rPr>
              <w:t>137.994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74486F" w14:textId="3C057559" w:rsidR="00106678" w:rsidRPr="00C6165A" w:rsidRDefault="00106678" w:rsidP="00106678">
            <w:pPr>
              <w:jc w:val="center"/>
              <w:rPr>
                <w:i/>
                <w:iCs/>
                <w:sz w:val="22"/>
                <w:szCs w:val="22"/>
              </w:rPr>
            </w:pPr>
            <w:r w:rsidRPr="00C6165A">
              <w:rPr>
                <w:i/>
                <w:iCs/>
                <w:sz w:val="22"/>
                <w:szCs w:val="22"/>
              </w:rPr>
              <w:t>6,9%</w:t>
            </w:r>
          </w:p>
        </w:tc>
      </w:tr>
      <w:tr w:rsidR="00C6165A" w:rsidRPr="00C6165A" w14:paraId="536B4370" w14:textId="77777777" w:rsidTr="00A35A55">
        <w:trPr>
          <w:jc w:val="center"/>
        </w:trPr>
        <w:tc>
          <w:tcPr>
            <w:tcW w:w="1062" w:type="dxa"/>
            <w:tcBorders>
              <w:right w:val="single" w:sz="4" w:space="0" w:color="auto"/>
            </w:tcBorders>
          </w:tcPr>
          <w:p w14:paraId="5863253A" w14:textId="48B900E7" w:rsidR="007E798A" w:rsidRPr="00C6165A" w:rsidRDefault="007E798A" w:rsidP="007E798A">
            <w:pPr>
              <w:rPr>
                <w:b/>
                <w:bCs/>
                <w:sz w:val="22"/>
                <w:szCs w:val="22"/>
              </w:rPr>
            </w:pPr>
            <w:r w:rsidRPr="00C6165A">
              <w:rPr>
                <w:b/>
                <w:bCs/>
                <w:sz w:val="22"/>
                <w:szCs w:val="22"/>
              </w:rPr>
              <w:t>Total</w:t>
            </w:r>
          </w:p>
        </w:tc>
        <w:tc>
          <w:tcPr>
            <w:tcW w:w="1348" w:type="dxa"/>
            <w:tcBorders>
              <w:top w:val="single" w:sz="4" w:space="0" w:color="auto"/>
              <w:left w:val="nil"/>
              <w:bottom w:val="single" w:sz="4" w:space="0" w:color="auto"/>
              <w:right w:val="single" w:sz="4" w:space="0" w:color="auto"/>
            </w:tcBorders>
            <w:shd w:val="clear" w:color="auto" w:fill="auto"/>
            <w:vAlign w:val="center"/>
          </w:tcPr>
          <w:p w14:paraId="6E981801" w14:textId="78F27492" w:rsidR="007E798A" w:rsidRPr="00C6165A" w:rsidRDefault="001E7D5B" w:rsidP="00106678">
            <w:pPr>
              <w:jc w:val="center"/>
              <w:rPr>
                <w:b/>
                <w:bCs/>
                <w:i/>
                <w:iCs/>
                <w:sz w:val="22"/>
                <w:szCs w:val="22"/>
                <w:lang w:eastAsia="es-ES"/>
              </w:rPr>
            </w:pPr>
            <w:r w:rsidRPr="00C6165A">
              <w:rPr>
                <w:b/>
                <w:bCs/>
                <w:i/>
                <w:iCs/>
                <w:sz w:val="22"/>
                <w:szCs w:val="22"/>
              </w:rPr>
              <w:t>70.179.836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DDDAD1" w14:textId="5CAE72BB" w:rsidR="007E798A" w:rsidRPr="00C6165A" w:rsidRDefault="00106678" w:rsidP="00106678">
            <w:pPr>
              <w:jc w:val="center"/>
              <w:rPr>
                <w:b/>
                <w:bCs/>
                <w:i/>
                <w:iCs/>
                <w:sz w:val="22"/>
                <w:szCs w:val="22"/>
                <w:lang w:eastAsia="es-ES"/>
              </w:rPr>
            </w:pPr>
            <w:r w:rsidRPr="00C6165A">
              <w:rPr>
                <w:b/>
                <w:bCs/>
                <w:i/>
                <w:iCs/>
                <w:sz w:val="22"/>
                <w:szCs w:val="22"/>
              </w:rPr>
              <w:t>74.887.565</w:t>
            </w:r>
          </w:p>
        </w:tc>
        <w:tc>
          <w:tcPr>
            <w:tcW w:w="992" w:type="dxa"/>
            <w:tcBorders>
              <w:top w:val="single" w:sz="4" w:space="0" w:color="auto"/>
              <w:left w:val="single" w:sz="4" w:space="0" w:color="auto"/>
              <w:bottom w:val="single" w:sz="4" w:space="0" w:color="auto"/>
              <w:right w:val="nil"/>
            </w:tcBorders>
            <w:shd w:val="clear" w:color="auto" w:fill="auto"/>
            <w:vAlign w:val="center"/>
          </w:tcPr>
          <w:p w14:paraId="692078E3" w14:textId="7CEC20F0" w:rsidR="007E798A" w:rsidRPr="00C6165A" w:rsidRDefault="00106678" w:rsidP="00106678">
            <w:pPr>
              <w:jc w:val="center"/>
              <w:rPr>
                <w:b/>
                <w:bCs/>
                <w:i/>
                <w:iCs/>
                <w:sz w:val="22"/>
                <w:szCs w:val="22"/>
                <w:lang w:eastAsia="es-ES"/>
              </w:rPr>
            </w:pPr>
            <w:r w:rsidRPr="00C6165A">
              <w:rPr>
                <w:b/>
                <w:bCs/>
                <w:i/>
                <w:iCs/>
                <w:sz w:val="22"/>
                <w:szCs w:val="22"/>
              </w:rPr>
              <w:t>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CA8B10" w14:textId="56540A6A" w:rsidR="007E798A" w:rsidRPr="00C6165A" w:rsidRDefault="00106678" w:rsidP="00106678">
            <w:pPr>
              <w:jc w:val="center"/>
              <w:rPr>
                <w:b/>
                <w:bCs/>
                <w:i/>
                <w:iCs/>
                <w:sz w:val="22"/>
                <w:szCs w:val="22"/>
                <w:lang w:eastAsia="es-ES"/>
              </w:rPr>
            </w:pPr>
            <w:r w:rsidRPr="00C6165A">
              <w:rPr>
                <w:b/>
                <w:bCs/>
                <w:i/>
                <w:iCs/>
                <w:sz w:val="22"/>
                <w:szCs w:val="22"/>
              </w:rPr>
              <w:t>908.768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459C2E" w14:textId="2FDFCA68" w:rsidR="007E798A" w:rsidRPr="00C6165A" w:rsidRDefault="00106678" w:rsidP="00106678">
            <w:pPr>
              <w:jc w:val="center"/>
              <w:rPr>
                <w:b/>
                <w:bCs/>
                <w:i/>
                <w:iCs/>
                <w:sz w:val="22"/>
                <w:szCs w:val="22"/>
                <w:lang w:eastAsia="es-ES"/>
              </w:rPr>
            </w:pPr>
            <w:r w:rsidRPr="00C6165A">
              <w:rPr>
                <w:b/>
                <w:bCs/>
                <w:i/>
                <w:iCs/>
                <w:sz w:val="22"/>
                <w:szCs w:val="22"/>
              </w:rPr>
              <w:t>950.460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8599D4" w14:textId="5C3580DC" w:rsidR="007E798A" w:rsidRPr="00C6165A" w:rsidRDefault="00106678" w:rsidP="00106678">
            <w:pPr>
              <w:jc w:val="center"/>
              <w:rPr>
                <w:b/>
                <w:bCs/>
                <w:i/>
                <w:iCs/>
                <w:sz w:val="22"/>
                <w:szCs w:val="22"/>
                <w:lang w:eastAsia="es-ES"/>
              </w:rPr>
            </w:pPr>
            <w:r w:rsidRPr="00C6165A">
              <w:rPr>
                <w:b/>
                <w:bCs/>
                <w:i/>
                <w:iCs/>
                <w:sz w:val="22"/>
                <w:szCs w:val="22"/>
              </w:rPr>
              <w:t>4,6%</w:t>
            </w:r>
          </w:p>
        </w:tc>
      </w:tr>
    </w:tbl>
    <w:p w14:paraId="08515735" w14:textId="5B2BE000" w:rsidR="00B211DB" w:rsidRPr="00C6165A" w:rsidRDefault="00B211DB" w:rsidP="00591CD3">
      <w:pPr>
        <w:jc w:val="center"/>
        <w:rPr>
          <w:sz w:val="16"/>
          <w:szCs w:val="16"/>
        </w:rPr>
      </w:pPr>
      <w:r w:rsidRPr="00C6165A">
        <w:rPr>
          <w:sz w:val="16"/>
          <w:szCs w:val="16"/>
        </w:rPr>
        <w:t xml:space="preserve">Fuente: </w:t>
      </w:r>
      <w:r w:rsidR="00591CD3" w:rsidRPr="00C6165A">
        <w:rPr>
          <w:sz w:val="16"/>
          <w:szCs w:val="16"/>
        </w:rPr>
        <w:t>Elaboración propia a partir de las e</w:t>
      </w:r>
      <w:r w:rsidRPr="00C6165A">
        <w:rPr>
          <w:sz w:val="16"/>
          <w:szCs w:val="16"/>
        </w:rPr>
        <w:t>ncuestas de sacrificio de ganado del Ministerio de Agricultura, Pesca y Alimentación</w:t>
      </w:r>
    </w:p>
    <w:p w14:paraId="338B31F2" w14:textId="77777777" w:rsidR="00AA49C3" w:rsidRPr="00C6165A" w:rsidRDefault="00AA49C3" w:rsidP="00AA49C3"/>
    <w:p w14:paraId="24CFAE7C" w14:textId="2F89EB4D" w:rsidR="00585BF7" w:rsidRPr="00C6165A" w:rsidRDefault="00585BF7" w:rsidP="00AA49C3">
      <w:r w:rsidRPr="00C6165A">
        <w:t xml:space="preserve">Se ha producido un </w:t>
      </w:r>
      <w:r w:rsidR="00106678" w:rsidRPr="00C6165A">
        <w:t>aument</w:t>
      </w:r>
      <w:r w:rsidRPr="00C6165A">
        <w:t xml:space="preserve">o en la producción de carne en casi todas las especies, con la excepción del </w:t>
      </w:r>
      <w:r w:rsidR="00106678" w:rsidRPr="00C6165A">
        <w:t>equino</w:t>
      </w:r>
      <w:r w:rsidRPr="00C6165A">
        <w:t xml:space="preserve">, que ha </w:t>
      </w:r>
      <w:r w:rsidR="00106678" w:rsidRPr="00C6165A">
        <w:t>disminuido un 22,3%</w:t>
      </w:r>
      <w:r w:rsidRPr="00C6165A">
        <w:t xml:space="preserve">. También se ha producido un </w:t>
      </w:r>
      <w:r w:rsidR="00106678" w:rsidRPr="00C6165A">
        <w:t>aumento</w:t>
      </w:r>
      <w:r w:rsidRPr="00C6165A">
        <w:t xml:space="preserve"> generalizado en cuanto al número de animales sacrificados, con la excepción del ganado </w:t>
      </w:r>
      <w:r w:rsidR="00106678" w:rsidRPr="00C6165A">
        <w:t>equino</w:t>
      </w:r>
      <w:r w:rsidRPr="00C6165A">
        <w:t>.</w:t>
      </w:r>
    </w:p>
    <w:p w14:paraId="17532C8E" w14:textId="18AE71E7" w:rsidR="00B3455C" w:rsidRPr="00C6165A" w:rsidRDefault="00B3455C" w:rsidP="00B3455C"/>
    <w:p w14:paraId="775475C5" w14:textId="77777777" w:rsidR="00F16EE8" w:rsidRPr="00C6165A" w:rsidRDefault="00F16EE8" w:rsidP="00F16EE8">
      <w:pPr>
        <w:tabs>
          <w:tab w:val="left" w:pos="1701"/>
        </w:tabs>
        <w:rPr>
          <w:vanish/>
        </w:rPr>
      </w:pPr>
    </w:p>
    <w:p w14:paraId="367B313E" w14:textId="33C34D24" w:rsidR="00374EA3" w:rsidRPr="00C6165A" w:rsidRDefault="00B211DB" w:rsidP="00AA49C3">
      <w:r w:rsidRPr="00C6165A">
        <w:t xml:space="preserve">Respecto a los </w:t>
      </w:r>
      <w:r w:rsidRPr="00C6165A">
        <w:rPr>
          <w:b/>
        </w:rPr>
        <w:t>precios</w:t>
      </w:r>
      <w:r w:rsidRPr="00C6165A">
        <w:t>, el</w:t>
      </w:r>
      <w:r w:rsidR="00AA49C3" w:rsidRPr="00C6165A">
        <w:t xml:space="preserve"> de la </w:t>
      </w:r>
      <w:r w:rsidR="00AA49C3" w:rsidRPr="00C6165A">
        <w:rPr>
          <w:b/>
          <w:bCs/>
        </w:rPr>
        <w:t>carne de vacuno</w:t>
      </w:r>
      <w:r w:rsidR="00AA49C3" w:rsidRPr="00C6165A">
        <w:t xml:space="preserve"> ha tenido una tendencia </w:t>
      </w:r>
      <w:r w:rsidR="00525E70" w:rsidRPr="00C6165A">
        <w:t>al alza</w:t>
      </w:r>
      <w:r w:rsidR="00AA49C3" w:rsidRPr="00C6165A">
        <w:t xml:space="preserve"> todo el año</w:t>
      </w:r>
      <w:r w:rsidR="00525E70" w:rsidRPr="00C6165A">
        <w:t xml:space="preserve">, con </w:t>
      </w:r>
      <w:r w:rsidR="00B45214" w:rsidRPr="00C6165A">
        <w:t xml:space="preserve">dos </w:t>
      </w:r>
      <w:r w:rsidR="00525E70" w:rsidRPr="00C6165A">
        <w:t>intervalo</w:t>
      </w:r>
      <w:r w:rsidR="00B45214" w:rsidRPr="00C6165A">
        <w:t>s</w:t>
      </w:r>
      <w:r w:rsidR="00525E70" w:rsidRPr="00C6165A">
        <w:t xml:space="preserve"> entre abril</w:t>
      </w:r>
      <w:r w:rsidR="00B45214" w:rsidRPr="00C6165A">
        <w:t>-mayo</w:t>
      </w:r>
      <w:r w:rsidR="00525E70" w:rsidRPr="00C6165A">
        <w:t xml:space="preserve"> y julio</w:t>
      </w:r>
      <w:r w:rsidR="00B45214" w:rsidRPr="00C6165A">
        <w:t>-agosto</w:t>
      </w:r>
      <w:r w:rsidR="00525E70" w:rsidRPr="00C6165A">
        <w:t xml:space="preserve"> en que los precios se mantuvieron constantes</w:t>
      </w:r>
      <w:r w:rsidR="00B45214" w:rsidRPr="00C6165A">
        <w:t xml:space="preserve">. En general los precios han superado los del año anterior desde inicio de año, situándose un 18,36% por encima del precio para el mismo periodo 2021. </w:t>
      </w:r>
      <w:r w:rsidR="004C38FE" w:rsidRPr="00C6165A">
        <w:t xml:space="preserve">El precio actual se sitúa </w:t>
      </w:r>
      <w:r w:rsidR="00525E70" w:rsidRPr="00C6165A">
        <w:t>un 2</w:t>
      </w:r>
      <w:r w:rsidR="00B45214" w:rsidRPr="00C6165A">
        <w:t>3</w:t>
      </w:r>
      <w:r w:rsidR="00154C4C" w:rsidRPr="00C6165A">
        <w:t>%</w:t>
      </w:r>
      <w:r w:rsidR="004C38FE" w:rsidRPr="00C6165A">
        <w:t xml:space="preserve"> por </w:t>
      </w:r>
      <w:r w:rsidR="00525E70" w:rsidRPr="00C6165A">
        <w:t>encima</w:t>
      </w:r>
      <w:r w:rsidR="004C38FE" w:rsidRPr="00C6165A">
        <w:t xml:space="preserve"> de lo que se pagó el año anterior.</w:t>
      </w:r>
    </w:p>
    <w:p w14:paraId="54EFA757" w14:textId="77777777" w:rsidR="00AA49C3" w:rsidRPr="00C6165A" w:rsidRDefault="00AA49C3" w:rsidP="00AA49C3"/>
    <w:p w14:paraId="08F39C3C" w14:textId="5C7695C2" w:rsidR="00AA49C3" w:rsidRPr="00C6165A" w:rsidRDefault="00B45214" w:rsidP="00AA49C3">
      <w:pPr>
        <w:jc w:val="center"/>
      </w:pPr>
      <w:r w:rsidRPr="00C6165A">
        <w:rPr>
          <w:noProof/>
        </w:rPr>
        <w:drawing>
          <wp:inline distT="0" distB="0" distL="0" distR="0" wp14:anchorId="10FB0C86" wp14:editId="62145D13">
            <wp:extent cx="3774831" cy="251950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93897" cy="2532234"/>
                    </a:xfrm>
                    <a:prstGeom prst="rect">
                      <a:avLst/>
                    </a:prstGeom>
                    <a:noFill/>
                  </pic:spPr>
                </pic:pic>
              </a:graphicData>
            </a:graphic>
          </wp:inline>
        </w:drawing>
      </w:r>
    </w:p>
    <w:p w14:paraId="04BD654B" w14:textId="77777777" w:rsidR="00001831" w:rsidRPr="00C6165A" w:rsidRDefault="00001831" w:rsidP="00001831">
      <w:pPr>
        <w:spacing w:before="120"/>
        <w:jc w:val="center"/>
        <w:rPr>
          <w:sz w:val="16"/>
          <w:szCs w:val="16"/>
          <w:lang w:eastAsia="es-ES"/>
        </w:rPr>
      </w:pPr>
      <w:r w:rsidRPr="00C6165A">
        <w:rPr>
          <w:sz w:val="16"/>
          <w:szCs w:val="16"/>
          <w:lang w:eastAsia="es-ES"/>
        </w:rPr>
        <w:t>Fuente: Elaboración propia a partir de los precios medios nacionales del Ministerio de Agricultura, Pesca y Alimentación</w:t>
      </w:r>
    </w:p>
    <w:p w14:paraId="70E3AA43" w14:textId="77777777" w:rsidR="00AA49C3" w:rsidRPr="00C6165A" w:rsidRDefault="00AA49C3" w:rsidP="00AA49C3">
      <w:pPr>
        <w:jc w:val="center"/>
      </w:pPr>
    </w:p>
    <w:p w14:paraId="4F4E316B" w14:textId="7FA06FF4" w:rsidR="00751694" w:rsidRPr="00C6165A" w:rsidRDefault="00AA49C3" w:rsidP="00AA49C3">
      <w:r w:rsidRPr="00C6165A">
        <w:t>En ovino, el precio del co</w:t>
      </w:r>
      <w:r w:rsidR="006C2B49" w:rsidRPr="00C6165A">
        <w:t>r</w:t>
      </w:r>
      <w:r w:rsidRPr="00C6165A">
        <w:t xml:space="preserve">dero comenzó el año </w:t>
      </w:r>
      <w:r w:rsidR="00525E70" w:rsidRPr="00C6165A">
        <w:t xml:space="preserve">en torno a los </w:t>
      </w:r>
      <w:r w:rsidR="00B45214" w:rsidRPr="00C6165A">
        <w:t>7,25</w:t>
      </w:r>
      <w:r w:rsidR="00A94F8C" w:rsidRPr="00C6165A">
        <w:t xml:space="preserve"> </w:t>
      </w:r>
      <w:r w:rsidRPr="00C6165A">
        <w:t xml:space="preserve">euros por kilo de canal, un </w:t>
      </w:r>
      <w:r w:rsidR="00B45214" w:rsidRPr="00C6165A">
        <w:t>11,24%</w:t>
      </w:r>
      <w:r w:rsidRPr="00C6165A">
        <w:t xml:space="preserve"> por </w:t>
      </w:r>
      <w:r w:rsidR="00751694" w:rsidRPr="00C6165A">
        <w:t>encima</w:t>
      </w:r>
      <w:r w:rsidRPr="00C6165A">
        <w:t xml:space="preserve"> del año anterior, </w:t>
      </w:r>
      <w:r w:rsidR="00706446" w:rsidRPr="00C6165A">
        <w:t xml:space="preserve">con una ligera bajada </w:t>
      </w:r>
      <w:r w:rsidR="00D52EEE" w:rsidRPr="00C6165A">
        <w:t>en mayo</w:t>
      </w:r>
      <w:r w:rsidR="00706446" w:rsidRPr="00C6165A">
        <w:t xml:space="preserve"> para después tener un recorrido al alza hasta llegar a los máximos en noviembre</w:t>
      </w:r>
      <w:r w:rsidR="00751694" w:rsidRPr="00C6165A">
        <w:t xml:space="preserve">, cuando </w:t>
      </w:r>
      <w:r w:rsidR="00511215" w:rsidRPr="00C6165A">
        <w:t>se situó en</w:t>
      </w:r>
      <w:r w:rsidR="00706446" w:rsidRPr="00C6165A">
        <w:t xml:space="preserve"> </w:t>
      </w:r>
      <w:r w:rsidR="00D52EEE" w:rsidRPr="00C6165A">
        <w:t>7,99</w:t>
      </w:r>
      <w:r w:rsidR="00751694" w:rsidRPr="00C6165A">
        <w:t xml:space="preserve"> euros por kilo</w:t>
      </w:r>
      <w:r w:rsidR="00D52EEE" w:rsidRPr="00C6165A">
        <w:t xml:space="preserve">, </w:t>
      </w:r>
      <w:r w:rsidR="00706446" w:rsidRPr="00C6165A">
        <w:t xml:space="preserve">un </w:t>
      </w:r>
      <w:r w:rsidR="00D52EEE" w:rsidRPr="00C6165A">
        <w:t>4,48</w:t>
      </w:r>
      <w:r w:rsidR="00154C4C" w:rsidRPr="00C6165A">
        <w:t>%</w:t>
      </w:r>
      <w:r w:rsidR="00706446" w:rsidRPr="00C6165A">
        <w:t xml:space="preserve"> </w:t>
      </w:r>
      <w:r w:rsidR="00D52EEE" w:rsidRPr="00C6165A">
        <w:t>menos que</w:t>
      </w:r>
      <w:r w:rsidR="00706446" w:rsidRPr="00C6165A">
        <w:t xml:space="preserve"> </w:t>
      </w:r>
      <w:r w:rsidR="002631C9" w:rsidRPr="00C6165A">
        <w:t>en</w:t>
      </w:r>
      <w:r w:rsidR="00706446" w:rsidRPr="00C6165A">
        <w:t xml:space="preserve"> 202</w:t>
      </w:r>
      <w:r w:rsidR="00D52EEE" w:rsidRPr="00C6165A">
        <w:t>1</w:t>
      </w:r>
      <w:r w:rsidR="00706446" w:rsidRPr="00C6165A">
        <w:t xml:space="preserve"> por las mismas fechas</w:t>
      </w:r>
      <w:r w:rsidR="00751694" w:rsidRPr="00C6165A">
        <w:t>.</w:t>
      </w:r>
    </w:p>
    <w:p w14:paraId="685643A9" w14:textId="77777777" w:rsidR="00AA49C3" w:rsidRPr="00C6165A" w:rsidRDefault="00AA49C3" w:rsidP="00AA49C3"/>
    <w:p w14:paraId="506EA354" w14:textId="2D42095E" w:rsidR="00AA49C3" w:rsidRPr="00C6165A" w:rsidRDefault="00B45214" w:rsidP="00AA49C3">
      <w:pPr>
        <w:jc w:val="center"/>
      </w:pPr>
      <w:r w:rsidRPr="00C6165A">
        <w:rPr>
          <w:noProof/>
        </w:rPr>
        <w:drawing>
          <wp:inline distT="0" distB="0" distL="0" distR="0" wp14:anchorId="4E57FBD9" wp14:editId="69B733E9">
            <wp:extent cx="3692769" cy="2464737"/>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14409" cy="2479181"/>
                    </a:xfrm>
                    <a:prstGeom prst="rect">
                      <a:avLst/>
                    </a:prstGeom>
                    <a:noFill/>
                  </pic:spPr>
                </pic:pic>
              </a:graphicData>
            </a:graphic>
          </wp:inline>
        </w:drawing>
      </w:r>
    </w:p>
    <w:p w14:paraId="3F7CADCD" w14:textId="77777777" w:rsidR="00B2757C" w:rsidRPr="00C6165A" w:rsidRDefault="00B2757C" w:rsidP="00B2757C">
      <w:pPr>
        <w:spacing w:before="120"/>
        <w:jc w:val="center"/>
        <w:rPr>
          <w:sz w:val="16"/>
          <w:szCs w:val="16"/>
          <w:lang w:eastAsia="es-ES"/>
        </w:rPr>
      </w:pPr>
      <w:r w:rsidRPr="00C6165A">
        <w:rPr>
          <w:sz w:val="16"/>
          <w:szCs w:val="16"/>
          <w:lang w:eastAsia="es-ES"/>
        </w:rPr>
        <w:t>Fuente: Elaboración propia a partir de los precios medios nacionales del Ministerio de Agricultura, Pesca y Alimentación</w:t>
      </w:r>
    </w:p>
    <w:p w14:paraId="2D24549C" w14:textId="77777777" w:rsidR="00AA49C3" w:rsidRPr="00C6165A" w:rsidRDefault="00AA49C3" w:rsidP="00AA49C3">
      <w:pPr>
        <w:jc w:val="center"/>
      </w:pPr>
    </w:p>
    <w:p w14:paraId="29E5544A" w14:textId="11E61D84" w:rsidR="00D00A44" w:rsidRPr="00C6165A" w:rsidRDefault="00AA49C3" w:rsidP="00D00A44">
      <w:r w:rsidRPr="00C6165A">
        <w:t xml:space="preserve">El lechazo </w:t>
      </w:r>
      <w:r w:rsidR="00FA3327" w:rsidRPr="00C6165A">
        <w:t xml:space="preserve">de Castilla y León </w:t>
      </w:r>
      <w:r w:rsidRPr="00C6165A">
        <w:t xml:space="preserve">ha tenido </w:t>
      </w:r>
      <w:r w:rsidR="00D00A44" w:rsidRPr="00C6165A">
        <w:t>un incremento constante de los precios de los animales desde el</w:t>
      </w:r>
      <w:r w:rsidR="00A17493" w:rsidRPr="00C6165A">
        <w:t xml:space="preserve"> </w:t>
      </w:r>
      <w:r w:rsidR="00D00A44" w:rsidRPr="00C6165A">
        <w:t xml:space="preserve">mes de </w:t>
      </w:r>
      <w:r w:rsidR="002631C9" w:rsidRPr="00C6165A">
        <w:t>febrer</w:t>
      </w:r>
      <w:r w:rsidR="00D00A44" w:rsidRPr="00C6165A">
        <w:t xml:space="preserve">o, alcanzando precios históricos nunca vistos y rompiendo el comportamiento típico de otros años en los que llegando octubre las cotizaciones empezaban a descender hasta los días previos a las fiestas navideñas. Sin embargo, este año ha continuado la tendencia al alza hasta finales de </w:t>
      </w:r>
      <w:r w:rsidR="002631C9" w:rsidRPr="00C6165A">
        <w:t>noviembre,</w:t>
      </w:r>
      <w:r w:rsidR="00D00A44" w:rsidRPr="00C6165A">
        <w:t xml:space="preserve"> alcanzando niveles de 6,</w:t>
      </w:r>
      <w:r w:rsidR="00FD08E7" w:rsidRPr="00C6165A">
        <w:t>6</w:t>
      </w:r>
      <w:r w:rsidR="002631C9" w:rsidRPr="00C6165A">
        <w:t>6</w:t>
      </w:r>
      <w:r w:rsidR="00D00A44" w:rsidRPr="00C6165A">
        <w:t xml:space="preserve"> euros por kilo vivo, que son precios un </w:t>
      </w:r>
      <w:r w:rsidR="002631C9" w:rsidRPr="00C6165A">
        <w:t>1,46%</w:t>
      </w:r>
      <w:r w:rsidR="00D00A44" w:rsidRPr="00C6165A">
        <w:t xml:space="preserve"> por encima de los del año pasado.</w:t>
      </w:r>
    </w:p>
    <w:p w14:paraId="45FF89D1" w14:textId="77777777" w:rsidR="00AA49C3" w:rsidRPr="00C6165A" w:rsidRDefault="00AA49C3" w:rsidP="00AA49C3">
      <w:pPr>
        <w:rPr>
          <w:b/>
        </w:rPr>
      </w:pPr>
    </w:p>
    <w:p w14:paraId="7756E6B9" w14:textId="57C9B15E" w:rsidR="00AA49C3" w:rsidRPr="00C6165A" w:rsidRDefault="002631C9" w:rsidP="00AA49C3">
      <w:pPr>
        <w:spacing w:after="120"/>
        <w:jc w:val="center"/>
      </w:pPr>
      <w:r w:rsidRPr="00C6165A">
        <w:rPr>
          <w:noProof/>
        </w:rPr>
        <w:drawing>
          <wp:inline distT="0" distB="0" distL="0" distR="0" wp14:anchorId="0613F016" wp14:editId="0A1FDA50">
            <wp:extent cx="3980725" cy="2661139"/>
            <wp:effectExtent l="0" t="0" r="127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96806" cy="2671889"/>
                    </a:xfrm>
                    <a:prstGeom prst="rect">
                      <a:avLst/>
                    </a:prstGeom>
                    <a:noFill/>
                  </pic:spPr>
                </pic:pic>
              </a:graphicData>
            </a:graphic>
          </wp:inline>
        </w:drawing>
      </w:r>
    </w:p>
    <w:p w14:paraId="3B388049" w14:textId="77777777" w:rsidR="00380B49" w:rsidRPr="00C6165A" w:rsidRDefault="00380B49" w:rsidP="00380B49">
      <w:pPr>
        <w:spacing w:after="120"/>
        <w:jc w:val="center"/>
        <w:rPr>
          <w:sz w:val="16"/>
          <w:szCs w:val="16"/>
          <w:lang w:eastAsia="es-ES"/>
        </w:rPr>
      </w:pPr>
      <w:r w:rsidRPr="00C6165A">
        <w:rPr>
          <w:sz w:val="16"/>
          <w:szCs w:val="16"/>
          <w:lang w:eastAsia="es-ES"/>
        </w:rPr>
        <w:t>Fuente: Elaboración propia a partir de datos del Observatorio de precios de los productos agrícolas y ganaderos de Castilla y León</w:t>
      </w:r>
    </w:p>
    <w:p w14:paraId="7638DD6A" w14:textId="77777777" w:rsidR="00B2757C" w:rsidRPr="00C6165A" w:rsidRDefault="00B2757C" w:rsidP="00AA49C3">
      <w:pPr>
        <w:spacing w:after="120"/>
        <w:jc w:val="center"/>
      </w:pPr>
    </w:p>
    <w:p w14:paraId="7E931441" w14:textId="48F3D8C1" w:rsidR="0011607D" w:rsidRPr="00C6165A" w:rsidRDefault="00A94F8C" w:rsidP="00AA49C3">
      <w:r w:rsidRPr="00C6165A">
        <w:t xml:space="preserve">El cabrito lechal ha tenido una </w:t>
      </w:r>
      <w:r w:rsidR="002631C9" w:rsidRPr="00C6165A">
        <w:t>evolución similar</w:t>
      </w:r>
      <w:r w:rsidR="000B4BB9" w:rsidRPr="00C6165A">
        <w:t xml:space="preserve"> a la del año anterior</w:t>
      </w:r>
      <w:r w:rsidR="002631C9" w:rsidRPr="00C6165A">
        <w:t>, comenzando el año a un precio 2,8% superior</w:t>
      </w:r>
      <w:r w:rsidR="00511215" w:rsidRPr="00C6165A">
        <w:t>,</w:t>
      </w:r>
      <w:r w:rsidR="002631C9" w:rsidRPr="00C6165A">
        <w:t xml:space="preserve"> que descendió en febrero y se ha mantenido al alza el resto del año. </w:t>
      </w:r>
      <w:r w:rsidR="000C0A26" w:rsidRPr="00C6165A">
        <w:t xml:space="preserve">El último precio disponible, de </w:t>
      </w:r>
      <w:r w:rsidR="002631C9" w:rsidRPr="00C6165A">
        <w:t>octubre</w:t>
      </w:r>
      <w:r w:rsidR="000B4BB9" w:rsidRPr="00C6165A">
        <w:t>,</w:t>
      </w:r>
      <w:r w:rsidR="000C0A26" w:rsidRPr="00C6165A">
        <w:t xml:space="preserve"> está en torno a 5,</w:t>
      </w:r>
      <w:r w:rsidR="002631C9" w:rsidRPr="00C6165A">
        <w:t>8</w:t>
      </w:r>
      <w:r w:rsidR="000C0A26" w:rsidRPr="00C6165A">
        <w:t xml:space="preserve"> euros por kilo vivo, que es</w:t>
      </w:r>
      <w:r w:rsidR="002C6A7F" w:rsidRPr="00C6165A">
        <w:t xml:space="preserve"> </w:t>
      </w:r>
      <w:r w:rsidR="000B4BB9" w:rsidRPr="00C6165A">
        <w:t xml:space="preserve">un </w:t>
      </w:r>
      <w:r w:rsidR="002631C9" w:rsidRPr="00C6165A">
        <w:t>7</w:t>
      </w:r>
      <w:r w:rsidR="00154C4C" w:rsidRPr="00C6165A">
        <w:t>%</w:t>
      </w:r>
      <w:r w:rsidR="000B4BB9" w:rsidRPr="00C6165A">
        <w:t xml:space="preserve"> </w:t>
      </w:r>
      <w:r w:rsidR="000C0A26" w:rsidRPr="00C6165A">
        <w:t>mayor</w:t>
      </w:r>
      <w:r w:rsidR="000B4BB9" w:rsidRPr="00C6165A">
        <w:t xml:space="preserve"> que en </w:t>
      </w:r>
      <w:r w:rsidR="000C0A26" w:rsidRPr="00C6165A">
        <w:t>202</w:t>
      </w:r>
      <w:r w:rsidR="002631C9" w:rsidRPr="00C6165A">
        <w:t>1</w:t>
      </w:r>
      <w:r w:rsidR="002C6A7F" w:rsidRPr="00C6165A">
        <w:t xml:space="preserve"> por esas mismas fechas</w:t>
      </w:r>
      <w:r w:rsidR="000B4BB9" w:rsidRPr="00C6165A">
        <w:t>.</w:t>
      </w:r>
    </w:p>
    <w:p w14:paraId="6B7CFF6A" w14:textId="77777777" w:rsidR="000B4BB9" w:rsidRPr="00C6165A" w:rsidRDefault="000B4BB9" w:rsidP="00AA49C3"/>
    <w:p w14:paraId="355F84D0" w14:textId="4D534C46" w:rsidR="0011607D" w:rsidRPr="00C6165A" w:rsidRDefault="002631C9" w:rsidP="0011607D">
      <w:pPr>
        <w:jc w:val="center"/>
      </w:pPr>
      <w:r w:rsidRPr="00C6165A">
        <w:rPr>
          <w:noProof/>
        </w:rPr>
        <w:drawing>
          <wp:inline distT="0" distB="0" distL="0" distR="0" wp14:anchorId="3265568D" wp14:editId="115DBB40">
            <wp:extent cx="3985846" cy="2660351"/>
            <wp:effectExtent l="0" t="0" r="0"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96068" cy="2667173"/>
                    </a:xfrm>
                    <a:prstGeom prst="rect">
                      <a:avLst/>
                    </a:prstGeom>
                    <a:noFill/>
                  </pic:spPr>
                </pic:pic>
              </a:graphicData>
            </a:graphic>
          </wp:inline>
        </w:drawing>
      </w:r>
    </w:p>
    <w:p w14:paraId="2C76EA6B" w14:textId="77777777" w:rsidR="009C6594" w:rsidRPr="00C6165A" w:rsidRDefault="009C6594" w:rsidP="009C6594">
      <w:pPr>
        <w:spacing w:before="120"/>
        <w:jc w:val="center"/>
        <w:rPr>
          <w:sz w:val="16"/>
          <w:szCs w:val="16"/>
          <w:lang w:eastAsia="es-ES"/>
        </w:rPr>
      </w:pPr>
      <w:r w:rsidRPr="00C6165A">
        <w:rPr>
          <w:sz w:val="16"/>
          <w:szCs w:val="16"/>
          <w:lang w:eastAsia="es-ES"/>
        </w:rPr>
        <w:t>Fuente: Elaboración propia a partir de datos del Observatorio de precios de los productos agrícolas y ganaderos de Castilla y León</w:t>
      </w:r>
    </w:p>
    <w:p w14:paraId="690BCFF4" w14:textId="77777777" w:rsidR="0011607D" w:rsidRPr="00C6165A" w:rsidRDefault="0011607D" w:rsidP="00AA49C3"/>
    <w:p w14:paraId="003F8E2D" w14:textId="7EFE41B0" w:rsidR="00512A2B" w:rsidRPr="00C6165A" w:rsidRDefault="00AA49C3" w:rsidP="00AA49C3">
      <w:r w:rsidRPr="00C6165A">
        <w:t xml:space="preserve">Los precios del porcino blanco </w:t>
      </w:r>
      <w:r w:rsidR="003E5F20" w:rsidRPr="00C6165A">
        <w:t>comenzaron</w:t>
      </w:r>
      <w:r w:rsidRPr="00C6165A">
        <w:t xml:space="preserve"> el año </w:t>
      </w:r>
      <w:r w:rsidR="00101AF0" w:rsidRPr="00C6165A">
        <w:t>en</w:t>
      </w:r>
      <w:r w:rsidR="000A0A9A" w:rsidRPr="00C6165A">
        <w:t xml:space="preserve"> </w:t>
      </w:r>
      <w:r w:rsidR="00512A2B" w:rsidRPr="00C6165A">
        <w:t>1,</w:t>
      </w:r>
      <w:r w:rsidR="00D9333F" w:rsidRPr="00C6165A">
        <w:t>27</w:t>
      </w:r>
      <w:r w:rsidR="000A0A9A" w:rsidRPr="00C6165A">
        <w:t xml:space="preserve"> euros por kilo de canal, </w:t>
      </w:r>
      <w:r w:rsidR="00D9333F" w:rsidRPr="00C6165A">
        <w:t>algo</w:t>
      </w:r>
      <w:r w:rsidR="000B3671" w:rsidRPr="00C6165A">
        <w:t xml:space="preserve"> </w:t>
      </w:r>
      <w:r w:rsidR="00512A2B" w:rsidRPr="00C6165A">
        <w:t>inferiores a los de 202</w:t>
      </w:r>
      <w:r w:rsidR="00D9333F" w:rsidRPr="00C6165A">
        <w:t xml:space="preserve">1. Este valor se ha ido incrementando hasta el mes de abril, donde se ha mantenido con pequeñas variaciones rondando los 2,10 euros por kilo. El máximo del año se ha alcanzado en julio, llegando a precios de casi 2,20 euros por kilo. </w:t>
      </w:r>
      <w:r w:rsidR="00101AF0" w:rsidRPr="00C6165A">
        <w:t xml:space="preserve">Desde entonces, la tendencia ha sido a la baja, no tan acusada como en el periodo anterior, registrándose en noviembre precios de 2 euros por kilo, un 60,43% superiores que en las mismas fechas de 2021. </w:t>
      </w:r>
    </w:p>
    <w:p w14:paraId="3F2F1B66" w14:textId="77777777" w:rsidR="00DC4F14" w:rsidRDefault="00DC4F14" w:rsidP="00AA49C3">
      <w:pPr>
        <w:jc w:val="center"/>
      </w:pPr>
    </w:p>
    <w:p w14:paraId="26861AFE" w14:textId="1524C891" w:rsidR="00AA49C3" w:rsidRPr="00C6165A" w:rsidRDefault="00D9333F" w:rsidP="00AA49C3">
      <w:pPr>
        <w:jc w:val="center"/>
      </w:pPr>
      <w:r w:rsidRPr="00C6165A">
        <w:rPr>
          <w:noProof/>
        </w:rPr>
        <w:drawing>
          <wp:inline distT="0" distB="0" distL="0" distR="0" wp14:anchorId="16F28C4C" wp14:editId="7E23014C">
            <wp:extent cx="3985846" cy="2661438"/>
            <wp:effectExtent l="0" t="0" r="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97113" cy="2668961"/>
                    </a:xfrm>
                    <a:prstGeom prst="rect">
                      <a:avLst/>
                    </a:prstGeom>
                    <a:noFill/>
                  </pic:spPr>
                </pic:pic>
              </a:graphicData>
            </a:graphic>
          </wp:inline>
        </w:drawing>
      </w:r>
    </w:p>
    <w:p w14:paraId="01C63827" w14:textId="77777777" w:rsidR="0011607D" w:rsidRPr="00C6165A" w:rsidRDefault="0011607D" w:rsidP="0011607D">
      <w:pPr>
        <w:spacing w:before="120"/>
        <w:jc w:val="center"/>
        <w:rPr>
          <w:sz w:val="16"/>
          <w:szCs w:val="16"/>
          <w:lang w:eastAsia="es-ES"/>
        </w:rPr>
      </w:pPr>
      <w:r w:rsidRPr="00C6165A">
        <w:rPr>
          <w:sz w:val="16"/>
          <w:szCs w:val="16"/>
          <w:lang w:eastAsia="es-ES"/>
        </w:rPr>
        <w:t>Fuente: Elaboración propia a partir de los precios medios nacionales del Ministerio de Agricultura, Pesca y Alimentación</w:t>
      </w:r>
    </w:p>
    <w:p w14:paraId="2C64D449" w14:textId="77777777" w:rsidR="00AA49C3" w:rsidRPr="00C6165A" w:rsidRDefault="00AA49C3" w:rsidP="00AA49C3">
      <w:pPr>
        <w:jc w:val="center"/>
      </w:pPr>
    </w:p>
    <w:p w14:paraId="187425C8" w14:textId="4B4136A5" w:rsidR="00A05D17" w:rsidRPr="00C6165A" w:rsidRDefault="002A1B72" w:rsidP="005D2B57">
      <w:r w:rsidRPr="00C6165A">
        <w:t>El</w:t>
      </w:r>
      <w:r w:rsidR="005D2B57" w:rsidRPr="00C6165A">
        <w:t xml:space="preserve"> cerdo ibérico en Castilla y León </w:t>
      </w:r>
      <w:r w:rsidR="00A05D17" w:rsidRPr="00C6165A">
        <w:t xml:space="preserve">empezó el año en torno a </w:t>
      </w:r>
      <w:r w:rsidR="00101AF0" w:rsidRPr="00C6165A">
        <w:t>2,25</w:t>
      </w:r>
      <w:r w:rsidR="00A05D17" w:rsidRPr="00C6165A">
        <w:t xml:space="preserve"> euros por kilo vivo, que era un </w:t>
      </w:r>
      <w:r w:rsidR="00101AF0" w:rsidRPr="00C6165A">
        <w:t>58,74</w:t>
      </w:r>
      <w:r w:rsidR="00154C4C" w:rsidRPr="00C6165A">
        <w:t>%</w:t>
      </w:r>
      <w:r w:rsidR="00A05D17" w:rsidRPr="00C6165A">
        <w:t xml:space="preserve"> </w:t>
      </w:r>
      <w:r w:rsidR="00101AF0" w:rsidRPr="00C6165A">
        <w:t>superi</w:t>
      </w:r>
      <w:r w:rsidR="00A05D17" w:rsidRPr="00C6165A">
        <w:t>or al del año pasado</w:t>
      </w:r>
      <w:r w:rsidR="00101AF0" w:rsidRPr="00C6165A">
        <w:t xml:space="preserve">. Los precios disminuyeron hasta marzo, alcanzando los 2,2 euros por kilo vivo y desde entonces se han mantenido al alza hasta octubre, donde se ha producido el pico máximo a 2,46 euros por kilo vivo, un 17,84% superior al mismo </w:t>
      </w:r>
      <w:r w:rsidR="00630748" w:rsidRPr="00C6165A">
        <w:t>mes</w:t>
      </w:r>
      <w:r w:rsidR="00101AF0" w:rsidRPr="00C6165A">
        <w:t xml:space="preserve"> de 2021. A partir de esa fecha, el precio ha ido bajando y actualmente, en noviembre, se encuentra a 2,40 euros por kilo vivo, una cifra alta si se compara con los 2,18 euros que se pagaban en el mismo mes del año anterior.</w:t>
      </w:r>
    </w:p>
    <w:p w14:paraId="6FD465D7" w14:textId="77777777" w:rsidR="002A1B72" w:rsidRPr="00C6165A" w:rsidRDefault="002A1B72" w:rsidP="005D2B57"/>
    <w:p w14:paraId="4253D48E" w14:textId="776CC845" w:rsidR="00E468A6" w:rsidRPr="00C6165A" w:rsidRDefault="00101AF0" w:rsidP="00AA49C3">
      <w:pPr>
        <w:jc w:val="center"/>
      </w:pPr>
      <w:r w:rsidRPr="00C6165A">
        <w:rPr>
          <w:noProof/>
        </w:rPr>
        <w:drawing>
          <wp:inline distT="0" distB="0" distL="0" distR="0" wp14:anchorId="2A403A6B" wp14:editId="66AB88DA">
            <wp:extent cx="3892062" cy="2594708"/>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04872" cy="2603248"/>
                    </a:xfrm>
                    <a:prstGeom prst="rect">
                      <a:avLst/>
                    </a:prstGeom>
                    <a:noFill/>
                  </pic:spPr>
                </pic:pic>
              </a:graphicData>
            </a:graphic>
          </wp:inline>
        </w:drawing>
      </w:r>
    </w:p>
    <w:p w14:paraId="250E1159" w14:textId="77777777" w:rsidR="00C94FCA" w:rsidRPr="00C6165A" w:rsidRDefault="00C94FCA" w:rsidP="00C94FCA">
      <w:pPr>
        <w:spacing w:before="120"/>
        <w:jc w:val="center"/>
        <w:rPr>
          <w:sz w:val="16"/>
          <w:szCs w:val="16"/>
          <w:lang w:eastAsia="es-ES"/>
        </w:rPr>
      </w:pPr>
      <w:r w:rsidRPr="00C6165A">
        <w:rPr>
          <w:sz w:val="16"/>
          <w:szCs w:val="16"/>
          <w:lang w:eastAsia="es-ES"/>
        </w:rPr>
        <w:t>Fuente: Elaboración propia a partir de datos del Observatorio de precios de los productos agrícolas y ganaderos de Castilla y León</w:t>
      </w:r>
    </w:p>
    <w:p w14:paraId="27BC3AEE" w14:textId="77777777" w:rsidR="0011607D" w:rsidRPr="00C6165A" w:rsidRDefault="0011607D" w:rsidP="00AA49C3">
      <w:pPr>
        <w:jc w:val="center"/>
      </w:pPr>
    </w:p>
    <w:p w14:paraId="31C903DE" w14:textId="32F8C06F" w:rsidR="00654595" w:rsidRPr="00C6165A" w:rsidRDefault="00AA49C3" w:rsidP="00AA49C3">
      <w:r w:rsidRPr="00C6165A">
        <w:t xml:space="preserve">El precio de la carne de pollo </w:t>
      </w:r>
      <w:r w:rsidR="00654595" w:rsidRPr="00C6165A">
        <w:t xml:space="preserve">comenzó el año con precios </w:t>
      </w:r>
      <w:r w:rsidR="005A047A" w:rsidRPr="00C6165A">
        <w:t xml:space="preserve">un </w:t>
      </w:r>
      <w:r w:rsidR="00411277" w:rsidRPr="00C6165A">
        <w:t>32,72</w:t>
      </w:r>
      <w:r w:rsidR="00154C4C" w:rsidRPr="00C6165A">
        <w:t>%</w:t>
      </w:r>
      <w:r w:rsidR="005A047A" w:rsidRPr="00C6165A">
        <w:t xml:space="preserve"> por </w:t>
      </w:r>
      <w:r w:rsidR="00411277" w:rsidRPr="00C6165A">
        <w:t>encima</w:t>
      </w:r>
      <w:r w:rsidR="005A047A" w:rsidRPr="00C6165A">
        <w:t xml:space="preserve"> de los del año anterior</w:t>
      </w:r>
      <w:r w:rsidR="00411277" w:rsidRPr="00C6165A">
        <w:t>, manteniéndose hasta febrero y</w:t>
      </w:r>
      <w:r w:rsidR="00654595" w:rsidRPr="00C6165A">
        <w:t xml:space="preserve"> subiendo hasta </w:t>
      </w:r>
      <w:r w:rsidR="00411277" w:rsidRPr="00C6165A">
        <w:t>mayo alcanzando casi 2,30 euros por kilo. A mediados de año se ha producido un descenso breve seguido de unos precios al alza alcanzando el máximo en agosto a razón de 2,48 euros por kilo, un 73, 93% más que en el mismo periodo de 2021. Desde entonces los precios han ido disminuyendo</w:t>
      </w:r>
      <w:r w:rsidR="00654595" w:rsidRPr="00C6165A">
        <w:t>,</w:t>
      </w:r>
      <w:r w:rsidR="00411277" w:rsidRPr="00C6165A">
        <w:t xml:space="preserve"> pero en ningún caso han alcanzado los valores del periodo anterior.</w:t>
      </w:r>
    </w:p>
    <w:p w14:paraId="1DA42864" w14:textId="77777777" w:rsidR="00AA49C3" w:rsidRPr="00C6165A" w:rsidRDefault="00AA49C3" w:rsidP="00AA49C3"/>
    <w:p w14:paraId="3DAE40CC" w14:textId="6EBD2DA1" w:rsidR="00AA49C3" w:rsidRPr="00C6165A" w:rsidRDefault="00411277" w:rsidP="00AA49C3">
      <w:pPr>
        <w:jc w:val="center"/>
      </w:pPr>
      <w:r w:rsidRPr="00C6165A">
        <w:rPr>
          <w:noProof/>
        </w:rPr>
        <w:drawing>
          <wp:inline distT="0" distB="0" distL="0" distR="0" wp14:anchorId="32B2A8F4" wp14:editId="1A857C12">
            <wp:extent cx="3587262" cy="2395295"/>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98176" cy="2402583"/>
                    </a:xfrm>
                    <a:prstGeom prst="rect">
                      <a:avLst/>
                    </a:prstGeom>
                    <a:noFill/>
                  </pic:spPr>
                </pic:pic>
              </a:graphicData>
            </a:graphic>
          </wp:inline>
        </w:drawing>
      </w:r>
    </w:p>
    <w:p w14:paraId="60F89BFD" w14:textId="77777777" w:rsidR="00E468A6" w:rsidRPr="00C6165A" w:rsidRDefault="00E468A6" w:rsidP="00E468A6">
      <w:pPr>
        <w:spacing w:before="120"/>
        <w:jc w:val="center"/>
        <w:rPr>
          <w:sz w:val="16"/>
          <w:szCs w:val="16"/>
          <w:lang w:eastAsia="es-ES"/>
        </w:rPr>
      </w:pPr>
      <w:r w:rsidRPr="00C6165A">
        <w:rPr>
          <w:sz w:val="16"/>
          <w:szCs w:val="16"/>
          <w:lang w:eastAsia="es-ES"/>
        </w:rPr>
        <w:t>Fuente: Elaboración propia a partir de los precios medios nacionales del Ministerio de Agricultura, Pesca y Alimentación</w:t>
      </w:r>
    </w:p>
    <w:p w14:paraId="3C85167F" w14:textId="77777777" w:rsidR="00AA49C3" w:rsidRPr="00C6165A" w:rsidRDefault="00AA49C3" w:rsidP="00AA49C3">
      <w:pPr>
        <w:jc w:val="center"/>
        <w:rPr>
          <w:noProof/>
          <w:lang w:eastAsia="es-ES"/>
        </w:rPr>
      </w:pPr>
    </w:p>
    <w:p w14:paraId="58BCDAF4" w14:textId="7292DE6F" w:rsidR="00AA49C3" w:rsidRPr="00C6165A" w:rsidRDefault="00AA49C3" w:rsidP="00AA49C3">
      <w:pPr>
        <w:rPr>
          <w:noProof/>
          <w:lang w:eastAsia="es-ES"/>
        </w:rPr>
      </w:pPr>
      <w:r w:rsidRPr="00C6165A">
        <w:rPr>
          <w:noProof/>
          <w:lang w:eastAsia="es-ES"/>
        </w:rPr>
        <w:t xml:space="preserve">El precio de la carne de conejo ha tenido un comportamiento </w:t>
      </w:r>
      <w:r w:rsidR="00E82B4C" w:rsidRPr="00C6165A">
        <w:rPr>
          <w:noProof/>
          <w:lang w:eastAsia="es-ES"/>
        </w:rPr>
        <w:t>al alza durante todo el año, comenzando a cotizarse en enero a un precio muy similar al del año anterior 1,93 euros por kilo vivo</w:t>
      </w:r>
      <w:r w:rsidR="007B3440">
        <w:rPr>
          <w:noProof/>
          <w:lang w:eastAsia="es-ES"/>
        </w:rPr>
        <w:t xml:space="preserve">. Esta tendencia ascendente sólo se invirtió en mayo, situándose </w:t>
      </w:r>
      <w:r w:rsidR="007B3440" w:rsidRPr="00C6165A">
        <w:rPr>
          <w:noProof/>
          <w:lang w:eastAsia="es-ES"/>
        </w:rPr>
        <w:t>en 2,19 euros por kilo vivo</w:t>
      </w:r>
      <w:r w:rsidR="007B3440">
        <w:rPr>
          <w:noProof/>
          <w:lang w:eastAsia="es-ES"/>
        </w:rPr>
        <w:t xml:space="preserve"> y permaneciendo estable hasta que </w:t>
      </w:r>
      <w:r w:rsidR="00E82B4C" w:rsidRPr="00C6165A">
        <w:rPr>
          <w:noProof/>
          <w:lang w:eastAsia="es-ES"/>
        </w:rPr>
        <w:t xml:space="preserve">a finales de agosto el incremento de precios </w:t>
      </w:r>
      <w:r w:rsidR="007B3440">
        <w:rPr>
          <w:noProof/>
          <w:lang w:eastAsia="es-ES"/>
        </w:rPr>
        <w:t>fue</w:t>
      </w:r>
      <w:r w:rsidR="00E82B4C" w:rsidRPr="00C6165A">
        <w:rPr>
          <w:noProof/>
          <w:lang w:eastAsia="es-ES"/>
        </w:rPr>
        <w:t xml:space="preserve"> más acusado alcanzando valores de hasta 2,75 euros por kilo vivo en el mes de noviembre, un 21,94% más que en el mismo periodo de 2021</w:t>
      </w:r>
      <w:r w:rsidR="00E060AD" w:rsidRPr="00C6165A">
        <w:rPr>
          <w:noProof/>
          <w:lang w:eastAsia="es-ES"/>
        </w:rPr>
        <w:t xml:space="preserve"> </w:t>
      </w:r>
      <w:r w:rsidR="00E82B4C" w:rsidRPr="00C6165A">
        <w:rPr>
          <w:noProof/>
          <w:lang w:eastAsia="es-ES"/>
        </w:rPr>
        <w:t>y sin previsión de bajada.</w:t>
      </w:r>
    </w:p>
    <w:p w14:paraId="6028B428" w14:textId="77777777" w:rsidR="00AA49C3" w:rsidRPr="00C6165A" w:rsidRDefault="00AA49C3" w:rsidP="00AA49C3">
      <w:pPr>
        <w:rPr>
          <w:noProof/>
          <w:lang w:eastAsia="es-ES"/>
        </w:rPr>
      </w:pPr>
    </w:p>
    <w:p w14:paraId="1494437E" w14:textId="409FB5A9" w:rsidR="00AA49C3" w:rsidRPr="00C6165A" w:rsidRDefault="00411277" w:rsidP="00AA49C3">
      <w:pPr>
        <w:jc w:val="center"/>
      </w:pPr>
      <w:r w:rsidRPr="00C6165A">
        <w:rPr>
          <w:noProof/>
        </w:rPr>
        <w:drawing>
          <wp:inline distT="0" distB="0" distL="0" distR="0" wp14:anchorId="32A47F2A" wp14:editId="4C4DB1F4">
            <wp:extent cx="3681046" cy="246080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94376" cy="2469714"/>
                    </a:xfrm>
                    <a:prstGeom prst="rect">
                      <a:avLst/>
                    </a:prstGeom>
                    <a:noFill/>
                  </pic:spPr>
                </pic:pic>
              </a:graphicData>
            </a:graphic>
          </wp:inline>
        </w:drawing>
      </w:r>
    </w:p>
    <w:p w14:paraId="16EDEDE7" w14:textId="77777777" w:rsidR="00E468A6" w:rsidRPr="00C6165A" w:rsidRDefault="00E468A6" w:rsidP="00E468A6">
      <w:pPr>
        <w:spacing w:before="120"/>
        <w:jc w:val="center"/>
        <w:rPr>
          <w:sz w:val="16"/>
          <w:szCs w:val="16"/>
          <w:lang w:eastAsia="es-ES"/>
        </w:rPr>
      </w:pPr>
      <w:r w:rsidRPr="00C6165A">
        <w:rPr>
          <w:sz w:val="16"/>
          <w:szCs w:val="16"/>
          <w:lang w:eastAsia="es-ES"/>
        </w:rPr>
        <w:t>Fuente: Elaboración propia a partir de los precios medios nacionales del Ministerio de Agricultura, Pesca y Alimentación</w:t>
      </w:r>
    </w:p>
    <w:p w14:paraId="40CC6214" w14:textId="0D3ADECA" w:rsidR="00AA49C3" w:rsidRDefault="00AA49C3" w:rsidP="00AA49C3">
      <w:pPr>
        <w:pStyle w:val="Ttulo"/>
        <w:jc w:val="both"/>
        <w:rPr>
          <w:b w:val="0"/>
          <w:i w:val="0"/>
          <w:sz w:val="24"/>
          <w:szCs w:val="24"/>
        </w:rPr>
      </w:pPr>
    </w:p>
    <w:p w14:paraId="2681B0D8" w14:textId="586A108E" w:rsidR="00DC4F14" w:rsidRDefault="00DC4F14" w:rsidP="00DC4F14">
      <w:pPr>
        <w:pStyle w:val="Subttulo"/>
        <w:rPr>
          <w:lang w:eastAsia="ar-SA"/>
        </w:rPr>
      </w:pPr>
    </w:p>
    <w:p w14:paraId="7809F95D" w14:textId="77777777" w:rsidR="00DC4F14" w:rsidRPr="00DC4F14" w:rsidRDefault="00DC4F14" w:rsidP="00DC4F14">
      <w:pPr>
        <w:rPr>
          <w:lang w:eastAsia="ar-SA"/>
        </w:rPr>
      </w:pPr>
    </w:p>
    <w:p w14:paraId="7BDB64B7" w14:textId="77777777" w:rsidR="00AA49C3" w:rsidRPr="00C6165A" w:rsidRDefault="00AA49C3" w:rsidP="00AA49C3">
      <w:pPr>
        <w:suppressAutoHyphens/>
        <w:rPr>
          <w:iCs/>
          <w:kern w:val="1"/>
          <w:lang w:eastAsia="ar-SA"/>
        </w:rPr>
      </w:pPr>
    </w:p>
    <w:p w14:paraId="2AB3BD50" w14:textId="6936ED9B" w:rsidR="00AA49C3" w:rsidRPr="00C6165A" w:rsidRDefault="00AA49C3" w:rsidP="00AA49C3">
      <w:pPr>
        <w:suppressAutoHyphens/>
        <w:rPr>
          <w:b/>
          <w:bCs/>
          <w:iCs/>
          <w:kern w:val="1"/>
          <w:lang w:eastAsia="ar-SA"/>
        </w:rPr>
      </w:pPr>
      <w:bookmarkStart w:id="6" w:name="lacteo"/>
      <w:bookmarkEnd w:id="6"/>
      <w:r w:rsidRPr="00C6165A">
        <w:rPr>
          <w:b/>
          <w:bCs/>
          <w:iCs/>
          <w:kern w:val="1"/>
          <w:lang w:eastAsia="ar-SA"/>
        </w:rPr>
        <w:t>El mercado en la producción de leche</w:t>
      </w:r>
    </w:p>
    <w:p w14:paraId="54D5986A" w14:textId="77777777" w:rsidR="007430E1" w:rsidRPr="00C6165A" w:rsidRDefault="007430E1" w:rsidP="00AA49C3">
      <w:pPr>
        <w:suppressAutoHyphens/>
        <w:rPr>
          <w:iCs/>
          <w:kern w:val="1"/>
          <w:lang w:eastAsia="ar-SA"/>
        </w:rPr>
      </w:pPr>
    </w:p>
    <w:p w14:paraId="5D6E2BF0" w14:textId="3074017C" w:rsidR="00AA49C3" w:rsidRPr="00C6165A" w:rsidRDefault="00EF082D" w:rsidP="00AA49C3">
      <w:pPr>
        <w:suppressAutoHyphens/>
        <w:rPr>
          <w:bCs/>
          <w:iCs/>
          <w:kern w:val="1"/>
          <w:lang w:eastAsia="ar-SA"/>
        </w:rPr>
      </w:pPr>
      <w:r w:rsidRPr="00C6165A">
        <w:rPr>
          <w:bCs/>
          <w:iCs/>
          <w:kern w:val="1"/>
          <w:lang w:eastAsia="ar-SA"/>
        </w:rPr>
        <w:t>Hablando de producciones, e</w:t>
      </w:r>
      <w:r w:rsidR="00AA49C3" w:rsidRPr="00C6165A">
        <w:rPr>
          <w:bCs/>
          <w:iCs/>
          <w:kern w:val="1"/>
          <w:lang w:eastAsia="ar-SA"/>
        </w:rPr>
        <w:t xml:space="preserve">n </w:t>
      </w:r>
      <w:r w:rsidR="00536649" w:rsidRPr="00C6165A">
        <w:rPr>
          <w:bCs/>
          <w:iCs/>
          <w:kern w:val="1"/>
          <w:lang w:eastAsia="ar-SA"/>
        </w:rPr>
        <w:t>el último</w:t>
      </w:r>
      <w:r w:rsidR="00AA49C3" w:rsidRPr="00C6165A">
        <w:rPr>
          <w:bCs/>
          <w:iCs/>
          <w:kern w:val="1"/>
          <w:lang w:eastAsia="ar-SA"/>
        </w:rPr>
        <w:t xml:space="preserve"> año en Castilla y León se han producido</w:t>
      </w:r>
      <w:r w:rsidR="00817EBE" w:rsidRPr="00C6165A">
        <w:rPr>
          <w:bCs/>
          <w:iCs/>
          <w:kern w:val="1"/>
          <w:lang w:eastAsia="ar-SA"/>
        </w:rPr>
        <w:t>, hasta octubre,</w:t>
      </w:r>
      <w:r w:rsidR="00AA49C3" w:rsidRPr="00C6165A">
        <w:rPr>
          <w:bCs/>
          <w:iCs/>
          <w:kern w:val="1"/>
          <w:lang w:eastAsia="ar-SA"/>
        </w:rPr>
        <w:t xml:space="preserve"> </w:t>
      </w:r>
      <w:r w:rsidR="00817EBE" w:rsidRPr="00C6165A">
        <w:rPr>
          <w:bCs/>
          <w:iCs/>
          <w:kern w:val="1"/>
          <w:lang w:eastAsia="ar-SA"/>
        </w:rPr>
        <w:t>774.396</w:t>
      </w:r>
      <w:r w:rsidR="00927C32" w:rsidRPr="00C6165A">
        <w:rPr>
          <w:bCs/>
          <w:iCs/>
          <w:kern w:val="1"/>
          <w:lang w:eastAsia="ar-SA"/>
        </w:rPr>
        <w:t xml:space="preserve"> </w:t>
      </w:r>
      <w:r w:rsidR="00AA49C3" w:rsidRPr="00C6165A">
        <w:rPr>
          <w:bCs/>
          <w:iCs/>
          <w:kern w:val="1"/>
          <w:lang w:eastAsia="ar-SA"/>
        </w:rPr>
        <w:t xml:space="preserve">toneladas de </w:t>
      </w:r>
      <w:r w:rsidR="00AA49C3" w:rsidRPr="00C6165A">
        <w:rPr>
          <w:b/>
          <w:iCs/>
          <w:kern w:val="1"/>
          <w:lang w:eastAsia="ar-SA"/>
        </w:rPr>
        <w:t>leche de vaca</w:t>
      </w:r>
      <w:r w:rsidR="00AA49C3" w:rsidRPr="00C6165A">
        <w:rPr>
          <w:bCs/>
          <w:iCs/>
          <w:kern w:val="1"/>
          <w:lang w:eastAsia="ar-SA"/>
        </w:rPr>
        <w:t xml:space="preserve">, que representa el </w:t>
      </w:r>
      <w:r w:rsidR="00817EBE" w:rsidRPr="00C6165A">
        <w:rPr>
          <w:bCs/>
          <w:iCs/>
          <w:kern w:val="1"/>
          <w:lang w:eastAsia="ar-SA"/>
        </w:rPr>
        <w:t>11,43</w:t>
      </w:r>
      <w:r w:rsidR="00154C4C" w:rsidRPr="00C6165A">
        <w:rPr>
          <w:bCs/>
          <w:iCs/>
          <w:kern w:val="1"/>
          <w:lang w:eastAsia="ar-SA"/>
        </w:rPr>
        <w:t>%</w:t>
      </w:r>
      <w:r w:rsidR="00AA49C3" w:rsidRPr="00C6165A">
        <w:rPr>
          <w:bCs/>
          <w:iCs/>
          <w:kern w:val="1"/>
          <w:lang w:eastAsia="ar-SA"/>
        </w:rPr>
        <w:t xml:space="preserve"> de la producción nacional. Esta cifra es </w:t>
      </w:r>
      <w:r w:rsidR="007C01EF" w:rsidRPr="00C6165A">
        <w:rPr>
          <w:bCs/>
          <w:iCs/>
          <w:kern w:val="1"/>
          <w:lang w:eastAsia="ar-SA"/>
        </w:rPr>
        <w:t>prácticamente similar</w:t>
      </w:r>
      <w:r w:rsidR="00AA49C3" w:rsidRPr="00C6165A">
        <w:rPr>
          <w:bCs/>
          <w:iCs/>
          <w:kern w:val="1"/>
          <w:lang w:eastAsia="ar-SA"/>
        </w:rPr>
        <w:t xml:space="preserve"> a la producción en el mismo periodo del año anterior, </w:t>
      </w:r>
      <w:r w:rsidR="00FB48A8" w:rsidRPr="00C6165A">
        <w:rPr>
          <w:bCs/>
          <w:iCs/>
          <w:kern w:val="1"/>
          <w:lang w:eastAsia="ar-SA"/>
        </w:rPr>
        <w:t xml:space="preserve">siendo </w:t>
      </w:r>
      <w:r w:rsidR="00817EBE" w:rsidRPr="00C6165A">
        <w:rPr>
          <w:bCs/>
          <w:iCs/>
          <w:kern w:val="1"/>
          <w:lang w:eastAsia="ar-SA"/>
        </w:rPr>
        <w:t>superior comparada con 2021 en los dos primeros meses del año y disminuyendo de media un 1,5%</w:t>
      </w:r>
      <w:r w:rsidR="007C01EF" w:rsidRPr="00C6165A">
        <w:rPr>
          <w:bCs/>
          <w:iCs/>
          <w:kern w:val="1"/>
          <w:lang w:eastAsia="ar-SA"/>
        </w:rPr>
        <w:t xml:space="preserve"> </w:t>
      </w:r>
      <w:r w:rsidR="00817EBE" w:rsidRPr="00C6165A">
        <w:rPr>
          <w:bCs/>
          <w:iCs/>
          <w:kern w:val="1"/>
          <w:lang w:eastAsia="ar-SA"/>
        </w:rPr>
        <w:t>el resto de los meses.</w:t>
      </w:r>
    </w:p>
    <w:p w14:paraId="669871AC" w14:textId="77777777" w:rsidR="00AA49C3" w:rsidRPr="00C6165A" w:rsidRDefault="00AA49C3" w:rsidP="00AA49C3">
      <w:pPr>
        <w:suppressAutoHyphens/>
        <w:rPr>
          <w:bCs/>
          <w:iCs/>
          <w:kern w:val="1"/>
          <w:lang w:eastAsia="ar-SA"/>
        </w:rPr>
      </w:pPr>
    </w:p>
    <w:p w14:paraId="014DCB60" w14:textId="09230B3D" w:rsidR="00AA49C3" w:rsidRPr="00C6165A" w:rsidRDefault="004F0C6D" w:rsidP="00AA49C3">
      <w:pPr>
        <w:suppressAutoHyphens/>
        <w:jc w:val="center"/>
        <w:rPr>
          <w:bCs/>
          <w:iCs/>
          <w:kern w:val="1"/>
          <w:lang w:eastAsia="ar-SA"/>
        </w:rPr>
      </w:pPr>
      <w:r w:rsidRPr="00C6165A">
        <w:rPr>
          <w:bCs/>
          <w:iCs/>
          <w:noProof/>
          <w:kern w:val="1"/>
          <w:lang w:eastAsia="ar-SA"/>
        </w:rPr>
        <w:drawing>
          <wp:inline distT="0" distB="0" distL="0" distR="0" wp14:anchorId="7299F00D" wp14:editId="68EC3B9B">
            <wp:extent cx="5205442" cy="2426677"/>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20719" cy="2433799"/>
                    </a:xfrm>
                    <a:prstGeom prst="rect">
                      <a:avLst/>
                    </a:prstGeom>
                    <a:noFill/>
                  </pic:spPr>
                </pic:pic>
              </a:graphicData>
            </a:graphic>
          </wp:inline>
        </w:drawing>
      </w:r>
    </w:p>
    <w:p w14:paraId="207FC6F7" w14:textId="537269B5" w:rsidR="005A546C" w:rsidRPr="00C6165A" w:rsidRDefault="005A546C" w:rsidP="005A546C">
      <w:pPr>
        <w:spacing w:before="120"/>
        <w:jc w:val="center"/>
        <w:rPr>
          <w:sz w:val="16"/>
          <w:szCs w:val="16"/>
          <w:lang w:eastAsia="es-ES"/>
        </w:rPr>
      </w:pPr>
      <w:r w:rsidRPr="00C6165A">
        <w:rPr>
          <w:sz w:val="16"/>
          <w:szCs w:val="16"/>
          <w:lang w:eastAsia="es-ES"/>
        </w:rPr>
        <w:t xml:space="preserve">Fuente: Elaboración propia a partir de datos del informe de declaraciones </w:t>
      </w:r>
      <w:r w:rsidR="0000631C" w:rsidRPr="00C6165A">
        <w:rPr>
          <w:sz w:val="16"/>
          <w:szCs w:val="16"/>
          <w:lang w:eastAsia="es-ES"/>
        </w:rPr>
        <w:t>de entregas del MAPA</w:t>
      </w:r>
    </w:p>
    <w:p w14:paraId="6100C832" w14:textId="77777777" w:rsidR="00AA49C3" w:rsidRPr="00C6165A" w:rsidRDefault="00AA49C3" w:rsidP="00AA49C3">
      <w:pPr>
        <w:suppressAutoHyphens/>
        <w:rPr>
          <w:bCs/>
          <w:iCs/>
          <w:kern w:val="1"/>
          <w:lang w:eastAsia="ar-SA"/>
        </w:rPr>
      </w:pPr>
    </w:p>
    <w:p w14:paraId="760D2307" w14:textId="26FD94AC" w:rsidR="00AA49C3" w:rsidRPr="00C6165A" w:rsidRDefault="00AA49C3" w:rsidP="00AA49C3">
      <w:pPr>
        <w:suppressAutoHyphens/>
        <w:rPr>
          <w:bCs/>
          <w:iCs/>
          <w:kern w:val="1"/>
          <w:lang w:eastAsia="ar-SA"/>
        </w:rPr>
      </w:pPr>
      <w:r w:rsidRPr="00C6165A">
        <w:rPr>
          <w:bCs/>
          <w:iCs/>
          <w:kern w:val="1"/>
          <w:lang w:eastAsia="ar-SA"/>
        </w:rPr>
        <w:t xml:space="preserve">Según datos del </w:t>
      </w:r>
      <w:r w:rsidR="004F0C6D" w:rsidRPr="00C6165A">
        <w:rPr>
          <w:bCs/>
          <w:iCs/>
          <w:kern w:val="1"/>
          <w:lang w:eastAsia="ar-SA"/>
        </w:rPr>
        <w:t>Ministerio</w:t>
      </w:r>
      <w:r w:rsidRPr="00C6165A">
        <w:rPr>
          <w:bCs/>
          <w:iCs/>
          <w:kern w:val="1"/>
          <w:lang w:eastAsia="ar-SA"/>
        </w:rPr>
        <w:t xml:space="preserve">, el número de ganaderos de vacuno de leche en Castilla y León ha descendido un </w:t>
      </w:r>
      <w:r w:rsidR="004F0C6D" w:rsidRPr="00C6165A">
        <w:rPr>
          <w:bCs/>
          <w:iCs/>
          <w:kern w:val="1"/>
          <w:lang w:eastAsia="ar-SA"/>
        </w:rPr>
        <w:t>8,4</w:t>
      </w:r>
      <w:r w:rsidR="00154C4C" w:rsidRPr="00C6165A">
        <w:rPr>
          <w:bCs/>
          <w:iCs/>
          <w:kern w:val="1"/>
          <w:lang w:eastAsia="ar-SA"/>
        </w:rPr>
        <w:t>%</w:t>
      </w:r>
      <w:r w:rsidRPr="00C6165A">
        <w:rPr>
          <w:bCs/>
          <w:iCs/>
          <w:kern w:val="1"/>
          <w:lang w:eastAsia="ar-SA"/>
        </w:rPr>
        <w:t xml:space="preserve"> entre </w:t>
      </w:r>
      <w:r w:rsidR="004F0C6D" w:rsidRPr="00C6165A">
        <w:rPr>
          <w:bCs/>
          <w:iCs/>
          <w:kern w:val="1"/>
          <w:lang w:eastAsia="ar-SA"/>
        </w:rPr>
        <w:t>noviembre</w:t>
      </w:r>
      <w:r w:rsidRPr="00C6165A">
        <w:rPr>
          <w:bCs/>
          <w:iCs/>
          <w:kern w:val="1"/>
          <w:lang w:eastAsia="ar-SA"/>
        </w:rPr>
        <w:t xml:space="preserve"> de </w:t>
      </w:r>
      <w:r w:rsidR="00FB48A8" w:rsidRPr="00C6165A">
        <w:rPr>
          <w:bCs/>
          <w:iCs/>
          <w:kern w:val="1"/>
          <w:lang w:eastAsia="ar-SA"/>
        </w:rPr>
        <w:t>202</w:t>
      </w:r>
      <w:r w:rsidR="004F0C6D" w:rsidRPr="00C6165A">
        <w:rPr>
          <w:bCs/>
          <w:iCs/>
          <w:kern w:val="1"/>
          <w:lang w:eastAsia="ar-SA"/>
        </w:rPr>
        <w:t>1</w:t>
      </w:r>
      <w:r w:rsidR="007C01EF" w:rsidRPr="00C6165A">
        <w:rPr>
          <w:bCs/>
          <w:iCs/>
          <w:kern w:val="1"/>
          <w:lang w:eastAsia="ar-SA"/>
        </w:rPr>
        <w:t xml:space="preserve"> (</w:t>
      </w:r>
      <w:r w:rsidR="004F0C6D" w:rsidRPr="00C6165A">
        <w:rPr>
          <w:bCs/>
          <w:iCs/>
          <w:kern w:val="1"/>
          <w:lang w:eastAsia="ar-SA"/>
        </w:rPr>
        <w:t>869</w:t>
      </w:r>
      <w:r w:rsidR="007C01EF" w:rsidRPr="00C6165A">
        <w:rPr>
          <w:bCs/>
          <w:iCs/>
          <w:kern w:val="1"/>
          <w:lang w:eastAsia="ar-SA"/>
        </w:rPr>
        <w:t>)</w:t>
      </w:r>
      <w:r w:rsidRPr="00C6165A">
        <w:rPr>
          <w:bCs/>
          <w:iCs/>
          <w:kern w:val="1"/>
          <w:lang w:eastAsia="ar-SA"/>
        </w:rPr>
        <w:t xml:space="preserve"> y octubre de </w:t>
      </w:r>
      <w:r w:rsidR="00FB48A8" w:rsidRPr="00C6165A">
        <w:rPr>
          <w:bCs/>
          <w:iCs/>
          <w:kern w:val="1"/>
          <w:lang w:eastAsia="ar-SA"/>
        </w:rPr>
        <w:t>202</w:t>
      </w:r>
      <w:r w:rsidR="004F0C6D" w:rsidRPr="00C6165A">
        <w:rPr>
          <w:bCs/>
          <w:iCs/>
          <w:kern w:val="1"/>
          <w:lang w:eastAsia="ar-SA"/>
        </w:rPr>
        <w:t>2</w:t>
      </w:r>
      <w:r w:rsidR="007C01EF" w:rsidRPr="00C6165A">
        <w:rPr>
          <w:bCs/>
          <w:iCs/>
          <w:kern w:val="1"/>
          <w:lang w:eastAsia="ar-SA"/>
        </w:rPr>
        <w:t xml:space="preserve"> (</w:t>
      </w:r>
      <w:r w:rsidR="004F0C6D" w:rsidRPr="00C6165A">
        <w:rPr>
          <w:bCs/>
          <w:iCs/>
          <w:kern w:val="1"/>
          <w:lang w:eastAsia="ar-SA"/>
        </w:rPr>
        <w:t>796</w:t>
      </w:r>
      <w:r w:rsidR="007C01EF" w:rsidRPr="00C6165A">
        <w:rPr>
          <w:bCs/>
          <w:iCs/>
          <w:kern w:val="1"/>
          <w:lang w:eastAsia="ar-SA"/>
        </w:rPr>
        <w:t>)</w:t>
      </w:r>
      <w:r w:rsidRPr="00C6165A">
        <w:rPr>
          <w:bCs/>
          <w:iCs/>
          <w:kern w:val="1"/>
          <w:lang w:eastAsia="ar-SA"/>
        </w:rPr>
        <w:t>.</w:t>
      </w:r>
    </w:p>
    <w:p w14:paraId="7105CB9C" w14:textId="77777777" w:rsidR="00AA49C3" w:rsidRPr="00C6165A" w:rsidRDefault="00AA49C3" w:rsidP="00AA49C3"/>
    <w:p w14:paraId="7ADC8A47" w14:textId="4C13ED91" w:rsidR="0055619F" w:rsidRPr="00C6165A" w:rsidRDefault="0055619F" w:rsidP="00AA49C3">
      <w:r w:rsidRPr="00C6165A">
        <w:t>L</w:t>
      </w:r>
      <w:r w:rsidR="00AA49C3" w:rsidRPr="00C6165A">
        <w:t xml:space="preserve">a leche de vaca </w:t>
      </w:r>
      <w:r w:rsidRPr="00C6165A">
        <w:t xml:space="preserve">comenzó el año </w:t>
      </w:r>
      <w:r w:rsidR="007C01EF" w:rsidRPr="00C6165A">
        <w:t>202</w:t>
      </w:r>
      <w:r w:rsidR="004F0C6D" w:rsidRPr="00C6165A">
        <w:t>2</w:t>
      </w:r>
      <w:r w:rsidRPr="00C6165A">
        <w:t xml:space="preserve"> pagándose a </w:t>
      </w:r>
      <w:r w:rsidR="00787DAA" w:rsidRPr="00C6165A">
        <w:t>3</w:t>
      </w:r>
      <w:r w:rsidR="004F0C6D" w:rsidRPr="00C6165A">
        <w:t>7,39</w:t>
      </w:r>
      <w:r w:rsidRPr="00C6165A">
        <w:t xml:space="preserve"> céntimos por litro, un </w:t>
      </w:r>
      <w:r w:rsidR="004F0C6D" w:rsidRPr="00C6165A">
        <w:t>8%</w:t>
      </w:r>
      <w:r w:rsidRPr="00C6165A">
        <w:t xml:space="preserve"> por </w:t>
      </w:r>
      <w:r w:rsidR="007C01EF" w:rsidRPr="00C6165A">
        <w:t>encima</w:t>
      </w:r>
      <w:r w:rsidRPr="00C6165A">
        <w:t xml:space="preserve"> del precio del año anterior</w:t>
      </w:r>
      <w:r w:rsidR="004F0C6D" w:rsidRPr="00C6165A">
        <w:t xml:space="preserve"> (34,61)</w:t>
      </w:r>
      <w:r w:rsidR="00175F24" w:rsidRPr="00C6165A">
        <w:t>, con una</w:t>
      </w:r>
      <w:r w:rsidRPr="00C6165A">
        <w:t xml:space="preserve"> tendencia </w:t>
      </w:r>
      <w:r w:rsidR="004F0C6D" w:rsidRPr="00C6165A">
        <w:t>constante</w:t>
      </w:r>
      <w:r w:rsidRPr="00C6165A">
        <w:t xml:space="preserve"> </w:t>
      </w:r>
      <w:r w:rsidR="007C01EF" w:rsidRPr="00C6165A">
        <w:t xml:space="preserve">hasta </w:t>
      </w:r>
      <w:r w:rsidR="004F0C6D" w:rsidRPr="00C6165A">
        <w:t>marzo</w:t>
      </w:r>
      <w:r w:rsidR="007C01EF" w:rsidRPr="00C6165A">
        <w:t>,</w:t>
      </w:r>
      <w:r w:rsidRPr="00C6165A">
        <w:t xml:space="preserve"> </w:t>
      </w:r>
      <w:r w:rsidR="007C01EF" w:rsidRPr="00C6165A">
        <w:t xml:space="preserve">cuando </w:t>
      </w:r>
      <w:r w:rsidR="004F0C6D" w:rsidRPr="00C6165A">
        <w:t>comenzó el ascenso de precios alcanzando 43,32</w:t>
      </w:r>
      <w:r w:rsidRPr="00C6165A">
        <w:t xml:space="preserve"> céntimos por litro</w:t>
      </w:r>
      <w:r w:rsidR="004F0C6D" w:rsidRPr="00C6165A">
        <w:t xml:space="preserve"> en abril. El siguiente ascenso destacable se ha producido en junio-julio y desde entonces los precios siguen al alza, de manera constante y progresiva. </w:t>
      </w:r>
      <w:r w:rsidR="00FF2A1F" w:rsidRPr="00C6165A">
        <w:t>En el mes de octubre se estaba pagando la leche a 60,22 céntimos por litro, un 69,1% más que en el mismo mes de 2021, cuando el precio estaba en 35,61 céntimos por litro.</w:t>
      </w:r>
    </w:p>
    <w:p w14:paraId="5641AF6F" w14:textId="77777777" w:rsidR="00AA49C3" w:rsidRPr="00C6165A" w:rsidRDefault="00AA49C3" w:rsidP="00AA49C3"/>
    <w:p w14:paraId="30F40B7E" w14:textId="2A0FA97A" w:rsidR="00AA49C3" w:rsidRPr="00C6165A" w:rsidRDefault="00FF2A1F" w:rsidP="00AA49C3">
      <w:pPr>
        <w:jc w:val="center"/>
      </w:pPr>
      <w:r w:rsidRPr="00C6165A">
        <w:rPr>
          <w:noProof/>
        </w:rPr>
        <w:drawing>
          <wp:inline distT="0" distB="0" distL="0" distR="0" wp14:anchorId="0454CEB4" wp14:editId="36AB9207">
            <wp:extent cx="4844955" cy="225143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77500" cy="2266558"/>
                    </a:xfrm>
                    <a:prstGeom prst="rect">
                      <a:avLst/>
                    </a:prstGeom>
                    <a:noFill/>
                  </pic:spPr>
                </pic:pic>
              </a:graphicData>
            </a:graphic>
          </wp:inline>
        </w:drawing>
      </w:r>
    </w:p>
    <w:p w14:paraId="61E33C2D" w14:textId="77777777" w:rsidR="005246D8" w:rsidRPr="00C6165A" w:rsidRDefault="005246D8" w:rsidP="005246D8">
      <w:pPr>
        <w:spacing w:before="120"/>
        <w:jc w:val="center"/>
        <w:rPr>
          <w:sz w:val="16"/>
          <w:szCs w:val="16"/>
          <w:lang w:eastAsia="es-ES"/>
        </w:rPr>
      </w:pPr>
      <w:r w:rsidRPr="00C6165A">
        <w:rPr>
          <w:sz w:val="16"/>
          <w:szCs w:val="16"/>
          <w:lang w:eastAsia="es-ES"/>
        </w:rPr>
        <w:t>Fuente: Elaboración propia a partir de datos del Observatorio de precios de los productos agrícolas y ganaderos de Castilla y León</w:t>
      </w:r>
    </w:p>
    <w:p w14:paraId="7B823234" w14:textId="77777777" w:rsidR="00AA49C3" w:rsidRPr="00C6165A" w:rsidRDefault="00AA49C3" w:rsidP="00AA49C3"/>
    <w:p w14:paraId="508B2BF1" w14:textId="3A35A2E0" w:rsidR="00F63F63" w:rsidRPr="00C6165A" w:rsidRDefault="00AA49C3" w:rsidP="00F63F63">
      <w:r w:rsidRPr="00C6165A">
        <w:rPr>
          <w:lang w:eastAsia="ar-SA"/>
        </w:rPr>
        <w:t>E</w:t>
      </w:r>
      <w:r w:rsidR="00F63F63" w:rsidRPr="00C6165A">
        <w:rPr>
          <w:lang w:eastAsia="ar-SA"/>
        </w:rPr>
        <w:t>n e</w:t>
      </w:r>
      <w:r w:rsidRPr="00C6165A">
        <w:rPr>
          <w:lang w:eastAsia="ar-SA"/>
        </w:rPr>
        <w:t xml:space="preserve">l </w:t>
      </w:r>
      <w:r w:rsidRPr="00C6165A">
        <w:rPr>
          <w:b/>
          <w:bCs/>
          <w:lang w:eastAsia="ar-SA"/>
        </w:rPr>
        <w:t>sector ovino de leche</w:t>
      </w:r>
      <w:r w:rsidR="00F63F63" w:rsidRPr="00C6165A">
        <w:rPr>
          <w:lang w:eastAsia="ar-SA"/>
        </w:rPr>
        <w:t>,</w:t>
      </w:r>
      <w:r w:rsidRPr="00C6165A">
        <w:rPr>
          <w:lang w:eastAsia="ar-SA"/>
        </w:rPr>
        <w:t xml:space="preserve"> </w:t>
      </w:r>
      <w:r w:rsidR="002E2A60" w:rsidRPr="00C6165A">
        <w:t>en los últimos doce meses</w:t>
      </w:r>
      <w:r w:rsidR="00F63F63" w:rsidRPr="00C6165A">
        <w:t xml:space="preserve">, en Castilla y León se ha </w:t>
      </w:r>
      <w:r w:rsidR="002E2A60" w:rsidRPr="00C6165A">
        <w:t>obtenido una</w:t>
      </w:r>
      <w:r w:rsidR="00F63F63" w:rsidRPr="00C6165A">
        <w:t xml:space="preserve"> producción </w:t>
      </w:r>
      <w:r w:rsidR="001875FC" w:rsidRPr="00C6165A">
        <w:t xml:space="preserve">acumulada </w:t>
      </w:r>
      <w:r w:rsidR="00F63F63" w:rsidRPr="00C6165A">
        <w:t xml:space="preserve">de leche de oveja </w:t>
      </w:r>
      <w:r w:rsidR="0019130B" w:rsidRPr="00C6165A">
        <w:t>ligeramente inferior</w:t>
      </w:r>
      <w:r w:rsidR="00F63F63" w:rsidRPr="00C6165A">
        <w:t xml:space="preserve"> al mismo periodo del anterior año, con una cifra acumulada de </w:t>
      </w:r>
      <w:r w:rsidR="0019130B" w:rsidRPr="00C6165A">
        <w:t>279,6</w:t>
      </w:r>
      <w:r w:rsidR="00F63F63" w:rsidRPr="00C6165A">
        <w:t xml:space="preserve"> millones de litros de leche, que representa un </w:t>
      </w:r>
      <w:r w:rsidR="002E2A60" w:rsidRPr="00C6165A">
        <w:t>55,</w:t>
      </w:r>
      <w:r w:rsidR="0019130B" w:rsidRPr="00C6165A">
        <w:t>4</w:t>
      </w:r>
      <w:r w:rsidR="00154C4C" w:rsidRPr="00C6165A">
        <w:t>%</w:t>
      </w:r>
      <w:r w:rsidR="00F63F63" w:rsidRPr="00C6165A">
        <w:t xml:space="preserve"> de la producción nacional.</w:t>
      </w:r>
    </w:p>
    <w:p w14:paraId="06219A71" w14:textId="77777777" w:rsidR="00F63F63" w:rsidRPr="00C6165A" w:rsidRDefault="00F63F63" w:rsidP="00F63F63"/>
    <w:p w14:paraId="522E8504" w14:textId="43F48427" w:rsidR="00F63F63" w:rsidRPr="00C6165A" w:rsidRDefault="0019130B" w:rsidP="00F63F63">
      <w:pPr>
        <w:jc w:val="center"/>
      </w:pPr>
      <w:r w:rsidRPr="00C6165A">
        <w:rPr>
          <w:noProof/>
        </w:rPr>
        <w:drawing>
          <wp:inline distT="0" distB="0" distL="0" distR="0" wp14:anchorId="4105E4A2" wp14:editId="0391298D">
            <wp:extent cx="4558225" cy="2136644"/>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4265" cy="2144163"/>
                    </a:xfrm>
                    <a:prstGeom prst="rect">
                      <a:avLst/>
                    </a:prstGeom>
                    <a:noFill/>
                  </pic:spPr>
                </pic:pic>
              </a:graphicData>
            </a:graphic>
          </wp:inline>
        </w:drawing>
      </w:r>
    </w:p>
    <w:p w14:paraId="5DB1CB7C" w14:textId="24568698" w:rsidR="00CD6ED3" w:rsidRPr="00C6165A" w:rsidRDefault="00CD6ED3" w:rsidP="00CD6ED3">
      <w:pPr>
        <w:spacing w:before="120"/>
        <w:jc w:val="center"/>
        <w:rPr>
          <w:sz w:val="16"/>
          <w:szCs w:val="16"/>
          <w:lang w:eastAsia="es-ES"/>
        </w:rPr>
      </w:pPr>
      <w:r w:rsidRPr="00C6165A">
        <w:rPr>
          <w:sz w:val="16"/>
          <w:szCs w:val="16"/>
          <w:lang w:eastAsia="es-ES"/>
        </w:rPr>
        <w:t xml:space="preserve">Fuente: </w:t>
      </w:r>
      <w:r w:rsidR="0000631C" w:rsidRPr="00C6165A">
        <w:rPr>
          <w:sz w:val="16"/>
          <w:szCs w:val="16"/>
          <w:lang w:eastAsia="es-ES"/>
        </w:rPr>
        <w:t>Elaboración propia a partir de datos del informe de declaraciones de entregas del MAPA</w:t>
      </w:r>
    </w:p>
    <w:p w14:paraId="08D83682" w14:textId="77777777" w:rsidR="00F63F63" w:rsidRPr="00C6165A" w:rsidRDefault="00F63F63" w:rsidP="00AA49C3">
      <w:pPr>
        <w:rPr>
          <w:lang w:eastAsia="ar-SA"/>
        </w:rPr>
      </w:pPr>
    </w:p>
    <w:p w14:paraId="4AED031D" w14:textId="3F39A0C6" w:rsidR="0019246F" w:rsidRPr="00C6165A" w:rsidRDefault="00AA49C3" w:rsidP="0019246F">
      <w:pPr>
        <w:rPr>
          <w:lang w:eastAsia="ar-SA"/>
        </w:rPr>
      </w:pPr>
      <w:bookmarkStart w:id="7" w:name="_Hlk27463954"/>
      <w:r w:rsidRPr="00C6165A">
        <w:rPr>
          <w:lang w:eastAsia="ar-SA"/>
        </w:rPr>
        <w:t xml:space="preserve">Según los datos </w:t>
      </w:r>
      <w:r w:rsidR="002E74AC" w:rsidRPr="00C6165A">
        <w:rPr>
          <w:lang w:eastAsia="ar-SA"/>
        </w:rPr>
        <w:t>del Observatorio de precios de los productos agrícolas y ganaderos de Castilla y León</w:t>
      </w:r>
      <w:r w:rsidRPr="00C6165A">
        <w:rPr>
          <w:lang w:eastAsia="ar-SA"/>
        </w:rPr>
        <w:t xml:space="preserve">, a lo largo de </w:t>
      </w:r>
      <w:r w:rsidR="008D4B47" w:rsidRPr="00C6165A">
        <w:rPr>
          <w:lang w:eastAsia="ar-SA"/>
        </w:rPr>
        <w:t>202</w:t>
      </w:r>
      <w:r w:rsidR="0019130B" w:rsidRPr="00C6165A">
        <w:rPr>
          <w:lang w:eastAsia="ar-SA"/>
        </w:rPr>
        <w:t>2</w:t>
      </w:r>
      <w:r w:rsidRPr="00C6165A">
        <w:rPr>
          <w:lang w:eastAsia="ar-SA"/>
        </w:rPr>
        <w:t xml:space="preserve"> los precios medios han </w:t>
      </w:r>
      <w:r w:rsidR="00DF5678" w:rsidRPr="00C6165A">
        <w:rPr>
          <w:lang w:eastAsia="ar-SA"/>
        </w:rPr>
        <w:t xml:space="preserve">sido superiores a los de </w:t>
      </w:r>
      <w:r w:rsidR="008D4B47" w:rsidRPr="00C6165A">
        <w:rPr>
          <w:lang w:eastAsia="ar-SA"/>
        </w:rPr>
        <w:t>202</w:t>
      </w:r>
      <w:r w:rsidR="0019130B" w:rsidRPr="00C6165A">
        <w:rPr>
          <w:lang w:eastAsia="ar-SA"/>
        </w:rPr>
        <w:t>1</w:t>
      </w:r>
      <w:r w:rsidR="00DF5678" w:rsidRPr="00C6165A">
        <w:rPr>
          <w:lang w:eastAsia="ar-SA"/>
        </w:rPr>
        <w:t>.</w:t>
      </w:r>
      <w:r w:rsidR="00C832F6" w:rsidRPr="00C6165A">
        <w:rPr>
          <w:lang w:eastAsia="ar-SA"/>
        </w:rPr>
        <w:t xml:space="preserve"> La leche de oveja se pagó a </w:t>
      </w:r>
      <w:r w:rsidR="0019130B" w:rsidRPr="00C6165A">
        <w:rPr>
          <w:lang w:eastAsia="ar-SA"/>
        </w:rPr>
        <w:t>1,04 euro</w:t>
      </w:r>
      <w:r w:rsidR="00C832F6" w:rsidRPr="00C6165A">
        <w:rPr>
          <w:lang w:eastAsia="ar-SA"/>
        </w:rPr>
        <w:t>s por litro</w:t>
      </w:r>
      <w:r w:rsidR="004874C3" w:rsidRPr="00C6165A">
        <w:rPr>
          <w:lang w:eastAsia="ar-SA"/>
        </w:rPr>
        <w:t xml:space="preserve"> a principios de año</w:t>
      </w:r>
      <w:r w:rsidR="00C832F6" w:rsidRPr="00C6165A">
        <w:rPr>
          <w:lang w:eastAsia="ar-SA"/>
        </w:rPr>
        <w:t xml:space="preserve">, bajando hasta el mínimo en </w:t>
      </w:r>
      <w:r w:rsidR="0019130B" w:rsidRPr="00C6165A">
        <w:rPr>
          <w:lang w:eastAsia="ar-SA"/>
        </w:rPr>
        <w:t>mayo</w:t>
      </w:r>
      <w:r w:rsidR="00C832F6" w:rsidRPr="00C6165A">
        <w:rPr>
          <w:lang w:eastAsia="ar-SA"/>
        </w:rPr>
        <w:t xml:space="preserve"> (</w:t>
      </w:r>
      <w:r w:rsidR="0019130B" w:rsidRPr="00C6165A">
        <w:rPr>
          <w:lang w:eastAsia="ar-SA"/>
        </w:rPr>
        <w:t>0,93 euros</w:t>
      </w:r>
      <w:r w:rsidR="00C832F6" w:rsidRPr="00C6165A">
        <w:rPr>
          <w:lang w:eastAsia="ar-SA"/>
        </w:rPr>
        <w:t xml:space="preserve"> por litro) para iniciar una tendencia alcista desde entonces, hasta alcanzar los </w:t>
      </w:r>
      <w:r w:rsidR="008D4B47" w:rsidRPr="00C6165A">
        <w:rPr>
          <w:lang w:eastAsia="ar-SA"/>
        </w:rPr>
        <w:t>1,</w:t>
      </w:r>
      <w:r w:rsidR="00EC109B" w:rsidRPr="00C6165A">
        <w:rPr>
          <w:lang w:eastAsia="ar-SA"/>
        </w:rPr>
        <w:t>25</w:t>
      </w:r>
      <w:r w:rsidR="008D4B47" w:rsidRPr="00C6165A">
        <w:rPr>
          <w:lang w:eastAsia="ar-SA"/>
        </w:rPr>
        <w:t xml:space="preserve"> euros</w:t>
      </w:r>
      <w:r w:rsidR="00C832F6" w:rsidRPr="00C6165A">
        <w:rPr>
          <w:lang w:eastAsia="ar-SA"/>
        </w:rPr>
        <w:t xml:space="preserve"> por litro en el mes de </w:t>
      </w:r>
      <w:r w:rsidR="00EC109B" w:rsidRPr="00C6165A">
        <w:rPr>
          <w:lang w:eastAsia="ar-SA"/>
        </w:rPr>
        <w:t>octubr</w:t>
      </w:r>
      <w:r w:rsidR="00C832F6" w:rsidRPr="00C6165A">
        <w:rPr>
          <w:lang w:eastAsia="ar-SA"/>
        </w:rPr>
        <w:t>e.</w:t>
      </w:r>
      <w:r w:rsidR="00DF5678" w:rsidRPr="00C6165A">
        <w:rPr>
          <w:lang w:eastAsia="ar-SA"/>
        </w:rPr>
        <w:t xml:space="preserve"> </w:t>
      </w:r>
    </w:p>
    <w:p w14:paraId="166FBC89" w14:textId="07104DE2" w:rsidR="00AA49C3" w:rsidRPr="00C6165A" w:rsidRDefault="00AA49C3" w:rsidP="00AA49C3">
      <w:pPr>
        <w:rPr>
          <w:lang w:eastAsia="ar-SA"/>
        </w:rPr>
      </w:pPr>
    </w:p>
    <w:p w14:paraId="57A0805A" w14:textId="61BF47D7" w:rsidR="00AA49C3" w:rsidRPr="00C6165A" w:rsidRDefault="00EC109B" w:rsidP="00AA49C3">
      <w:pPr>
        <w:jc w:val="center"/>
        <w:rPr>
          <w:lang w:eastAsia="ar-SA"/>
        </w:rPr>
      </w:pPr>
      <w:r w:rsidRPr="00C6165A">
        <w:rPr>
          <w:noProof/>
          <w:lang w:eastAsia="ar-SA"/>
        </w:rPr>
        <w:drawing>
          <wp:inline distT="0" distB="0" distL="0" distR="0" wp14:anchorId="09DAB430" wp14:editId="31E60A57">
            <wp:extent cx="5275385" cy="2476725"/>
            <wp:effectExtent l="0" t="0" r="190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01997" cy="2489219"/>
                    </a:xfrm>
                    <a:prstGeom prst="rect">
                      <a:avLst/>
                    </a:prstGeom>
                    <a:noFill/>
                  </pic:spPr>
                </pic:pic>
              </a:graphicData>
            </a:graphic>
          </wp:inline>
        </w:drawing>
      </w:r>
    </w:p>
    <w:bookmarkEnd w:id="7"/>
    <w:p w14:paraId="455EDA96" w14:textId="77777777" w:rsidR="005246D8" w:rsidRPr="00C6165A" w:rsidRDefault="005246D8" w:rsidP="005246D8">
      <w:pPr>
        <w:spacing w:before="120"/>
        <w:jc w:val="center"/>
        <w:rPr>
          <w:sz w:val="16"/>
          <w:szCs w:val="16"/>
          <w:lang w:eastAsia="es-ES"/>
        </w:rPr>
      </w:pPr>
      <w:r w:rsidRPr="00C6165A">
        <w:rPr>
          <w:sz w:val="16"/>
          <w:szCs w:val="16"/>
          <w:lang w:eastAsia="es-ES"/>
        </w:rPr>
        <w:t>Fuente: Elaboración propia a partir de datos del Observatorio de precios de los productos agrícolas y ganaderos de Castilla y León</w:t>
      </w:r>
    </w:p>
    <w:p w14:paraId="286B3266" w14:textId="77777777" w:rsidR="00AA49C3" w:rsidRPr="00C6165A" w:rsidRDefault="00AA49C3" w:rsidP="00AA49C3">
      <w:pPr>
        <w:rPr>
          <w:lang w:eastAsia="ar-SA"/>
        </w:rPr>
      </w:pPr>
    </w:p>
    <w:p w14:paraId="3379452D" w14:textId="77777777" w:rsidR="00595E58" w:rsidRPr="00C6165A" w:rsidRDefault="00595E58" w:rsidP="00AA49C3">
      <w:pPr>
        <w:rPr>
          <w:b/>
          <w:lang w:eastAsia="ar-SA"/>
        </w:rPr>
      </w:pPr>
    </w:p>
    <w:p w14:paraId="32AD3CD2" w14:textId="66555AEB" w:rsidR="0019246F" w:rsidRPr="00C6165A" w:rsidRDefault="008D4B47" w:rsidP="0019246F">
      <w:pPr>
        <w:rPr>
          <w:lang w:eastAsia="ar-SA"/>
        </w:rPr>
      </w:pPr>
      <w:r w:rsidRPr="00C6165A">
        <w:rPr>
          <w:lang w:eastAsia="ar-SA"/>
        </w:rPr>
        <w:t>E</w:t>
      </w:r>
      <w:r w:rsidR="00E62F89" w:rsidRPr="00C6165A">
        <w:rPr>
          <w:lang w:eastAsia="ar-SA"/>
        </w:rPr>
        <w:t xml:space="preserve">n la actualidad </w:t>
      </w:r>
      <w:r w:rsidRPr="00C6165A">
        <w:rPr>
          <w:lang w:eastAsia="ar-SA"/>
        </w:rPr>
        <w:t xml:space="preserve">quedan </w:t>
      </w:r>
      <w:r w:rsidR="005A3DCC" w:rsidRPr="00C6165A">
        <w:rPr>
          <w:lang w:eastAsia="ar-SA"/>
        </w:rPr>
        <w:t>1.</w:t>
      </w:r>
      <w:r w:rsidR="00EC109B" w:rsidRPr="00C6165A">
        <w:rPr>
          <w:lang w:eastAsia="ar-SA"/>
        </w:rPr>
        <w:t>558</w:t>
      </w:r>
      <w:r w:rsidR="00E62F89" w:rsidRPr="00C6165A">
        <w:rPr>
          <w:lang w:eastAsia="ar-SA"/>
        </w:rPr>
        <w:t xml:space="preserve"> explotaciones con entregas</w:t>
      </w:r>
      <w:r w:rsidR="005414EA" w:rsidRPr="00C6165A">
        <w:rPr>
          <w:lang w:eastAsia="ar-SA"/>
        </w:rPr>
        <w:t xml:space="preserve"> en Castilla y León</w:t>
      </w:r>
      <w:r w:rsidRPr="00C6165A">
        <w:rPr>
          <w:lang w:eastAsia="ar-SA"/>
        </w:rPr>
        <w:t>,</w:t>
      </w:r>
      <w:r w:rsidR="0019246F" w:rsidRPr="00C6165A">
        <w:rPr>
          <w:lang w:eastAsia="ar-SA"/>
        </w:rPr>
        <w:t xml:space="preserve"> </w:t>
      </w:r>
      <w:r w:rsidRPr="00C6165A">
        <w:rPr>
          <w:lang w:eastAsia="ar-SA"/>
        </w:rPr>
        <w:t>s</w:t>
      </w:r>
      <w:r w:rsidR="0019246F" w:rsidRPr="00C6165A">
        <w:rPr>
          <w:lang w:eastAsia="ar-SA"/>
        </w:rPr>
        <w:t xml:space="preserve">egún los datos publicados </w:t>
      </w:r>
      <w:r w:rsidR="00EC109B" w:rsidRPr="00C6165A">
        <w:rPr>
          <w:lang w:eastAsia="ar-SA"/>
        </w:rPr>
        <w:t>en el Ministerio. Esta cifra supone un descenso de 101 ganaderos de ovino en el último año, casi 800 menos que los que había instalados en 2016</w:t>
      </w:r>
      <w:r w:rsidR="0019246F" w:rsidRPr="00C6165A">
        <w:rPr>
          <w:lang w:eastAsia="ar-SA"/>
        </w:rPr>
        <w:t xml:space="preserve">. </w:t>
      </w:r>
    </w:p>
    <w:p w14:paraId="54C16632" w14:textId="1A7A7A50" w:rsidR="000775F2" w:rsidRPr="00C6165A" w:rsidRDefault="000775F2" w:rsidP="0019246F">
      <w:pPr>
        <w:rPr>
          <w:lang w:eastAsia="ar-SA"/>
        </w:rPr>
      </w:pPr>
    </w:p>
    <w:p w14:paraId="63A25531" w14:textId="77777777" w:rsidR="00181390" w:rsidRPr="00C6165A" w:rsidRDefault="00181390" w:rsidP="00181390">
      <w:pPr>
        <w:suppressAutoHyphens/>
        <w:rPr>
          <w:iCs/>
          <w:kern w:val="1"/>
          <w:lang w:eastAsia="ar-SA"/>
        </w:rPr>
      </w:pPr>
      <w:r w:rsidRPr="00C6165A">
        <w:rPr>
          <w:iCs/>
          <w:kern w:val="1"/>
          <w:lang w:eastAsia="ar-SA"/>
        </w:rPr>
        <w:t xml:space="preserve">En mayo se aprobó un real decreto con la modificación de la normativa que regula las condiciones de contratación en el sector lácteo. La iniciativa tiene por objeto facilitar que los contratos de compraventa de leche cruda entre la industria y los productores se ajusten con rapidez a los incrementos en los costes de producción que de manera sostenida se vienen produciendo en los últimos meses. Se trata de asegurar que los costes de producción se repercutan de manera equilibrada a lo largo de la cadena de valor de la leche y productos lácteos, sin que produzcan reducciones de márgenes en las granjas que pongan en peligro su viabilidad. </w:t>
      </w:r>
    </w:p>
    <w:p w14:paraId="65AB2ED0" w14:textId="77777777" w:rsidR="00181390" w:rsidRPr="00C6165A" w:rsidRDefault="00181390" w:rsidP="00181390">
      <w:pPr>
        <w:suppressAutoHyphens/>
        <w:rPr>
          <w:rFonts w:eastAsia="SimSun"/>
          <w:kern w:val="1"/>
          <w:lang w:eastAsia="ar-SA"/>
        </w:rPr>
      </w:pPr>
      <w:r w:rsidRPr="00C6165A">
        <w:rPr>
          <w:bCs/>
          <w:iCs/>
          <w:kern w:val="1"/>
          <w:lang w:eastAsia="ar-SA"/>
        </w:rPr>
        <w:t>Asimismo, las olas de calor del verano han reducido los rendimientos al provocar estrés en los animales. A este factor hay que sumarle también, la aparición de patologías, problemas de fertilidad, y en casos extremos, muertes por golpes de calor.</w:t>
      </w:r>
      <w:r w:rsidRPr="00C6165A">
        <w:rPr>
          <w:rFonts w:eastAsia="SimSun"/>
          <w:kern w:val="1"/>
          <w:lang w:eastAsia="ar-SA"/>
        </w:rPr>
        <w:t xml:space="preserve"> </w:t>
      </w:r>
    </w:p>
    <w:p w14:paraId="732FBE9F" w14:textId="77777777" w:rsidR="00181390" w:rsidRPr="00C6165A" w:rsidRDefault="00181390" w:rsidP="00181390">
      <w:pPr>
        <w:suppressAutoHyphens/>
        <w:rPr>
          <w:iCs/>
          <w:kern w:val="1"/>
          <w:lang w:eastAsia="ar-SA"/>
        </w:rPr>
      </w:pPr>
      <w:r w:rsidRPr="00C6165A">
        <w:rPr>
          <w:rFonts w:eastAsia="SimSun"/>
          <w:kern w:val="1"/>
          <w:lang w:eastAsia="ar-SA"/>
        </w:rPr>
        <w:t xml:space="preserve">Continuando con la normativa destacada del sector, en el mes de noviembre se ha publicado un real decreto </w:t>
      </w:r>
      <w:r w:rsidRPr="00C6165A">
        <w:rPr>
          <w:iCs/>
          <w:kern w:val="1"/>
          <w:lang w:eastAsia="ar-SA"/>
        </w:rPr>
        <w:t>por el que se establecen normas básicas para el registro de los agentes del sector lácteo, movimientos de la leche y el control en el ámbito de la producción primaria hasta la primera descarga.</w:t>
      </w:r>
    </w:p>
    <w:p w14:paraId="7F2A9BC5" w14:textId="77777777" w:rsidR="00181390" w:rsidRDefault="00181390" w:rsidP="000775F2">
      <w:pPr>
        <w:suppressAutoHyphens/>
        <w:rPr>
          <w:b/>
          <w:bCs/>
          <w:iCs/>
          <w:kern w:val="1"/>
          <w:lang w:eastAsia="ar-SA"/>
        </w:rPr>
      </w:pPr>
    </w:p>
    <w:p w14:paraId="391B33E3" w14:textId="77777777" w:rsidR="00181390" w:rsidRDefault="00181390" w:rsidP="000775F2">
      <w:pPr>
        <w:suppressAutoHyphens/>
        <w:rPr>
          <w:b/>
          <w:bCs/>
          <w:iCs/>
          <w:kern w:val="1"/>
          <w:lang w:eastAsia="ar-SA"/>
        </w:rPr>
      </w:pPr>
    </w:p>
    <w:p w14:paraId="67B302FC" w14:textId="20A6C689" w:rsidR="000775F2" w:rsidRPr="00C6165A" w:rsidRDefault="000775F2" w:rsidP="000775F2">
      <w:pPr>
        <w:suppressAutoHyphens/>
        <w:rPr>
          <w:b/>
          <w:bCs/>
          <w:iCs/>
          <w:kern w:val="1"/>
          <w:lang w:eastAsia="ar-SA"/>
        </w:rPr>
      </w:pPr>
      <w:r w:rsidRPr="00C6165A">
        <w:rPr>
          <w:b/>
          <w:bCs/>
          <w:iCs/>
          <w:kern w:val="1"/>
          <w:lang w:eastAsia="ar-SA"/>
        </w:rPr>
        <w:t>Apicultura</w:t>
      </w:r>
    </w:p>
    <w:p w14:paraId="185D7D1E" w14:textId="66AEAFE0" w:rsidR="000775F2" w:rsidRPr="00C6165A" w:rsidRDefault="000775F2" w:rsidP="0019246F">
      <w:pPr>
        <w:rPr>
          <w:lang w:eastAsia="ar-SA"/>
        </w:rPr>
      </w:pPr>
    </w:p>
    <w:p w14:paraId="2A10795E" w14:textId="77777777" w:rsidR="005863D3" w:rsidRPr="00C6165A" w:rsidRDefault="005863D3" w:rsidP="005863D3">
      <w:pPr>
        <w:rPr>
          <w:lang w:eastAsia="ar-SA"/>
        </w:rPr>
      </w:pPr>
      <w:r w:rsidRPr="00C6165A">
        <w:rPr>
          <w:lang w:eastAsia="ar-SA"/>
        </w:rPr>
        <w:t>Para este sector, según los últimos datos publicados por el Ministerio en los “indicadores económicos del sector apícola 2021”, el censo en España en 2022 cuenta con 36.586 explotaciones tanto profesionales como de autoconsumo, de las cuales 6.444 (17,61%) están registradas en la comunidad de Castilla y León. Respecto al censo de colmenas en la comunidad, contamos en abril de 2022 con un total 444.026, el 14,33% respecto al volumen nacional y un 0,3% menos que en 2021. Por sistema de producción, el 37,73% son estantes y el 62,27% se dedican a la trashumancia.</w:t>
      </w:r>
    </w:p>
    <w:p w14:paraId="569E1601" w14:textId="2BD5C112" w:rsidR="005863D3" w:rsidRPr="00C6165A" w:rsidRDefault="005863D3" w:rsidP="005863D3">
      <w:pPr>
        <w:rPr>
          <w:lang w:eastAsia="ar-SA"/>
        </w:rPr>
      </w:pPr>
      <w:r w:rsidRPr="00C6165A">
        <w:rPr>
          <w:lang w:eastAsia="ar-SA"/>
        </w:rPr>
        <w:t>A nivel productivo con los datos disponibles de 2020, en Castilla y León se recogieron 4.071 toneladas de miel, siendo la tercera comunidad autónoma con mayor producción detrás de Andalucía y Extremadura y ocupando casi el 13,5% de la producción total nacional. En producción de cera se han registrado 170,4 toneladas, más del 10% de la producción nacional.</w:t>
      </w:r>
    </w:p>
    <w:p w14:paraId="425C9A05" w14:textId="77777777" w:rsidR="005863D3" w:rsidRPr="00C6165A" w:rsidRDefault="005863D3" w:rsidP="005863D3">
      <w:pPr>
        <w:rPr>
          <w:lang w:eastAsia="ar-SA"/>
        </w:rPr>
      </w:pPr>
    </w:p>
    <w:p w14:paraId="1A2FBFB8" w14:textId="7B55B565" w:rsidR="00FA14AF" w:rsidRPr="00C6165A" w:rsidRDefault="00FA14AF" w:rsidP="00FA14AF">
      <w:pPr>
        <w:rPr>
          <w:lang w:eastAsia="ar-SA"/>
        </w:rPr>
      </w:pPr>
      <w:r w:rsidRPr="00C6165A">
        <w:rPr>
          <w:lang w:eastAsia="ar-SA"/>
        </w:rPr>
        <w:t xml:space="preserve">El año 2022 ha sido un año atípico en cuanto a las ayudas para la mejora de la producción y comercialización de la miel, ya que se han convocado ayudas para el periodo comprendido entre el 1 de agosto de 2021 y el 31 de julio de 2022, y se tiene que realizar otra convocatoria que subvencionará las actividades comprendidas entre el 1 de agosto y el 31 de diciembre de 2022, que tienen como base normativa el Plan Nacional Apícola 2020-2022. </w:t>
      </w:r>
    </w:p>
    <w:p w14:paraId="34DABFCD" w14:textId="77777777" w:rsidR="00FA14AF" w:rsidRPr="00C6165A" w:rsidRDefault="00FA14AF" w:rsidP="00FA14AF">
      <w:pPr>
        <w:rPr>
          <w:lang w:eastAsia="ar-SA"/>
        </w:rPr>
      </w:pPr>
      <w:r w:rsidRPr="00C6165A">
        <w:rPr>
          <w:lang w:eastAsia="ar-SA"/>
        </w:rPr>
        <w:t>En la primera de las convocatorias, la principal novedad ha sido el incremento en los importes de todas las líneas, concediéndose en Castilla y León ayudas por un total de casi 2,8 millones de euros, de los cuales se justificaron y pagaron el 97,6%.</w:t>
      </w:r>
    </w:p>
    <w:p w14:paraId="46FCD9AA" w14:textId="77777777" w:rsidR="00FA14AF" w:rsidRPr="00C6165A" w:rsidRDefault="00FA14AF" w:rsidP="00FA14AF">
      <w:pPr>
        <w:rPr>
          <w:lang w:eastAsia="ar-SA"/>
        </w:rPr>
      </w:pPr>
    </w:p>
    <w:p w14:paraId="6D371F74" w14:textId="77777777" w:rsidR="00FA14AF" w:rsidRPr="00C6165A" w:rsidRDefault="00FA14AF" w:rsidP="00FA14AF">
      <w:pPr>
        <w:rPr>
          <w:lang w:eastAsia="ar-SA"/>
        </w:rPr>
      </w:pPr>
      <w:r w:rsidRPr="00C6165A">
        <w:rPr>
          <w:lang w:eastAsia="ar-SA"/>
        </w:rPr>
        <w:t>En el último trimestre del año se ha aprobado la Intervención Sectorial Apícola en el marco del Plan Estratégico de la Política Agrícola Común, que entrará en vigor el 1 de enero de 2023, con un presupuesto que asciende a 19 millones de euros anuales, de los cuales 9,5 millones son aportados por la Unión Europea, 4,9 millones por el Estado y el resto por las comunidades autónomas.</w:t>
      </w:r>
    </w:p>
    <w:p w14:paraId="76BE9707" w14:textId="77777777" w:rsidR="00FA14AF" w:rsidRPr="00C6165A" w:rsidRDefault="00FA14AF" w:rsidP="00FA14AF">
      <w:pPr>
        <w:rPr>
          <w:lang w:eastAsia="ar-SA"/>
        </w:rPr>
      </w:pPr>
    </w:p>
    <w:p w14:paraId="08B4EB58" w14:textId="77777777" w:rsidR="00FA14AF" w:rsidRPr="00C6165A" w:rsidRDefault="00FA14AF" w:rsidP="00FA14AF">
      <w:pPr>
        <w:rPr>
          <w:lang w:eastAsia="ar-SA"/>
        </w:rPr>
      </w:pPr>
      <w:r w:rsidRPr="00C6165A">
        <w:rPr>
          <w:lang w:eastAsia="ar-SA"/>
        </w:rPr>
        <w:t>Esta intervención sectorial consta de 38 medidas agrupadas en 9 líneas de actuación para apoyar a los apicultores en la lucha contra las agresiones de las colmenas, la realización de inversiones, la asistencia técnica y capacitación del personal, la adaptación al cambio climático, los retos sanitarios, la investigación, la mejora de la calidad y la comercialización de la miel y los productos apícolas.</w:t>
      </w:r>
    </w:p>
    <w:p w14:paraId="1FB555EE" w14:textId="77777777" w:rsidR="00FA14AF" w:rsidRPr="00C6165A" w:rsidRDefault="00FA14AF" w:rsidP="00FA14AF">
      <w:pPr>
        <w:rPr>
          <w:lang w:eastAsia="ar-SA"/>
        </w:rPr>
      </w:pPr>
    </w:p>
    <w:p w14:paraId="0AAE3F77" w14:textId="42F74516" w:rsidR="00FA14AF" w:rsidRPr="00C6165A" w:rsidRDefault="00FA14AF" w:rsidP="00FA14AF">
      <w:pPr>
        <w:rPr>
          <w:lang w:eastAsia="ar-SA"/>
        </w:rPr>
      </w:pPr>
      <w:r w:rsidRPr="00C6165A">
        <w:rPr>
          <w:lang w:eastAsia="ar-SA"/>
        </w:rPr>
        <w:t>Entre las principales novedades con respecto a los planes apícolas desarrollados hasta ahora, la nueva intervención sectorial introduce una línea destinada a prevenir los daños ocasionados por fenómenos climáticos adversos y fomentar el desarrollo y la utilización de prácticas de gestión adaptadas a unas condiciones climáticas cambiantes.</w:t>
      </w:r>
    </w:p>
    <w:p w14:paraId="23222D78" w14:textId="71370B37" w:rsidR="007E5501" w:rsidRPr="00C6165A" w:rsidRDefault="007E5501" w:rsidP="00FA14AF">
      <w:pPr>
        <w:rPr>
          <w:lang w:eastAsia="ar-SA"/>
        </w:rPr>
      </w:pPr>
    </w:p>
    <w:p w14:paraId="67B626C7" w14:textId="77777777" w:rsidR="007E5501" w:rsidRPr="00C6165A" w:rsidRDefault="007E5501" w:rsidP="00FA14AF">
      <w:pPr>
        <w:rPr>
          <w:lang w:eastAsia="ar-SA"/>
        </w:rPr>
      </w:pPr>
    </w:p>
    <w:p w14:paraId="3F862D1B" w14:textId="77777777" w:rsidR="00FA14AF" w:rsidRPr="00C6165A" w:rsidRDefault="00FA14AF" w:rsidP="00FA14AF">
      <w:pPr>
        <w:rPr>
          <w:b/>
          <w:bCs/>
        </w:rPr>
      </w:pPr>
      <w:r w:rsidRPr="00C6165A">
        <w:rPr>
          <w:b/>
          <w:bCs/>
        </w:rPr>
        <w:t>Saneamiento ganadero</w:t>
      </w:r>
    </w:p>
    <w:p w14:paraId="197D477E" w14:textId="77777777" w:rsidR="00FA14AF" w:rsidRPr="00C6165A" w:rsidRDefault="00FA14AF" w:rsidP="00FA14AF"/>
    <w:p w14:paraId="762C68B7" w14:textId="77777777" w:rsidR="00FA14AF" w:rsidRPr="00C6165A" w:rsidRDefault="00FA14AF" w:rsidP="00FA14AF">
      <w:r w:rsidRPr="00C6165A">
        <w:t>Los resultados finales de los programas de erradicación de enfermedades de los rumiantes correspondiente al año 2021 son, en general, muy buenos, fruto del gran trabajo y esfuerzo llevado a cabo por el sector ganadero con el apoyo de los servicios veterinarios.</w:t>
      </w:r>
    </w:p>
    <w:p w14:paraId="20BA1A4F" w14:textId="77777777" w:rsidR="00FA14AF" w:rsidRPr="00C6165A" w:rsidRDefault="00FA14AF" w:rsidP="00FA14AF">
      <w:r w:rsidRPr="00C6165A">
        <w:t>No obstante, sigue preocupando la tuberculosis bovina. En 2021 se ha producido un nuevo descenso de la prevalencia en todas las provincias de Castilla y León, excepto en Salamanca y Segovia, que sube. En la provincia de Salamanca la mayor prevalencia se ha concentrado, fundamentalmente, en la Unidad Veterinaria de Vitigudino y sus colindantes.</w:t>
      </w:r>
    </w:p>
    <w:p w14:paraId="1E901CD9" w14:textId="77777777" w:rsidR="00FA14AF" w:rsidRPr="00C6165A" w:rsidRDefault="00FA14AF" w:rsidP="00FA14AF">
      <w:r w:rsidRPr="00C6165A">
        <w:t>En Castilla y León la prevalencia se sitúa en el 1,34 %, cuando, en el año 2007, la prevalencia era de 4,16 %. Además, 79 de las 103 unidades veterinarias no han tenido ni un solo caso de tuberculosis bovina y su prevalencia es 0 %.</w:t>
      </w:r>
    </w:p>
    <w:p w14:paraId="788E1D88" w14:textId="097B9216" w:rsidR="00FA14AF" w:rsidRPr="00C6165A" w:rsidRDefault="00181390" w:rsidP="00FA14AF">
      <w:r>
        <w:t>L</w:t>
      </w:r>
      <w:r w:rsidR="00FA14AF" w:rsidRPr="00C6165A">
        <w:t>as provincias de Burgos, León y Valladolid</w:t>
      </w:r>
      <w:r>
        <w:t xml:space="preserve">, con prevalencia 0%, </w:t>
      </w:r>
      <w:r w:rsidR="00FA14AF" w:rsidRPr="00C6165A">
        <w:t xml:space="preserve">no tendrán que hacer pruebas de movimiento de los animales de venta siempre que hayan realizado las pruebas en los seis meses anteriores. </w:t>
      </w:r>
      <w:r>
        <w:t>S</w:t>
      </w:r>
      <w:r w:rsidR="00FA14AF" w:rsidRPr="00C6165A">
        <w:t>i no se producen repuntes, el 1 de enero del año 2023 estas tres provincias podrían tener el estatus de libres de tuberculosis bovina reconocido por la Unión Europea, y Zamora lo tendría en 2024.</w:t>
      </w:r>
    </w:p>
    <w:p w14:paraId="7F0FE8E2" w14:textId="77777777" w:rsidR="00FA14AF" w:rsidRPr="00C6165A" w:rsidRDefault="00FA14AF" w:rsidP="00FA14AF"/>
    <w:p w14:paraId="03A249E2" w14:textId="77777777" w:rsidR="00FA14AF" w:rsidRPr="00C6165A" w:rsidRDefault="00FA14AF" w:rsidP="00FA14AF">
      <w:r w:rsidRPr="00C6165A">
        <w:t>La Comisión Europea publicaba en febrero la declaración de España como país oficialmente indemne de brucelosis bovina, tras la inclusión de Cáceres, última provincia en conseguirlo para completar así el territorio nacional. La declaración de España como libre de la enfermedad se obtiene tras no detectarse casos durante 3 años consecutivos y obtener la calificación de oficialmente indemnes en el 99,8% de los rebaños. Este estatus para brucelosis bovina se suma al obtenido en 2021 para el ganado ovino y caprino.</w:t>
      </w:r>
    </w:p>
    <w:p w14:paraId="03F90B58" w14:textId="77777777" w:rsidR="00FA14AF" w:rsidRPr="00C6165A" w:rsidRDefault="00FA14AF" w:rsidP="00FA14AF"/>
    <w:p w14:paraId="67F46CA8" w14:textId="77777777" w:rsidR="00DD3729" w:rsidRDefault="00DD3729" w:rsidP="00DD3729">
      <w:r>
        <w:t>A primeros de año, e</w:t>
      </w:r>
      <w:r w:rsidRPr="00253D4F">
        <w:t xml:space="preserve">n Castilla y León se detectaron tres brotes de </w:t>
      </w:r>
      <w:r>
        <w:t>influenza aviar de alta patogenicidad</w:t>
      </w:r>
      <w:r w:rsidRPr="00253D4F">
        <w:t xml:space="preserve"> H5N1 en especies domésticas. El primero fue en enero en una explotación </w:t>
      </w:r>
      <w:r>
        <w:t>de</w:t>
      </w:r>
      <w:r w:rsidRPr="00253D4F">
        <w:t xml:space="preserve"> pavos </w:t>
      </w:r>
      <w:r>
        <w:t xml:space="preserve">de engorde </w:t>
      </w:r>
      <w:r w:rsidRPr="00253D4F">
        <w:t xml:space="preserve">en </w:t>
      </w:r>
      <w:proofErr w:type="spellStart"/>
      <w:r w:rsidRPr="00253D4F">
        <w:t>Fuenterrebollo</w:t>
      </w:r>
      <w:proofErr w:type="spellEnd"/>
      <w:r w:rsidRPr="00253D4F">
        <w:t xml:space="preserve"> (Segovia) y los otros dos focos en dos explotaciones de gallinas ponedoras de Íscar (Valladolid).</w:t>
      </w:r>
    </w:p>
    <w:p w14:paraId="26F95EBF" w14:textId="77777777" w:rsidR="00DD3729" w:rsidRPr="00C6165A" w:rsidRDefault="00DD3729" w:rsidP="00DD3729">
      <w:r>
        <w:t xml:space="preserve">La Administración tomó </w:t>
      </w:r>
      <w:r w:rsidRPr="00253D4F">
        <w:t>las medidas legales obligatorias</w:t>
      </w:r>
      <w:r>
        <w:t>,</w:t>
      </w:r>
      <w:r w:rsidRPr="00253D4F">
        <w:t xml:space="preserve"> </w:t>
      </w:r>
      <w:r>
        <w:t xml:space="preserve">que </w:t>
      </w:r>
      <w:r w:rsidRPr="00253D4F">
        <w:t xml:space="preserve">consisten en el establecimiento de una zona de restricción que comprende dos zonas alrededor de la explotación afectada: una primera zona de protección </w:t>
      </w:r>
      <w:r>
        <w:t>con</w:t>
      </w:r>
      <w:r w:rsidRPr="00253D4F">
        <w:t xml:space="preserve"> un radio de tres kilómetros desde el lugar del brote y una segunda una zona de vigilancia con un radio de diez kilómetros.</w:t>
      </w:r>
      <w:r>
        <w:t xml:space="preserve"> Estos focos se dieron por extinguidos a mediados de abril.</w:t>
      </w:r>
    </w:p>
    <w:p w14:paraId="739B904A" w14:textId="77777777" w:rsidR="00DD3729" w:rsidRDefault="00DD3729" w:rsidP="00922543"/>
    <w:p w14:paraId="14307E88" w14:textId="445F30A0" w:rsidR="00DD3729" w:rsidRDefault="00DD3729" w:rsidP="00DD3729">
      <w:r>
        <w:t>En octubre se confirmó un foco del virus serotipo 4 de lengua azul en el municipio de Águeda (Salamanca), en una explotación de ovino. Este foco supone el regreso de la enfermedad a la comunidad autónoma, algo que no sucedía desde diciembre de 2013, siendo la primera vez que se detecta el serotipo 4 en la comunidad desde que hay registros. La administración tomó diversas medidas: restricciones de movimientos, declaración de zona restringida en varios municipios de la zona (Ciudad Rodrigo, Lumbrales, La Fuente de San Esteban, Tamames y Sequeros) y la vacunación obligatoria para todos los animales mayores de 3 meses de las especies bovina y ovina, unas 370.000 cabezas en total. A finales de mes se permitió mover los animales sin síntomas procedentes de estas zonas restringidas a mataderos y cebaderos de toda España, cumpliendo determinados criterios de higiene durante transporte.</w:t>
      </w:r>
    </w:p>
    <w:p w14:paraId="2372EE5E" w14:textId="77777777" w:rsidR="00DD3729" w:rsidRDefault="00DD3729" w:rsidP="00DD3729">
      <w:r>
        <w:t>En Ávila se detectó el primer foco a principios de noviembre, también en una explotación ovina, situada en el municipio de Candeleda, siendo la primera vez que se detectaba esta enfermedad desde el año 2010.</w:t>
      </w:r>
    </w:p>
    <w:p w14:paraId="336D53C6" w14:textId="77777777" w:rsidR="00DD3729" w:rsidRDefault="00DD3729" w:rsidP="00DD3729">
      <w:r>
        <w:t xml:space="preserve">A día de hoy las </w:t>
      </w:r>
      <w:proofErr w:type="gramStart"/>
      <w:r>
        <w:t>zonas afectada</w:t>
      </w:r>
      <w:proofErr w:type="gramEnd"/>
      <w:r>
        <w:t xml:space="preserve"> de Salamanca y Ávila permanecen catalogadas como “zona restringida frente al serotipo 4 del virus de la lengua azul”.</w:t>
      </w:r>
    </w:p>
    <w:p w14:paraId="20F34E14" w14:textId="12D93FB2" w:rsidR="00FA14AF" w:rsidRPr="00C6165A" w:rsidRDefault="00FA14AF" w:rsidP="00DD3729">
      <w:r w:rsidRPr="00C6165A">
        <w:t>Para ASAJA la sanidad animal es una de las medidas más importantes de política agraria, por ello lleva décadas reclamando programas de actuación claros avalados por la ciencia veterinaria, medios humanos y económicos para abordar las campañas oficiales, e indemnizaciones justas a los ganaderos para afrontar los sacrificios obligatorios y reponer de nuevo la cabaña.</w:t>
      </w:r>
      <w:r w:rsidR="00922543">
        <w:t xml:space="preserve"> En esta línea la organización valora positivamente el estatus sanitario de nuestra comunidad, diferenciando los protocolos de trabajo en función del estatus sanitario de cada zona y en las que existen </w:t>
      </w:r>
      <w:r w:rsidR="00922543" w:rsidRPr="00922543">
        <w:t xml:space="preserve">mayores dificultades para la erradicación marcarse como primer objetivo </w:t>
      </w:r>
      <w:r w:rsidR="00922543">
        <w:t>el</w:t>
      </w:r>
      <w:r w:rsidR="00922543" w:rsidRPr="00922543">
        <w:t xml:space="preserve"> control</w:t>
      </w:r>
      <w:r w:rsidR="00922543">
        <w:t xml:space="preserve"> de la enfermedad,</w:t>
      </w:r>
      <w:r w:rsidRPr="00922543">
        <w:t xml:space="preserve"> estable</w:t>
      </w:r>
      <w:r w:rsidR="00922543" w:rsidRPr="00922543">
        <w:t xml:space="preserve">ciendo </w:t>
      </w:r>
      <w:r w:rsidRPr="00922543">
        <w:t xml:space="preserve">protocolos claros en la lucha contra la enfermedad </w:t>
      </w:r>
      <w:r w:rsidR="00922543" w:rsidRPr="00922543">
        <w:t xml:space="preserve">con el </w:t>
      </w:r>
      <w:r w:rsidRPr="00922543">
        <w:t xml:space="preserve">mínimo perjuicio para el productor. </w:t>
      </w:r>
      <w:r w:rsidR="00922543" w:rsidRPr="00922543">
        <w:t>Deben además d</w:t>
      </w:r>
      <w:r w:rsidRPr="00922543">
        <w:t>esarroll</w:t>
      </w:r>
      <w:r w:rsidR="00922543" w:rsidRPr="00922543">
        <w:t>arse</w:t>
      </w:r>
      <w:r w:rsidRPr="00922543">
        <w:t xml:space="preserve"> acciones en las que se tenga en cuenta la fauna silvestre que actúa como propagadora de la enfermedad.</w:t>
      </w:r>
    </w:p>
    <w:p w14:paraId="43AB645C" w14:textId="7D538871" w:rsidR="00511D45" w:rsidRPr="00C6165A" w:rsidRDefault="00511D45" w:rsidP="00D57B4F"/>
    <w:p w14:paraId="08A64892" w14:textId="77777777" w:rsidR="00D81AB5" w:rsidRPr="00C6165A" w:rsidRDefault="00D81AB5" w:rsidP="00D57B4F"/>
    <w:p w14:paraId="40095BFD" w14:textId="77777777" w:rsidR="00D81AB5" w:rsidRPr="00C6165A" w:rsidRDefault="00D81AB5" w:rsidP="00D81AB5">
      <w:pPr>
        <w:jc w:val="center"/>
        <w:rPr>
          <w:b/>
          <w:bCs/>
        </w:rPr>
      </w:pPr>
      <w:r w:rsidRPr="00C6165A">
        <w:rPr>
          <w:b/>
          <w:bCs/>
        </w:rPr>
        <w:t>AYUDAS EXCEPCIONALES</w:t>
      </w:r>
    </w:p>
    <w:p w14:paraId="59C6D440" w14:textId="77777777" w:rsidR="00181390" w:rsidRDefault="00181390" w:rsidP="00181390"/>
    <w:p w14:paraId="3EF7C4B5" w14:textId="23E9C211" w:rsidR="00181390" w:rsidRDefault="00181390" w:rsidP="00181390">
      <w:r>
        <w:t>En el marco del Plan Nacional de respuesta a las consecuencias económicas y sociales de la guerra en Ucrania, a lo largo del año se han aprobado ayudas excepcionales a diversos sectores. Para los sectores de la leche de vaca, de oveja y de cabra se asignaron un total de 169 millones de euros, de los cuales 28,5 se han destinado a los productores de Castilla y León. En los sectores de carne de vacuno (vaca nodriza y vacuno de cebo), ovino y caprino de carne (pollos), conejos y productores de cítricos se aprobaron 193 millones de euros, llegando a los titulares de explotaciones en Castilla y León unos 35,3 millones de euros.</w:t>
      </w:r>
    </w:p>
    <w:p w14:paraId="4242353C" w14:textId="77777777" w:rsidR="00181390" w:rsidRDefault="00181390" w:rsidP="00181390"/>
    <w:p w14:paraId="3DE3AF5E" w14:textId="4115A9C0" w:rsidR="00181390" w:rsidRDefault="00181390" w:rsidP="00181390">
      <w:r>
        <w:t>Por su parte, la Junta de Castilla y León complementó estas ayudas a diversos sectores que no fueron auxiliados desde el ámbito nacional o europeo incluyendo, en lo que se refiere a los sectores ganaderos: pavos, avicultura de puesta, porcino (reproductoras y cebo), apicultura y los terneros nacidos y cebados en la propia explotación. Además, se incluyeron apoyos a las superficies sembradas en 2022, entre otros, de remolacha, patata y otros hortícolas, en parcelas de regadío que utilizan agua de pozos por sondeos. En total, la Administración Autonómica va a destinar a estos sectores con dificultades un total de 14,5 millones de euros.</w:t>
      </w:r>
    </w:p>
    <w:p w14:paraId="3314051A" w14:textId="77777777" w:rsidR="00181390" w:rsidRDefault="00181390" w:rsidP="00181390"/>
    <w:p w14:paraId="18817388" w14:textId="771E124C" w:rsidR="00D81AB5" w:rsidRPr="00C6165A" w:rsidRDefault="00181390" w:rsidP="00181390">
      <w:r>
        <w:t xml:space="preserve">Además, </w:t>
      </w:r>
      <w:r w:rsidRPr="00C6165A">
        <w:t>en el marco del Plan de Recuperación, Transformación y Resiliencia</w:t>
      </w:r>
      <w:r>
        <w:t>, en e</w:t>
      </w:r>
      <w:r w:rsidR="00D81AB5" w:rsidRPr="00C6165A">
        <w:t xml:space="preserve">l segundo trimestre del año, la Consejería de Agricultura, Ganadería y Desarrollo Rural convocó seis líneas de ayudas dentro del plan de impulso de la sostenibilidad y competitividad de la agricultura y la ganadería (III), </w:t>
      </w:r>
      <w:r>
        <w:t>dirigidas a las siguientes inversiones</w:t>
      </w:r>
      <w:r w:rsidR="00D81AB5" w:rsidRPr="00C6165A">
        <w:t>:</w:t>
      </w:r>
    </w:p>
    <w:p w14:paraId="3939DCEF" w14:textId="77777777" w:rsidR="00D81AB5" w:rsidRPr="00C6165A" w:rsidRDefault="00D81AB5" w:rsidP="00D81AB5">
      <w:pPr>
        <w:numPr>
          <w:ilvl w:val="0"/>
          <w:numId w:val="35"/>
        </w:numPr>
      </w:pPr>
      <w:r w:rsidRPr="00C6165A">
        <w:t>Aplicación de agricultura de precisión y tecnologías 4.0 en el sector agrícola y ganadero, con un presupuesto de 4.530.447 €.</w:t>
      </w:r>
    </w:p>
    <w:p w14:paraId="7BDD7CF6" w14:textId="77777777" w:rsidR="00D81AB5" w:rsidRPr="00C6165A" w:rsidRDefault="00D81AB5" w:rsidP="00D81AB5">
      <w:pPr>
        <w:numPr>
          <w:ilvl w:val="0"/>
          <w:numId w:val="35"/>
        </w:numPr>
      </w:pPr>
      <w:r w:rsidRPr="00C6165A">
        <w:t>Inversiones en eficiencia energética y energías renovables (biogás y biomasa agrícola), con 648.332 €.</w:t>
      </w:r>
    </w:p>
    <w:p w14:paraId="7B0FD5C9" w14:textId="77777777" w:rsidR="00D81AB5" w:rsidRPr="00C6165A" w:rsidRDefault="00D81AB5" w:rsidP="00D81AB5">
      <w:pPr>
        <w:numPr>
          <w:ilvl w:val="0"/>
          <w:numId w:val="35"/>
        </w:numPr>
      </w:pPr>
      <w:r w:rsidRPr="00C6165A">
        <w:t>Inversiones en sistemas de gestión de estiércoles en ganadería, con 3.837.443 €.</w:t>
      </w:r>
    </w:p>
    <w:p w14:paraId="298979EE" w14:textId="77777777" w:rsidR="00D81AB5" w:rsidRPr="00C6165A" w:rsidRDefault="00D81AB5" w:rsidP="00D81AB5">
      <w:pPr>
        <w:numPr>
          <w:ilvl w:val="0"/>
          <w:numId w:val="35"/>
        </w:numPr>
      </w:pPr>
      <w:r w:rsidRPr="00C6165A">
        <w:t>Transformación integral y modernización de invernaderos, con 302.252 €.</w:t>
      </w:r>
    </w:p>
    <w:p w14:paraId="1A176752" w14:textId="77777777" w:rsidR="00D81AB5" w:rsidRPr="00C6165A" w:rsidRDefault="00D81AB5" w:rsidP="00D81AB5">
      <w:pPr>
        <w:numPr>
          <w:ilvl w:val="0"/>
          <w:numId w:val="35"/>
        </w:numPr>
      </w:pPr>
      <w:r w:rsidRPr="00C6165A">
        <w:t>Inversiones en materia de bioseguridad para la mejora o construcción de centros de limpieza y desinfección de vehículos de transporte por carretera de ganado, con 897.618,43 €.</w:t>
      </w:r>
    </w:p>
    <w:p w14:paraId="0EE36FB0" w14:textId="77777777" w:rsidR="00D81AB5" w:rsidRPr="00C6165A" w:rsidRDefault="00D81AB5" w:rsidP="00D81AB5">
      <w:pPr>
        <w:numPr>
          <w:ilvl w:val="0"/>
          <w:numId w:val="35"/>
        </w:numPr>
      </w:pPr>
      <w:r w:rsidRPr="00C6165A">
        <w:t>Inversiones en bioseguridad en viveros acometidas por determinados productores de materiales vegetales de reproducción, con 229.672,80 €.</w:t>
      </w:r>
    </w:p>
    <w:p w14:paraId="7EACE19A" w14:textId="77777777" w:rsidR="00D81AB5" w:rsidRPr="00C6165A" w:rsidRDefault="00D81AB5" w:rsidP="00D57B4F"/>
    <w:p w14:paraId="4FB48DA9" w14:textId="66DA7B95" w:rsidR="00695091" w:rsidRPr="00C6165A" w:rsidRDefault="00695091" w:rsidP="00221AA0"/>
    <w:p w14:paraId="7E23015E" w14:textId="77777777" w:rsidR="0040157F" w:rsidRPr="00C6165A" w:rsidRDefault="0040157F" w:rsidP="0040157F">
      <w:pPr>
        <w:suppressAutoHyphens/>
        <w:jc w:val="center"/>
        <w:rPr>
          <w:b/>
        </w:rPr>
      </w:pPr>
      <w:r w:rsidRPr="00C6165A">
        <w:rPr>
          <w:b/>
        </w:rPr>
        <w:t>FORMACIÓN</w:t>
      </w:r>
    </w:p>
    <w:p w14:paraId="1FF878BF" w14:textId="77777777" w:rsidR="0040157F" w:rsidRPr="00C6165A" w:rsidRDefault="0040157F" w:rsidP="0040157F">
      <w:pPr>
        <w:suppressAutoHyphens/>
      </w:pPr>
    </w:p>
    <w:p w14:paraId="3307388A" w14:textId="1D8F1FEC" w:rsidR="0040157F" w:rsidRPr="00C6165A" w:rsidRDefault="00D45577" w:rsidP="0040157F">
      <w:pPr>
        <w:suppressAutoHyphens/>
      </w:pPr>
      <w:r w:rsidRPr="00C6165A">
        <w:t xml:space="preserve">A lo largo del año </w:t>
      </w:r>
      <w:r w:rsidR="00924CA5" w:rsidRPr="00C6165A">
        <w:t>202</w:t>
      </w:r>
      <w:r w:rsidR="00290D33" w:rsidRPr="00C6165A">
        <w:t>2</w:t>
      </w:r>
      <w:r w:rsidR="0040157F" w:rsidRPr="00C6165A">
        <w:t xml:space="preserve"> ASAJA Castilla y León </w:t>
      </w:r>
      <w:r w:rsidRPr="00C6165A">
        <w:t xml:space="preserve">ha </w:t>
      </w:r>
      <w:r w:rsidR="003C4789" w:rsidRPr="00C6165A">
        <w:t>iniciado</w:t>
      </w:r>
      <w:r w:rsidRPr="00C6165A">
        <w:t xml:space="preserve"> </w:t>
      </w:r>
      <w:r w:rsidR="00290D33" w:rsidRPr="00C6165A">
        <w:t>15</w:t>
      </w:r>
      <w:r w:rsidR="0040157F" w:rsidRPr="00C6165A">
        <w:t xml:space="preserve"> curso</w:t>
      </w:r>
      <w:r w:rsidRPr="00C6165A">
        <w:t>s</w:t>
      </w:r>
      <w:r w:rsidR="0040157F" w:rsidRPr="00C6165A">
        <w:t xml:space="preserve"> de incorporación a la empresa agraria en la modalidad online, </w:t>
      </w:r>
      <w:r w:rsidRPr="00C6165A">
        <w:t xml:space="preserve">dando formación a </w:t>
      </w:r>
      <w:r w:rsidR="00E3073F" w:rsidRPr="00C6165A">
        <w:t>más de 350 alumnos</w:t>
      </w:r>
      <w:r w:rsidRPr="00C6165A">
        <w:t>, de los cuales</w:t>
      </w:r>
      <w:r w:rsidR="0040157F" w:rsidRPr="00C6165A">
        <w:t xml:space="preserve"> el </w:t>
      </w:r>
      <w:r w:rsidR="00696DC9" w:rsidRPr="00C6165A">
        <w:t>57,8</w:t>
      </w:r>
      <w:r w:rsidR="00154C4C" w:rsidRPr="00C6165A">
        <w:t>%</w:t>
      </w:r>
      <w:r w:rsidR="0040157F" w:rsidRPr="00C6165A">
        <w:t xml:space="preserve"> </w:t>
      </w:r>
      <w:r w:rsidRPr="00C6165A">
        <w:t>son</w:t>
      </w:r>
      <w:r w:rsidR="0040157F" w:rsidRPr="00C6165A">
        <w:t xml:space="preserve"> hombres y el </w:t>
      </w:r>
      <w:r w:rsidR="007C59C6" w:rsidRPr="00C6165A">
        <w:t>4</w:t>
      </w:r>
      <w:r w:rsidR="00696DC9" w:rsidRPr="00C6165A">
        <w:t>2,2</w:t>
      </w:r>
      <w:r w:rsidR="00154C4C" w:rsidRPr="00C6165A">
        <w:t>%</w:t>
      </w:r>
      <w:r w:rsidR="0040157F" w:rsidRPr="00C6165A">
        <w:t xml:space="preserve"> mujeres</w:t>
      </w:r>
      <w:r w:rsidR="00924CA5" w:rsidRPr="00C6165A">
        <w:t>, atendiendo la fuerte demanda que está llegando desde los diferentes puntos de la región</w:t>
      </w:r>
      <w:r w:rsidR="0040157F" w:rsidRPr="00C6165A">
        <w:t xml:space="preserve">. </w:t>
      </w:r>
      <w:r w:rsidR="00924CA5" w:rsidRPr="00C6165A">
        <w:t>ASAJA imparte estos cursos desde una plataforma autonómica en la que colabora el personal técnico de la organización en las distintas provincias, dotando a los cursos de la calidad debida y obteniendo los alumnos los resultados esperados.</w:t>
      </w:r>
    </w:p>
    <w:p w14:paraId="3B40A745" w14:textId="3A5DE3D9" w:rsidR="00E0272E" w:rsidRPr="00C6165A" w:rsidRDefault="00E0272E" w:rsidP="0040157F">
      <w:pPr>
        <w:suppressAutoHyphens/>
      </w:pPr>
    </w:p>
    <w:p w14:paraId="3EFAD73F" w14:textId="2A606135" w:rsidR="00E0272E" w:rsidRPr="00C6165A" w:rsidRDefault="00E0272E" w:rsidP="0040157F">
      <w:pPr>
        <w:suppressAutoHyphens/>
      </w:pPr>
      <w:r w:rsidRPr="00C6165A">
        <w:t xml:space="preserve">A su vez, se ha impartido formación </w:t>
      </w:r>
      <w:r w:rsidR="00817D9D" w:rsidRPr="00C6165A">
        <w:t>presencial</w:t>
      </w:r>
      <w:r w:rsidRPr="00C6165A">
        <w:t xml:space="preserve">, que apoya la realización de acciones de formación profesional y adquisición de competencias, donde se han aprobado </w:t>
      </w:r>
      <w:r w:rsidR="00817D9D" w:rsidRPr="00C6165A">
        <w:t>un importante número de</w:t>
      </w:r>
      <w:r w:rsidRPr="00C6165A">
        <w:t xml:space="preserve"> acciones formativas a las asociaciones provinciales de ASAJA de la región. </w:t>
      </w:r>
    </w:p>
    <w:p w14:paraId="6A8F620A" w14:textId="49CC5395" w:rsidR="00E0272E" w:rsidRPr="00C6165A" w:rsidRDefault="00E0272E" w:rsidP="0040157F">
      <w:pPr>
        <w:suppressAutoHyphens/>
      </w:pPr>
      <w:r w:rsidRPr="00C6165A">
        <w:t>A</w:t>
      </w:r>
      <w:r w:rsidR="0040157F" w:rsidRPr="00C6165A">
        <w:t xml:space="preserve">demás de </w:t>
      </w:r>
      <w:r w:rsidRPr="00C6165A">
        <w:t>la formación precisa e imprescindible para cualquier joven que decida instalarse en el campo, requerida en la solicitud de muchas ayudas cuando no se cuenta con experiencia o formación adecuada, como son los cursos de incorporación a la empresa agraria, fitosanitarios y bienestar animal, se han impartido cursos y jornadas con temática novedosa, que pretenden contribuir a la mejora del sector y la fijación de población en el medio rural, tales como</w:t>
      </w:r>
      <w:r w:rsidR="007C59C6" w:rsidRPr="00C6165A">
        <w:t xml:space="preserve"> </w:t>
      </w:r>
      <w:r w:rsidR="0056444B" w:rsidRPr="00C6165A">
        <w:t>“uso y manejo de GPS”, “agricultura 4.0”, “técnicas de poda”, “</w:t>
      </w:r>
      <w:r w:rsidR="00C41EF7" w:rsidRPr="00C6165A">
        <w:t>riego”, “cultivos alternativos”, “vinos y cata”, “agricultura extensiva”, “agricultura y ganadería sostenible”, “aplicación de purines”, “cultivo del pistacho”, “cultivo del almendro”, etc.</w:t>
      </w:r>
    </w:p>
    <w:p w14:paraId="7DF82769" w14:textId="7C2DBB23" w:rsidR="00A76B23" w:rsidRDefault="00A76B23" w:rsidP="00D81AB5">
      <w:pPr>
        <w:suppressAutoHyphens/>
        <w:jc w:val="center"/>
      </w:pPr>
    </w:p>
    <w:p w14:paraId="01713ACF" w14:textId="77777777" w:rsidR="007460F3" w:rsidRPr="00C6165A" w:rsidRDefault="007460F3" w:rsidP="00D81AB5">
      <w:pPr>
        <w:suppressAutoHyphens/>
        <w:jc w:val="center"/>
      </w:pPr>
    </w:p>
    <w:p w14:paraId="3FF4EE84" w14:textId="77777777" w:rsidR="00D81AB5" w:rsidRPr="00C6165A" w:rsidRDefault="00D81AB5" w:rsidP="00D81AB5">
      <w:pPr>
        <w:suppressAutoHyphens/>
        <w:jc w:val="center"/>
        <w:rPr>
          <w:b/>
          <w:bCs/>
        </w:rPr>
      </w:pPr>
      <w:r w:rsidRPr="00C6165A">
        <w:rPr>
          <w:b/>
          <w:bCs/>
        </w:rPr>
        <w:t>PAC</w:t>
      </w:r>
    </w:p>
    <w:p w14:paraId="326F1BFD" w14:textId="77777777" w:rsidR="00D81AB5" w:rsidRPr="00C6165A" w:rsidRDefault="00D81AB5" w:rsidP="00D81AB5">
      <w:pPr>
        <w:suppressAutoHyphens/>
      </w:pPr>
    </w:p>
    <w:p w14:paraId="6B91912C" w14:textId="77777777" w:rsidR="00D81AB5" w:rsidRPr="00C6165A" w:rsidRDefault="00D81AB5" w:rsidP="00D81AB5">
      <w:pPr>
        <w:suppressAutoHyphens/>
      </w:pPr>
      <w:r w:rsidRPr="00C6165A">
        <w:t xml:space="preserve">En la campaña PAC 2022 </w:t>
      </w:r>
      <w:r w:rsidRPr="007460F3">
        <w:rPr>
          <w:b/>
          <w:bCs/>
        </w:rPr>
        <w:t>el número de solicitantes descendió hasta 67.709</w:t>
      </w:r>
      <w:r w:rsidRPr="00C6165A">
        <w:t xml:space="preserve">, un 2,3% menos que las presentadas el pasado año. En la última década se ha producido una bajada de 26.500 solicitudes, lo que significa una disminución de casi un 28 por ciento desde 2012. El descenso es apreciable en toda la comunidad autónoma, con porcentajes que oscilan entre el 21 y el 35 por ciento, según provincias. </w:t>
      </w:r>
    </w:p>
    <w:p w14:paraId="4A7B4423" w14:textId="77777777" w:rsidR="00D81AB5" w:rsidRPr="00C6165A" w:rsidRDefault="00D81AB5" w:rsidP="00D81AB5">
      <w:pPr>
        <w:suppressAutoHyphens/>
      </w:pPr>
      <w:r w:rsidRPr="00C6165A">
        <w:t>Aunque el número global de PAC presentadas en Castilla y León ha descendido, por el contrario, ha aumentado el número de expedientes presentados por ASAJA, sumando 14.292, el 21 por ciento del total, y siendo la primera entidad gestora a gran distancia del resto. En ASAJA ha ocurrido justo lo contrario que en el global de la región, tramitando hoy un 46 por ciento más de PAC que hace diez años.</w:t>
      </w:r>
    </w:p>
    <w:p w14:paraId="75F1D5FE" w14:textId="77777777" w:rsidR="00D81AB5" w:rsidRPr="00C6165A" w:rsidRDefault="00D81AB5" w:rsidP="00D81AB5">
      <w:pPr>
        <w:suppressAutoHyphens/>
      </w:pPr>
    </w:p>
    <w:p w14:paraId="59AB64F6" w14:textId="77777777" w:rsidR="00D81AB5" w:rsidRPr="00C6165A" w:rsidRDefault="00D81AB5" w:rsidP="00D81AB5">
      <w:pPr>
        <w:suppressAutoHyphens/>
      </w:pPr>
      <w:r w:rsidRPr="00C6165A">
        <w:t>Como todos los años, ha habido algunas modificaciones en la normativa de la solicitud única, destacando la modificación del mecanismo de la convergencia, fruto de la presión ejercida por las organizaciones agrarias, que tanto daño hizo a sectores concretos el año anterior, con el fin de proporcionar una acomodación más gradual de las explotaciones al futuro marco normativo de aplicación de la PAC a partir de 2023. Los derechos de pago básico, cuyo valor unitario inicial en 2022 sea inferior al valor medio regional, se incrementarán, en una décima parte de la diferencia entre su valor unitario inicial y el valor medio regional en 2022, mientras que en 2021 se incrementó una cuarta parte. Además, ningún derecho de pago básico tendrá un valor unitario inferior al 73 % del valor medio regional en 2022.</w:t>
      </w:r>
    </w:p>
    <w:p w14:paraId="1F4D1C98" w14:textId="77777777" w:rsidR="00D81AB5" w:rsidRPr="00C6165A" w:rsidRDefault="00D81AB5" w:rsidP="00D81AB5">
      <w:pPr>
        <w:suppressAutoHyphens/>
      </w:pPr>
      <w:r w:rsidRPr="00C6165A">
        <w:t>Respecto a la condicionalidad, se eliminó la excepción que afectaba a las parcelas de cultivo menores de una hectárea y a parcelas irregulares o alargadas cuya dimensión mínima en el sentido transversal a la pendiente fuera inferior a 100 metros en las cuales hasta ahora no eran de aplicación algunas condiciones de las Buenas Condiciones Agrarias y Medioambientales.</w:t>
      </w:r>
    </w:p>
    <w:p w14:paraId="6C4EA3EB" w14:textId="77777777" w:rsidR="00D81AB5" w:rsidRPr="00C6165A" w:rsidRDefault="00D81AB5" w:rsidP="00D81AB5">
      <w:pPr>
        <w:suppressAutoHyphens/>
      </w:pPr>
      <w:r w:rsidRPr="00C6165A">
        <w:t>También, se flexibilizaron las ayudas asociadas a la ganadería para facilitar el acceso a jóvenes ganaderos, también a aquellos que comienzan la actividad y presentan la solicitud única por primera vez.</w:t>
      </w:r>
    </w:p>
    <w:p w14:paraId="1FF37120" w14:textId="77777777" w:rsidR="00D81AB5" w:rsidRPr="00C6165A" w:rsidRDefault="00D81AB5" w:rsidP="00D81AB5">
      <w:pPr>
        <w:suppressAutoHyphens/>
      </w:pPr>
      <w:r w:rsidRPr="00C6165A">
        <w:t>En relación con la actividad agraria en los pastos permanentes de titularidad pública utilizados en común, se permiten las actividades de mantenimiento, que serán admisibles siempre y cuando se cumplan las disposiciones relativas a pastos permanentes de titularidad pública utilizados en común, especificadas en un nuevo anexo. Hasta ahora, en ningún caso se admitían estas actividades.</w:t>
      </w:r>
    </w:p>
    <w:p w14:paraId="59478AC0" w14:textId="77777777" w:rsidR="00D81AB5" w:rsidRPr="00C6165A" w:rsidRDefault="00D81AB5" w:rsidP="00D81AB5">
      <w:pPr>
        <w:suppressAutoHyphens/>
      </w:pPr>
    </w:p>
    <w:p w14:paraId="28A2D572" w14:textId="77777777" w:rsidR="00D81AB5" w:rsidRPr="00C6165A" w:rsidRDefault="00D81AB5" w:rsidP="00D81AB5">
      <w:pPr>
        <w:suppressAutoHyphens/>
      </w:pPr>
      <w:r w:rsidRPr="00C6165A">
        <w:t>El Gobierno modificó la normativa nacional de aplicación de la PAC para permitir excepcionalmente utilizar las superficies de barbecho para pasto o cultivo en la campaña de 2022. De este modo, España se acogió a la opción autorizada por la Comisión Europea para aumentar en lo posible la producción agraria de cereal y oleaginosas, y mejorar así el suministro de alimentos y piensos en España, en un momento de crisis de abastecimiento a causa de la guerra en Ucrania. Esta medida excepcional también se va a prorrogar en la campaña 2023, si bien las superficies no podrán cultivarse con maíz ni soja.</w:t>
      </w:r>
    </w:p>
    <w:p w14:paraId="09E34D42" w14:textId="77777777" w:rsidR="00D81AB5" w:rsidRPr="00C6165A" w:rsidRDefault="00D81AB5" w:rsidP="00D81AB5">
      <w:pPr>
        <w:suppressAutoHyphens/>
      </w:pPr>
    </w:p>
    <w:p w14:paraId="7017A475" w14:textId="77777777" w:rsidR="00D81AB5" w:rsidRPr="00C6165A" w:rsidRDefault="00D81AB5" w:rsidP="00D81AB5">
      <w:pPr>
        <w:suppressAutoHyphens/>
      </w:pPr>
      <w:r w:rsidRPr="00C6165A">
        <w:t>La Consejería de Agricultura y Ganadería comenzó a anticipar en octubre el 70 por ciento de las ayudas directas de la PAC y el 85 por ciento de los pagos del Programa de Desarrollo Rural, para facilitar al sector el poder afrontar el inicio de las labores de la nueva campaña de siembra, así como inyectar liquidez en el caso de las explotaciones ganaderas, en un año complicado por el incremento de los costes de producción como consecuencia del conflicto bélico en Ucrania.</w:t>
      </w:r>
    </w:p>
    <w:p w14:paraId="560D0148" w14:textId="77777777" w:rsidR="00D81AB5" w:rsidRPr="00C6165A" w:rsidRDefault="00D81AB5" w:rsidP="00D81AB5">
      <w:pPr>
        <w:suppressAutoHyphens/>
      </w:pPr>
    </w:p>
    <w:p w14:paraId="7F2FA196" w14:textId="77777777" w:rsidR="00D81AB5" w:rsidRPr="00C6165A" w:rsidRDefault="00D81AB5" w:rsidP="0040157F">
      <w:pPr>
        <w:suppressAutoHyphens/>
      </w:pPr>
    </w:p>
    <w:p w14:paraId="47BE58E1" w14:textId="6C64824F" w:rsidR="00D81AB5" w:rsidRPr="00C6165A" w:rsidRDefault="00D81AB5" w:rsidP="00D81AB5">
      <w:pPr>
        <w:jc w:val="center"/>
        <w:rPr>
          <w:bCs/>
        </w:rPr>
      </w:pPr>
    </w:p>
    <w:p w14:paraId="069C4F23" w14:textId="73D1FE0F" w:rsidR="00691148" w:rsidRDefault="00691148" w:rsidP="00D81AB5">
      <w:pPr>
        <w:jc w:val="center"/>
        <w:rPr>
          <w:b/>
          <w:bCs/>
        </w:rPr>
      </w:pPr>
      <w:r>
        <w:rPr>
          <w:b/>
          <w:bCs/>
        </w:rPr>
        <w:t>PEPAC 2023-2027</w:t>
      </w:r>
    </w:p>
    <w:p w14:paraId="5A0C7A09" w14:textId="2BB29D63" w:rsidR="00691148" w:rsidRDefault="00691148" w:rsidP="00D81AB5">
      <w:pPr>
        <w:jc w:val="center"/>
        <w:rPr>
          <w:b/>
          <w:bCs/>
        </w:rPr>
      </w:pPr>
    </w:p>
    <w:p w14:paraId="712D6DF5" w14:textId="77777777" w:rsidR="00E138A2" w:rsidRDefault="00691148" w:rsidP="00691148">
      <w:pPr>
        <w:suppressAutoHyphens/>
      </w:pPr>
      <w:r w:rsidRPr="007460F3">
        <w:rPr>
          <w:b/>
          <w:bCs/>
        </w:rPr>
        <w:t>La Comisión Europea aprobó el 31 de agosto el Plan Estratégico de la Política Agraria Común (PAC) 2023-2027 presentado por España</w:t>
      </w:r>
      <w:r w:rsidR="00E138A2">
        <w:t xml:space="preserve"> a finales de 2021</w:t>
      </w:r>
      <w:r>
        <w:t xml:space="preserve">. </w:t>
      </w:r>
      <w:r w:rsidR="00E138A2">
        <w:t>Desde entonces se preparan en el ámbito nacional en la publicación de</w:t>
      </w:r>
      <w:r>
        <w:t xml:space="preserve"> 18 reales decretos y una ley que, junto a las correspondientes normativas autonómicas, permitirán que la nueva Política Agraria Común (PAC) entre en vigor el 1 de enero de 2023 en España. </w:t>
      </w:r>
    </w:p>
    <w:p w14:paraId="76FDAA95" w14:textId="6A655EA0" w:rsidR="00E138A2" w:rsidRDefault="00E138A2" w:rsidP="00691148">
      <w:pPr>
        <w:suppressAutoHyphens/>
      </w:pPr>
      <w:r>
        <w:t xml:space="preserve">También </w:t>
      </w:r>
      <w:r w:rsidR="00691148">
        <w:t>queda</w:t>
      </w:r>
      <w:r w:rsidR="00181390">
        <w:t>ron</w:t>
      </w:r>
      <w:r w:rsidR="00691148">
        <w:t xml:space="preserve"> aprobadas las medidas de apoyo al desarrollo rural, lo que hasta ahora eran los Programas de Desarrollo Rural (PDR). </w:t>
      </w:r>
    </w:p>
    <w:p w14:paraId="72C7148B" w14:textId="77777777" w:rsidR="00181390" w:rsidRDefault="00181390" w:rsidP="00691148">
      <w:pPr>
        <w:suppressAutoHyphens/>
      </w:pPr>
    </w:p>
    <w:p w14:paraId="12ED4448" w14:textId="4DEC06A0" w:rsidR="00CD2BAB" w:rsidRDefault="00E138A2" w:rsidP="00691148">
      <w:pPr>
        <w:suppressAutoHyphens/>
      </w:pPr>
      <w:r>
        <w:t>Una nueva PAC que no le gusta a ASAJA, que ha peleado durante los últimos años para que fuera una PAC productiva</w:t>
      </w:r>
      <w:r w:rsidR="00CD2BAB">
        <w:t xml:space="preserve"> y </w:t>
      </w:r>
      <w:r>
        <w:t>a favor del profesional y no política ni ideológica como ha resultado finalmente. Algunas propuestas</w:t>
      </w:r>
      <w:r w:rsidR="0090281F">
        <w:t xml:space="preserve"> originales</w:t>
      </w:r>
      <w:r>
        <w:t>, mucho más descabelladas que las aprobadas, se consiguieron eliminar en estos años de queja</w:t>
      </w:r>
      <w:r w:rsidR="00CD2BAB">
        <w:t xml:space="preserve"> constante, pero ni siquiera una pandemia ni una guerra han sido capaces de doblegar a una Unión Europea obcecada en los objetivos medioambientales por encima incluso de la soberanía alimentaria de su población y llevados a su máximo exponente en nuestro país, donde se ha ido </w:t>
      </w:r>
      <w:r w:rsidR="0040047E">
        <w:t>aún</w:t>
      </w:r>
      <w:r w:rsidR="00CD2BAB">
        <w:t xml:space="preserve"> más allá de lo exigido desde Europa.</w:t>
      </w:r>
    </w:p>
    <w:p w14:paraId="7F0807D7" w14:textId="77777777" w:rsidR="00181390" w:rsidRDefault="00181390" w:rsidP="00691148">
      <w:pPr>
        <w:suppressAutoHyphens/>
      </w:pPr>
    </w:p>
    <w:p w14:paraId="1A0ED434" w14:textId="5A6C1254" w:rsidR="00B07383" w:rsidRDefault="00F729A4" w:rsidP="00691148">
      <w:pPr>
        <w:suppressAutoHyphens/>
      </w:pPr>
      <w:r>
        <w:t>La responsabilidad de ASAJA, una vez aprobada esta nueva PAC, es informar y asesorar a los profesionales del sector, para que conozcan y puedan tomar las mejores decisiones para su explotación. Desde septiembre la organización está inmersa en la mayor campaña informativa llevada a cabo en su historia. Miles de agricultores están asistiendo a las asambleas multitudinarias, jornadas provinciales o charlas comarcale</w:t>
      </w:r>
      <w:r w:rsidR="00B07383">
        <w:t>s celebradas</w:t>
      </w:r>
      <w:r>
        <w:t xml:space="preserve"> por decenas en cualquiera de las provincias de Castilla y León. A mayores, todos los medios humanos de la organización, más de 150 profesionales, llevan dedicados al asesoramiento personalizado constante</w:t>
      </w:r>
      <w:r w:rsidR="00B07383">
        <w:t xml:space="preserve"> en todas las oficinas de la comunidad.</w:t>
      </w:r>
    </w:p>
    <w:p w14:paraId="1154C1CC" w14:textId="77777777" w:rsidR="00181390" w:rsidRDefault="00181390" w:rsidP="00691148">
      <w:pPr>
        <w:suppressAutoHyphens/>
      </w:pPr>
    </w:p>
    <w:p w14:paraId="7EADFA36" w14:textId="291B3532" w:rsidR="0090281F" w:rsidRDefault="00181390" w:rsidP="00691148">
      <w:pPr>
        <w:suppressAutoHyphens/>
      </w:pPr>
      <w:r>
        <w:t xml:space="preserve">A </w:t>
      </w:r>
      <w:proofErr w:type="gramStart"/>
      <w:r w:rsidR="005A41D8">
        <w:t>continuación</w:t>
      </w:r>
      <w:proofErr w:type="gramEnd"/>
      <w:r>
        <w:t xml:space="preserve"> se hace u</w:t>
      </w:r>
      <w:r w:rsidR="00B07383">
        <w:t>n resumen muy genérico de los cambios que trae esta nueva PAC</w:t>
      </w:r>
      <w:r>
        <w:t xml:space="preserve"> para el sector</w:t>
      </w:r>
      <w:r w:rsidR="00B07383">
        <w:t>.</w:t>
      </w:r>
    </w:p>
    <w:p w14:paraId="554C2CFD" w14:textId="17FEA2D2" w:rsidR="0040047E" w:rsidRDefault="00CD2BAB" w:rsidP="00691148">
      <w:pPr>
        <w:suppressAutoHyphens/>
      </w:pPr>
      <w:r>
        <w:t xml:space="preserve">El beneficiario de las ayudas es el agricultor activo, </w:t>
      </w:r>
      <w:r w:rsidR="0040047E">
        <w:t>aunque los requisitos sob</w:t>
      </w:r>
      <w:r>
        <w:t xml:space="preserve">re </w:t>
      </w:r>
      <w:r w:rsidR="0040047E">
        <w:t xml:space="preserve">seguridad social y renta agraria </w:t>
      </w:r>
      <w:r w:rsidR="00351C6D">
        <w:t xml:space="preserve">solo se exigen al que </w:t>
      </w:r>
      <w:r w:rsidR="0040047E">
        <w:t>cobra más de 5.000 € de ayudas, el resto no están sometidos a su cumplimiento.</w:t>
      </w:r>
    </w:p>
    <w:p w14:paraId="4E02E94F" w14:textId="4E155477" w:rsidR="00351C6D" w:rsidRDefault="0040047E" w:rsidP="00691148">
      <w:pPr>
        <w:suppressAutoHyphens/>
      </w:pPr>
      <w:r>
        <w:t xml:space="preserve">El pago básico actual se transforma en ayuda básica a la renta con el complemento del pago redistributivo a las pequeñas explotaciones. Las 50 regiones actuales </w:t>
      </w:r>
      <w:r w:rsidR="00351C6D">
        <w:t xml:space="preserve">pasan a agruparse en 20 y la convergencia del valor de los derechos se acelera para que en 2026 la mayor parte de los derechos tengan el valor medio de su región y todos como mínimo el 85% de ese valor. Se reducen las ayudas entre 60.000 y 100.000 €, quedando topada a este último valor. </w:t>
      </w:r>
    </w:p>
    <w:p w14:paraId="21C9704A" w14:textId="77777777" w:rsidR="00351C6D" w:rsidRDefault="00351C6D" w:rsidP="00351C6D">
      <w:pPr>
        <w:suppressAutoHyphens/>
      </w:pPr>
      <w:r>
        <w:t xml:space="preserve">El pago </w:t>
      </w:r>
      <w:r w:rsidR="00691148">
        <w:t>redistributivo será del 20% del valor medio regional</w:t>
      </w:r>
      <w:r>
        <w:t xml:space="preserve"> hasta un primer umbral y del 4</w:t>
      </w:r>
      <w:r w:rsidR="00691148">
        <w:t xml:space="preserve">0 % </w:t>
      </w:r>
      <w:r>
        <w:t>hasta un segundo límite. A</w:t>
      </w:r>
      <w:r w:rsidR="00691148">
        <w:t xml:space="preserve"> partir de este último umbral de hectáreas no se concederá el pago redistributivo, lo que supone que por encima de </w:t>
      </w:r>
      <w:r>
        <w:t>un tercer</w:t>
      </w:r>
      <w:r w:rsidR="00691148">
        <w:t xml:space="preserve"> nivel</w:t>
      </w:r>
      <w:r>
        <w:t xml:space="preserve"> </w:t>
      </w:r>
      <w:r w:rsidR="00691148">
        <w:t xml:space="preserve">las explotaciones pierden fondos. </w:t>
      </w:r>
    </w:p>
    <w:p w14:paraId="45A06D91" w14:textId="20741029" w:rsidR="00691148" w:rsidRDefault="00691148" w:rsidP="0090281F">
      <w:pPr>
        <w:suppressAutoHyphens/>
      </w:pPr>
      <w:r>
        <w:t xml:space="preserve">La condicionalidad reforzada </w:t>
      </w:r>
      <w:r w:rsidR="00351C6D">
        <w:t>para el cobro de las ayudas s</w:t>
      </w:r>
      <w:r w:rsidR="0090281F">
        <w:t xml:space="preserve">on requisitos </w:t>
      </w:r>
      <w:r>
        <w:t>medioambiental</w:t>
      </w:r>
      <w:r w:rsidR="0090281F">
        <w:t>es,</w:t>
      </w:r>
      <w:r>
        <w:t xml:space="preserve"> climático</w:t>
      </w:r>
      <w:r w:rsidR="0090281F">
        <w:t>s y sociales</w:t>
      </w:r>
      <w:r>
        <w:t xml:space="preserve"> de carácter obligatorio. </w:t>
      </w:r>
      <w:r w:rsidR="0090281F">
        <w:t xml:space="preserve">Son </w:t>
      </w:r>
      <w:r>
        <w:t>11 Requisitos Legales de Gestión (RLG) y 10 Buenas Condiciones Agrícolas y Medioambientales (BCAM)</w:t>
      </w:r>
      <w:r w:rsidR="0090281F">
        <w:t xml:space="preserve"> que</w:t>
      </w:r>
      <w:r>
        <w:t xml:space="preserve"> incluyen aspectos de la condicionalidad actual</w:t>
      </w:r>
      <w:r w:rsidR="0090281F">
        <w:t xml:space="preserve">, se </w:t>
      </w:r>
      <w:r>
        <w:t>añaden algunos aspectos novedosos</w:t>
      </w:r>
      <w:r w:rsidR="0090281F">
        <w:t xml:space="preserve">, se </w:t>
      </w:r>
      <w:r>
        <w:t xml:space="preserve">incorporan normas anteriormente incluidas en el pago verde o </w:t>
      </w:r>
      <w:proofErr w:type="spellStart"/>
      <w:r>
        <w:t>greening</w:t>
      </w:r>
      <w:proofErr w:type="spellEnd"/>
      <w:r>
        <w:t>, en algunos casos, con exigencias mayores que las del periodo previo, y que ya no se compensan a mayores.</w:t>
      </w:r>
    </w:p>
    <w:p w14:paraId="7598C59A" w14:textId="77777777" w:rsidR="0090281F" w:rsidRDefault="0090281F" w:rsidP="0090281F">
      <w:pPr>
        <w:suppressAutoHyphens/>
      </w:pPr>
      <w:r>
        <w:t>Lo más novedoso son l</w:t>
      </w:r>
      <w:r w:rsidR="00E138A2">
        <w:t>os Eco-regímenes</w:t>
      </w:r>
      <w:r>
        <w:t>, a los que se les reserva el 23% del presupuesto total. Son prácticas que</w:t>
      </w:r>
      <w:r w:rsidR="00E138A2">
        <w:t xml:space="preserve"> remunerarán a las explotaciones que lleven a cabo prácticas agrícolas o ganaderas beneficiosas para el clima y el medio ambiente mediante compromisos anuales voluntarios. La propuesta de Eco-regímenes son unas prácticas concretas, que cubren todos los usos posibles del suelo, pastos permanentes y temporales, tierras de cultivos herbáceos y tierras de cultivos permanentes. Se puede escoger entre las prácticas que más interesen según el modelo de explotación.</w:t>
      </w:r>
      <w:r>
        <w:t xml:space="preserve"> L</w:t>
      </w:r>
      <w:r w:rsidR="00E138A2">
        <w:t>os importes</w:t>
      </w:r>
      <w:r>
        <w:t xml:space="preserve"> son los mismos</w:t>
      </w:r>
      <w:r w:rsidR="00E138A2">
        <w:t>, para un mismo tipo de superficie, con independencia de la práctica que se realice, salvo en el caso de</w:t>
      </w:r>
      <w:r>
        <w:t xml:space="preserve"> Espacios de Biodiversidad</w:t>
      </w:r>
      <w:r w:rsidR="00E138A2">
        <w:t xml:space="preserve">. Sobre una misma hectárea se recibe la ayuda una sola vez. </w:t>
      </w:r>
    </w:p>
    <w:p w14:paraId="1690CC0E" w14:textId="77777777" w:rsidR="00B07383" w:rsidRDefault="00E138A2" w:rsidP="0090281F">
      <w:pPr>
        <w:suppressAutoHyphens/>
      </w:pPr>
      <w:r>
        <w:t xml:space="preserve">Las ayudas asociadas se dirigen a sectores o tipos de explotaciones vulnerables desde el punto de vista social y económico. </w:t>
      </w:r>
      <w:r w:rsidR="00B07383">
        <w:t xml:space="preserve">Se mantienen similares a las actuales, fundamentalmente apoyan a </w:t>
      </w:r>
      <w:r>
        <w:t>sectores ganaderos</w:t>
      </w:r>
      <w:r w:rsidR="00B07383">
        <w:t>, algún agrícola com</w:t>
      </w:r>
      <w:r>
        <w:t xml:space="preserve">o remolacha o cultivos proteicos, de las que </w:t>
      </w:r>
      <w:r w:rsidR="00B07383">
        <w:t xml:space="preserve">en el último momento se </w:t>
      </w:r>
      <w:r>
        <w:t>elimin</w:t>
      </w:r>
      <w:r w:rsidR="00B07383">
        <w:t>ó</w:t>
      </w:r>
      <w:r>
        <w:t xml:space="preserve"> el girasol. </w:t>
      </w:r>
    </w:p>
    <w:p w14:paraId="78581CF7" w14:textId="77777777" w:rsidR="00B07383" w:rsidRDefault="00B07383" w:rsidP="00D81AB5">
      <w:pPr>
        <w:jc w:val="center"/>
        <w:rPr>
          <w:b/>
          <w:bCs/>
        </w:rPr>
      </w:pPr>
    </w:p>
    <w:p w14:paraId="583D0343" w14:textId="77777777" w:rsidR="00B07383" w:rsidRDefault="00B07383" w:rsidP="00D81AB5">
      <w:pPr>
        <w:jc w:val="center"/>
        <w:rPr>
          <w:b/>
          <w:bCs/>
        </w:rPr>
      </w:pPr>
    </w:p>
    <w:p w14:paraId="591D1870" w14:textId="675C3A7F" w:rsidR="00D81AB5" w:rsidRPr="00C6165A" w:rsidRDefault="00D81AB5" w:rsidP="00D81AB5">
      <w:pPr>
        <w:jc w:val="center"/>
        <w:rPr>
          <w:b/>
          <w:bCs/>
        </w:rPr>
      </w:pPr>
      <w:r w:rsidRPr="00C6165A">
        <w:rPr>
          <w:b/>
          <w:bCs/>
        </w:rPr>
        <w:t>MEDIOS DE PRODUCCIÓN</w:t>
      </w:r>
    </w:p>
    <w:p w14:paraId="4C3F726E" w14:textId="77777777" w:rsidR="00D81AB5" w:rsidRPr="00C6165A" w:rsidRDefault="00D81AB5" w:rsidP="00D81AB5">
      <w:pPr>
        <w:rPr>
          <w:bCs/>
        </w:rPr>
      </w:pPr>
    </w:p>
    <w:p w14:paraId="3915B576" w14:textId="77777777" w:rsidR="00D81AB5" w:rsidRPr="00C6165A" w:rsidRDefault="00D81AB5" w:rsidP="00D81AB5">
      <w:pPr>
        <w:rPr>
          <w:bCs/>
        </w:rPr>
      </w:pPr>
      <w:r w:rsidRPr="00C6165A">
        <w:rPr>
          <w:bCs/>
        </w:rPr>
        <w:t xml:space="preserve">El </w:t>
      </w:r>
      <w:r w:rsidRPr="00C6165A">
        <w:rPr>
          <w:b/>
          <w:bCs/>
        </w:rPr>
        <w:t xml:space="preserve">precio medio de la tierra de cultivo </w:t>
      </w:r>
      <w:r w:rsidRPr="00C6165A">
        <w:rPr>
          <w:bCs/>
        </w:rPr>
        <w:t>en Castilla y León se ha incrementado un 1,8% en 2021.</w:t>
      </w:r>
    </w:p>
    <w:p w14:paraId="10DF3EFF" w14:textId="77777777" w:rsidR="00D81AB5" w:rsidRPr="00C6165A" w:rsidRDefault="00D81AB5" w:rsidP="00D81AB5">
      <w:pPr>
        <w:rPr>
          <w:bCs/>
        </w:rPr>
      </w:pPr>
      <w:r w:rsidRPr="00C6165A">
        <w:rPr>
          <w:bCs/>
        </w:rPr>
        <w:t xml:space="preserve">De media, en Castilla y León la hectárea agrícola se paga a 6.087€, por debajo de la media nacional, que son 10.180 euros/ha. </w:t>
      </w:r>
    </w:p>
    <w:p w14:paraId="5F8068EB" w14:textId="77777777" w:rsidR="00D81AB5" w:rsidRPr="00C6165A" w:rsidRDefault="00D81AB5" w:rsidP="00D81AB5">
      <w:pPr>
        <w:rPr>
          <w:bCs/>
        </w:rPr>
      </w:pPr>
      <w:r w:rsidRPr="00C6165A">
        <w:rPr>
          <w:bCs/>
        </w:rPr>
        <w:t>Si atendemos al aprovechamiento, la tierra mayoritaria en nuestra Comunidad, herbáceos de secano-barbecho, soportó el mayor crecimiento de todas las comunidades, un 1,8% (la media nacional creció un 0,4%), mientras que la hectárea de regadío subió un 2,5% (2,1% en España) y el viñedo de vinificación de secano se redujo un 0,1% (-0,2% a nivel nacional). La hectárea de prados y pastizales, la más barata, también se incrementó 1,3% respecto al 2020, pero menos que la media española que fue de 2,1%.</w:t>
      </w:r>
    </w:p>
    <w:p w14:paraId="58E587BF" w14:textId="77777777" w:rsidR="005A41D8" w:rsidRDefault="005A41D8" w:rsidP="00D81AB5">
      <w:pPr>
        <w:rPr>
          <w:bCs/>
        </w:rPr>
      </w:pPr>
    </w:p>
    <w:p w14:paraId="5C45E69F" w14:textId="13D476FD" w:rsidR="00D81AB5" w:rsidRPr="00C6165A" w:rsidRDefault="00D81AB5" w:rsidP="00D81AB5">
      <w:pPr>
        <w:rPr>
          <w:bCs/>
        </w:rPr>
      </w:pPr>
      <w:r w:rsidRPr="00C6165A">
        <w:rPr>
          <w:bCs/>
        </w:rPr>
        <w:t xml:space="preserve">Respecto a los precios de </w:t>
      </w:r>
      <w:r w:rsidRPr="00C6165A">
        <w:rPr>
          <w:b/>
          <w:bCs/>
        </w:rPr>
        <w:t xml:space="preserve">arrendamiento, </w:t>
      </w:r>
      <w:r w:rsidRPr="00C6165A">
        <w:rPr>
          <w:bCs/>
        </w:rPr>
        <w:t>en Castilla y León el incremento medio del canon de arrendamiento de la tierra a precios corrientes en el 2020, último año con datos, fue de 0,7%, y mantiene la tendencia ascendente de los últimos 10 años, situándose en 138 euros por hectárea.</w:t>
      </w:r>
    </w:p>
    <w:p w14:paraId="00AD4725" w14:textId="77777777" w:rsidR="00D81AB5" w:rsidRPr="00C6165A" w:rsidRDefault="00D81AB5" w:rsidP="00D81AB5">
      <w:pPr>
        <w:rPr>
          <w:bCs/>
        </w:rPr>
      </w:pPr>
      <w:r w:rsidRPr="00C6165A">
        <w:rPr>
          <w:bCs/>
        </w:rPr>
        <w:t>Hay que destacar las repercusiones de esta burbuja de precios en la rentabilidad de los agricultores, ya que en Castilla y León alrededor del 70% de las tierras de las explotaciones profesionales son en arrendamiento. Además, desde ASAJA venimos denunciando que las subidas en los arrendamientos se producen independientemente de la rentabilidad de la agricultura, dando igual que se cobre más o menos por el producto vendido.</w:t>
      </w:r>
    </w:p>
    <w:p w14:paraId="128F00B4" w14:textId="77777777" w:rsidR="00D81AB5" w:rsidRPr="00C6165A" w:rsidRDefault="00D81AB5" w:rsidP="00D81AB5">
      <w:pPr>
        <w:rPr>
          <w:bCs/>
        </w:rPr>
      </w:pPr>
      <w:r w:rsidRPr="00C6165A">
        <w:rPr>
          <w:bCs/>
        </w:rPr>
        <w:t>El canon que más sube es el de las tierras de tipo “herbáceos de regadío”, con un 1,5 %. Le sigue en importancia el canon de las tierras “herbáceos de secano-barbecho”, que incrementan su canon de arrendamiento en un 1,0 %. Sin embargo, el canon de arrendamiento de las tierras de “prados y praderas permanentes de secano” disminuye el 1,2 %, mientras que el de “otras superficies para pastos de secano” se deprecian un -4,3%.</w:t>
      </w:r>
    </w:p>
    <w:p w14:paraId="1F59C491" w14:textId="77777777" w:rsidR="005A41D8" w:rsidRDefault="005A41D8" w:rsidP="00D81AB5">
      <w:pPr>
        <w:rPr>
          <w:bCs/>
        </w:rPr>
      </w:pPr>
    </w:p>
    <w:p w14:paraId="131ABDF4" w14:textId="6C09AD8E" w:rsidR="00D81AB5" w:rsidRPr="00C6165A" w:rsidRDefault="00D81AB5" w:rsidP="00D81AB5">
      <w:pPr>
        <w:rPr>
          <w:bCs/>
        </w:rPr>
      </w:pPr>
      <w:r w:rsidRPr="00C6165A">
        <w:rPr>
          <w:bCs/>
        </w:rPr>
        <w:t xml:space="preserve">El problema de los </w:t>
      </w:r>
      <w:r w:rsidRPr="00C6165A">
        <w:rPr>
          <w:b/>
          <w:bCs/>
        </w:rPr>
        <w:t>fertilizantes</w:t>
      </w:r>
      <w:r w:rsidRPr="00C6165A">
        <w:rPr>
          <w:bCs/>
        </w:rPr>
        <w:t xml:space="preserve"> preocupa en toda Europa. Los fertilizantes son un insumo importante en la producción de cultivos, especialmente en cereales, semillas oleaginosas y proteaginosas, donde solían representar el 17% de la facturación global y el 42% de los costes específicos. Esto era cierto hasta 2021, cuando se produjo una primera crisis: un shock de demanda a raíz de la pandemia. De remate, la invasión rusa de Ucrania ha perturbado </w:t>
      </w:r>
      <w:r w:rsidR="005A41D8">
        <w:rPr>
          <w:bCs/>
        </w:rPr>
        <w:t>completamente los</w:t>
      </w:r>
      <w:r w:rsidRPr="00C6165A">
        <w:rPr>
          <w:bCs/>
        </w:rPr>
        <w:t xml:space="preserve"> mercados y </w:t>
      </w:r>
      <w:r w:rsidR="005A41D8">
        <w:rPr>
          <w:bCs/>
        </w:rPr>
        <w:t xml:space="preserve">las </w:t>
      </w:r>
      <w:r w:rsidRPr="00C6165A">
        <w:rPr>
          <w:bCs/>
        </w:rPr>
        <w:t>cadenas de valor a nivel mundial. A pesar de los problemas del mercado, los productores han ajustado (reducido) su consumo y han sido capaces de obtener la mayoría de los fertilizantes demandados (menos de los necesarios) para esta temporada de cultivo</w:t>
      </w:r>
      <w:r w:rsidR="005A41D8">
        <w:rPr>
          <w:bCs/>
        </w:rPr>
        <w:t>, aunque haya sido a precios desorbitados</w:t>
      </w:r>
      <w:r w:rsidRPr="00C6165A">
        <w:rPr>
          <w:bCs/>
        </w:rPr>
        <w:t xml:space="preserve">. </w:t>
      </w:r>
      <w:r w:rsidR="005A41D8">
        <w:rPr>
          <w:bCs/>
        </w:rPr>
        <w:t>E</w:t>
      </w:r>
      <w:r w:rsidRPr="00C6165A">
        <w:rPr>
          <w:bCs/>
        </w:rPr>
        <w:t>l ‘</w:t>
      </w:r>
      <w:proofErr w:type="spellStart"/>
      <w:r w:rsidRPr="00C6165A">
        <w:rPr>
          <w:bCs/>
        </w:rPr>
        <w:t>extraprecio</w:t>
      </w:r>
      <w:proofErr w:type="spellEnd"/>
      <w:r w:rsidRPr="00C6165A">
        <w:rPr>
          <w:bCs/>
        </w:rPr>
        <w:t>’ que ha pagado es disparatado, y los agricultores no cuentan con la garantía de que los precios que reciban por sus cosechas compensen la inversión hecha.</w:t>
      </w:r>
    </w:p>
    <w:p w14:paraId="03F60057" w14:textId="27FCB049" w:rsidR="00D81AB5" w:rsidRPr="00C6165A" w:rsidRDefault="00D81AB5" w:rsidP="00D81AB5">
      <w:pPr>
        <w:rPr>
          <w:bCs/>
        </w:rPr>
      </w:pPr>
      <w:r w:rsidRPr="00C6165A">
        <w:rPr>
          <w:bCs/>
        </w:rPr>
        <w:t>España junto con otros 15 países ha presentado una propuesta a la UE para que garantice el acceso de los fertilizantes a precios asequibles, fomente un uso eficiente y sostenible además de impulsar la búsqueda de alternativas al gas (</w:t>
      </w:r>
      <w:proofErr w:type="spellStart"/>
      <w:r w:rsidRPr="00C6165A">
        <w:rPr>
          <w:bCs/>
        </w:rPr>
        <w:t>bioestimulantes</w:t>
      </w:r>
      <w:proofErr w:type="spellEnd"/>
      <w:r w:rsidRPr="00C6165A">
        <w:rPr>
          <w:bCs/>
        </w:rPr>
        <w:t xml:space="preserve">, </w:t>
      </w:r>
      <w:r w:rsidR="00FE2544" w:rsidRPr="00C6165A">
        <w:rPr>
          <w:bCs/>
        </w:rPr>
        <w:t>biorresiduos…</w:t>
      </w:r>
      <w:r w:rsidRPr="00C6165A">
        <w:rPr>
          <w:bCs/>
        </w:rPr>
        <w:t>).</w:t>
      </w:r>
    </w:p>
    <w:p w14:paraId="0F77B867" w14:textId="77777777" w:rsidR="00D81AB5" w:rsidRPr="00C6165A" w:rsidRDefault="00D81AB5" w:rsidP="00D81AB5">
      <w:pPr>
        <w:rPr>
          <w:bCs/>
        </w:rPr>
      </w:pPr>
      <w:r w:rsidRPr="00C6165A">
        <w:rPr>
          <w:bCs/>
        </w:rPr>
        <w:t>Según los índices de precios pagados por los agricultores, del mes de agosto de 2022, que son los últimos datos facilitados por el ministerio, el precio de los fertilizantes ha subido un 87% respecto al año anterior, destacando por encima de los demás la subida de los fertilizantes nitrogenados simples, que han experimentado un crecimiento del 125%. Así, por ejemplo, el Nitrato Amónico Cálcico 26% se ha pagado en agosto de 2022 a 708,4 euros/t p, mientras que el año anterior su precio fue de 282 euros/t, que supone una subida superior al 150% en un año.</w:t>
      </w:r>
    </w:p>
    <w:p w14:paraId="7EE9F861" w14:textId="77777777" w:rsidR="00D81AB5" w:rsidRPr="00C6165A" w:rsidRDefault="00D81AB5" w:rsidP="00D81AB5">
      <w:pPr>
        <w:rPr>
          <w:bCs/>
        </w:rPr>
      </w:pPr>
      <w:r w:rsidRPr="00C6165A">
        <w:rPr>
          <w:bCs/>
        </w:rPr>
        <w:t>Siendo la del abono mineral la factura más importante en los insumos del sector agrario, le siguen la del gasóleo y la de la electricidad que mueve toda la maquinaria y los sistemas de riego. El gasóleo agrícola cuesta hoy a los agricultores un 120% más que hace un año, y la electricidad dependerá de los contratos de cada suministro. En el caso de comunidades de regantes dependerá de los contratos que mantengan con las compañías eléctricas, pero en el mejor de los casos la factura es al menos del doble. Y en el caso de los particulares, dependerá del momento de la renovación y de los precios pactados, si bien las subidas en los momentos de la renovación no bajan del 111%.</w:t>
      </w:r>
    </w:p>
    <w:p w14:paraId="33E36F26" w14:textId="77777777" w:rsidR="005A41D8" w:rsidRDefault="005A41D8" w:rsidP="00D81AB5">
      <w:pPr>
        <w:rPr>
          <w:b/>
          <w:bCs/>
        </w:rPr>
      </w:pPr>
    </w:p>
    <w:p w14:paraId="70EAA931" w14:textId="51D6AE24" w:rsidR="00D81AB5" w:rsidRPr="00C6165A" w:rsidRDefault="00D81AB5" w:rsidP="00D81AB5">
      <w:pPr>
        <w:rPr>
          <w:bCs/>
        </w:rPr>
      </w:pPr>
      <w:r w:rsidRPr="00C6165A">
        <w:rPr>
          <w:b/>
          <w:bCs/>
        </w:rPr>
        <w:t>El gasóleo B</w:t>
      </w:r>
      <w:r w:rsidRPr="00C6165A">
        <w:rPr>
          <w:bCs/>
        </w:rPr>
        <w:t xml:space="preserve"> ha batido todos los récords históricos llegando a situarse, de media, en 1,70 euros/litro como consecuencia de la especulación y absoluta falta de escrúpulos de las empresas petrolíferas y del mercado mayorista de carburantes de automoción en España. La escalada del precio del gasóleo B está poniendo al límite la continuidad de la agricultura y la ganadería en Castilla y León. ASAJA ha reclamado al Gobierno que actúe y que ponga en su sitio a las empresas petrolíferas que están aprovechando la invasión de Ucrania para incrementar sus márgenes a costa de los profesionales del sector primario y de los consumidores en general, para comerse literalmente los 20 céntimos de euro por litro de ayuda estatal</w:t>
      </w:r>
    </w:p>
    <w:p w14:paraId="7569C072" w14:textId="77777777" w:rsidR="00D81AB5" w:rsidRPr="00C6165A" w:rsidRDefault="00D81AB5" w:rsidP="00D81AB5">
      <w:pPr>
        <w:rPr>
          <w:bCs/>
        </w:rPr>
      </w:pPr>
      <w:r w:rsidRPr="00C6165A">
        <w:rPr>
          <w:bCs/>
        </w:rPr>
        <w:t>También, la OPA pidió al Gobierno la necesidad de poner en marcha medidas fiscales urgentes que alivien los incrementos de costes de producción, y en este sentido, reducir el IVA de los hidrocarburos para situarlo en el tipo reducido o superreducido con el margen que establece la Directiva Europea de fiscalidad y a poner en marcha las reducciones en la factura del gasóleo del 35% y del 15% de los fertilizantes y plásticos en el IRPF, tal y como se recoge en la Ley de la Cadena Alimentaria que entró en vigor en diciembre de 2021.</w:t>
      </w:r>
    </w:p>
    <w:p w14:paraId="27E3FECE" w14:textId="77777777" w:rsidR="005A41D8" w:rsidRDefault="005A41D8" w:rsidP="00D81AB5">
      <w:pPr>
        <w:rPr>
          <w:bCs/>
        </w:rPr>
      </w:pPr>
    </w:p>
    <w:p w14:paraId="7508DB28" w14:textId="372BD700" w:rsidR="00D81AB5" w:rsidRPr="00C6165A" w:rsidRDefault="00D81AB5" w:rsidP="00D81AB5">
      <w:pPr>
        <w:rPr>
          <w:bCs/>
        </w:rPr>
      </w:pPr>
      <w:r w:rsidRPr="00C6165A">
        <w:rPr>
          <w:bCs/>
        </w:rPr>
        <w:t xml:space="preserve">También demanda la reducción de los costes energéticos aplicando, de una vez por todas, la doble </w:t>
      </w:r>
      <w:r w:rsidRPr="00C6165A">
        <w:rPr>
          <w:b/>
          <w:bCs/>
        </w:rPr>
        <w:t>tarifa eléctrica</w:t>
      </w:r>
      <w:r w:rsidRPr="00C6165A">
        <w:rPr>
          <w:bCs/>
        </w:rPr>
        <w:t xml:space="preserve"> para el riego, tal y como ha venido anunciando el Gobierno desde finales del año 2020 en la Ley de Presupuestos para el 2021 y posteriormente en la Ley de la Cadena Alimentaria y que ha sido incumplido reiteradamente hasta la fecha.</w:t>
      </w:r>
    </w:p>
    <w:p w14:paraId="1D908825" w14:textId="77777777" w:rsidR="005A41D8" w:rsidRDefault="005A41D8" w:rsidP="00D81AB5">
      <w:pPr>
        <w:rPr>
          <w:bCs/>
        </w:rPr>
      </w:pPr>
    </w:p>
    <w:p w14:paraId="6FCC9693" w14:textId="70B2FC93" w:rsidR="00D81AB5" w:rsidRPr="00C6165A" w:rsidRDefault="00D81AB5" w:rsidP="00D81AB5">
      <w:pPr>
        <w:rPr>
          <w:bCs/>
        </w:rPr>
      </w:pPr>
      <w:r w:rsidRPr="00C6165A">
        <w:rPr>
          <w:bCs/>
        </w:rPr>
        <w:t xml:space="preserve">A estos costes desorbitados, habría que añadir </w:t>
      </w:r>
      <w:r w:rsidRPr="00C6165A">
        <w:rPr>
          <w:b/>
          <w:bCs/>
        </w:rPr>
        <w:t>otros insumos</w:t>
      </w:r>
      <w:r w:rsidRPr="00C6165A">
        <w:rPr>
          <w:bCs/>
        </w:rPr>
        <w:t xml:space="preserve"> también disparados, como el pienso en el caso de los ganaderos, o los servicios a terceros, el mantenimiento de instalaciones, los servicios veterinarios, los fitosanitarios o las semillas, la renta de los agricultores va a sufrir en todo caso un descalabro, que será mayor en la medida en la que no se puedan repercutir estos mayores costes en la venta de los productos. Esta situación no deseada llevará a una caída de renta de los productores y a una subida de los alimentos para los consumidores, unos consumidores que, por su menor capacidad de compra debido a la inflación, comprarán menos y harán caer la demanda.</w:t>
      </w:r>
    </w:p>
    <w:p w14:paraId="08E7570C" w14:textId="77777777" w:rsidR="005A41D8" w:rsidRDefault="005A41D8" w:rsidP="00D81AB5">
      <w:pPr>
        <w:rPr>
          <w:bCs/>
        </w:rPr>
      </w:pPr>
    </w:p>
    <w:p w14:paraId="16B967C9" w14:textId="4CC3A6EB" w:rsidR="00D81AB5" w:rsidRPr="00C6165A" w:rsidRDefault="00D81AB5" w:rsidP="00D81AB5">
      <w:pPr>
        <w:rPr>
          <w:bCs/>
        </w:rPr>
      </w:pPr>
      <w:r w:rsidRPr="00C6165A">
        <w:rPr>
          <w:bCs/>
        </w:rPr>
        <w:t xml:space="preserve">La </w:t>
      </w:r>
      <w:r w:rsidRPr="00C6165A">
        <w:rPr>
          <w:b/>
          <w:bCs/>
        </w:rPr>
        <w:t>maquinaria agrícola</w:t>
      </w:r>
      <w:r w:rsidRPr="00C6165A">
        <w:rPr>
          <w:bCs/>
        </w:rPr>
        <w:t xml:space="preserve"> es sin duda una de las inversiones más importante que realizan los agricultores y ganaderos para llevar a cabo su actividad, tanto por su necesidad como por su coste. </w:t>
      </w:r>
    </w:p>
    <w:p w14:paraId="61CF5086" w14:textId="77777777" w:rsidR="00D81AB5" w:rsidRPr="00C6165A" w:rsidRDefault="00D81AB5" w:rsidP="00D81AB5">
      <w:pPr>
        <w:rPr>
          <w:bCs/>
        </w:rPr>
      </w:pPr>
      <w:r w:rsidRPr="00C6165A">
        <w:rPr>
          <w:bCs/>
        </w:rPr>
        <w:t xml:space="preserve">Sin embargo, desde hace años se ha consolidado en las ventas de maquinaria y aperos un sistema perverso que impide la competencia y frena los principios de libre circulación de bienes y servicios que marca la legislación. Existe un acuerdo sin luz ni taquígrafos, pero sí de facto, por el que los concesionarios se reparten el territorio de Castilla y León, impidiendo al potencial comprador adquirir cualquier producto en el establecimiento que prefiera y le sea más ventajoso por las condiciones que ofrece. </w:t>
      </w:r>
    </w:p>
    <w:p w14:paraId="695121F5" w14:textId="77777777" w:rsidR="00D81AB5" w:rsidRPr="00C6165A" w:rsidRDefault="00D81AB5" w:rsidP="00D81AB5">
      <w:pPr>
        <w:rPr>
          <w:bCs/>
        </w:rPr>
      </w:pPr>
      <w:r w:rsidRPr="00C6165A">
        <w:rPr>
          <w:bCs/>
        </w:rPr>
        <w:t xml:space="preserve">Se trata de una práctica comercial difícil de erradicar. Por ello, ASAJA solicitó en el año 2021, al Tribunal para la Defensa de la Competencia de Castilla y León, una </w:t>
      </w:r>
      <w:proofErr w:type="spellStart"/>
      <w:r w:rsidRPr="00C6165A">
        <w:rPr>
          <w:bCs/>
        </w:rPr>
        <w:t>investigaciónal</w:t>
      </w:r>
      <w:proofErr w:type="spellEnd"/>
      <w:r w:rsidRPr="00C6165A">
        <w:rPr>
          <w:bCs/>
        </w:rPr>
        <w:t xml:space="preserve"> objeto de comprobar el cumplimiento de la Ley 15/2007 de Defensa de la Competencia.</w:t>
      </w:r>
    </w:p>
    <w:p w14:paraId="6890A8D1" w14:textId="06644672" w:rsidR="00D81AB5" w:rsidRPr="00C6165A" w:rsidRDefault="00D81AB5" w:rsidP="00D81AB5">
      <w:pPr>
        <w:rPr>
          <w:bCs/>
        </w:rPr>
      </w:pPr>
      <w:r w:rsidRPr="00C6165A">
        <w:rPr>
          <w:bCs/>
        </w:rPr>
        <w:t xml:space="preserve">Como las marcas comerciales o distribuidores investigados corresponden a empresas con domicilio social fuera de nuestra Comunidad Autónoma y los posibles efectos anticompetitivos se producirían en un ámbito supra autonómico, el Servicio para la Defensa de la Competencia (SDC) de Castilla y León puso en conocimiento de la Dirección de Competencia de la CNMC todas las diligencias instruidas en esta </w:t>
      </w:r>
      <w:r w:rsidR="00FE2544" w:rsidRPr="00C6165A">
        <w:rPr>
          <w:bCs/>
        </w:rPr>
        <w:t>investigación,</w:t>
      </w:r>
      <w:r w:rsidRPr="00C6165A">
        <w:rPr>
          <w:bCs/>
        </w:rPr>
        <w:t xml:space="preserve"> a quien le correspondería conocer la presunta infracción.</w:t>
      </w:r>
    </w:p>
    <w:p w14:paraId="10A93A96" w14:textId="77777777" w:rsidR="00D81AB5" w:rsidRPr="00C6165A" w:rsidRDefault="00D81AB5" w:rsidP="00D81AB5">
      <w:pPr>
        <w:rPr>
          <w:bCs/>
        </w:rPr>
      </w:pPr>
      <w:r w:rsidRPr="00C6165A">
        <w:rPr>
          <w:bCs/>
        </w:rPr>
        <w:t xml:space="preserve">De los hechos denunciados por ASAJA e investigados por el SDC, se concluyó que había evidencias de las que puede deducirse una limitación de las ventas. </w:t>
      </w:r>
    </w:p>
    <w:p w14:paraId="47394C1B" w14:textId="77777777" w:rsidR="00D81AB5" w:rsidRPr="00C6165A" w:rsidRDefault="00D81AB5" w:rsidP="00D81AB5">
      <w:pPr>
        <w:rPr>
          <w:bCs/>
        </w:rPr>
      </w:pPr>
      <w:r w:rsidRPr="00C6165A">
        <w:rPr>
          <w:bCs/>
        </w:rPr>
        <w:t>ASAJA considera importante este paso de reconocimiento de los indicios y que la Dirección de Competencia de la Comisión Nacional de los Mercados y la Competencia esté sobre ello.</w:t>
      </w:r>
    </w:p>
    <w:p w14:paraId="7C2989D0" w14:textId="77777777" w:rsidR="00D81AB5" w:rsidRPr="00C6165A" w:rsidRDefault="00D81AB5" w:rsidP="00D81AB5">
      <w:pPr>
        <w:rPr>
          <w:bCs/>
        </w:rPr>
      </w:pPr>
    </w:p>
    <w:p w14:paraId="6098E0E1" w14:textId="77777777" w:rsidR="00D81AB5" w:rsidRPr="00C6165A" w:rsidRDefault="00D81AB5" w:rsidP="00D81AB5">
      <w:pPr>
        <w:rPr>
          <w:bCs/>
        </w:rPr>
      </w:pPr>
      <w:r w:rsidRPr="00C6165A">
        <w:rPr>
          <w:bCs/>
        </w:rPr>
        <w:t xml:space="preserve">El 15 de julio se inició la tramitación del </w:t>
      </w:r>
      <w:r w:rsidRPr="00C6165A">
        <w:rPr>
          <w:b/>
          <w:bCs/>
        </w:rPr>
        <w:t xml:space="preserve">Plan </w:t>
      </w:r>
      <w:proofErr w:type="spellStart"/>
      <w:r w:rsidRPr="00C6165A">
        <w:rPr>
          <w:b/>
          <w:bCs/>
        </w:rPr>
        <w:t>Renove</w:t>
      </w:r>
      <w:proofErr w:type="spellEnd"/>
      <w:r w:rsidRPr="00C6165A">
        <w:rPr>
          <w:b/>
          <w:bCs/>
        </w:rPr>
        <w:t xml:space="preserve"> 2022</w:t>
      </w:r>
      <w:r w:rsidRPr="00C6165A">
        <w:rPr>
          <w:bCs/>
        </w:rPr>
        <w:t xml:space="preserve"> y en pocos minutos el dinero del presupuesto habilitado para tal fin por el Ministerio de Agricultura, Pesca y Alimentación se agotó, algo totalmente previsible dado que en 2021 se habían solicitado más de cuatro millones de euros de inversiones en máquinas de siembra directa y este año el MAPA había limitado a dos millones el dinero destinado a este tipo de máquinas.</w:t>
      </w:r>
    </w:p>
    <w:p w14:paraId="63F7FC5D" w14:textId="77777777" w:rsidR="00D81AB5" w:rsidRPr="00C6165A" w:rsidRDefault="00D81AB5" w:rsidP="00D81AB5">
      <w:pPr>
        <w:rPr>
          <w:bCs/>
        </w:rPr>
      </w:pPr>
      <w:r w:rsidRPr="00C6165A">
        <w:rPr>
          <w:bCs/>
        </w:rPr>
        <w:t>ASAJA criticó que el presupuesto sea insignificante, pues se anunció que rondarían los 9,5 millones de euros y finalmente se quedó reducido a 6,5 millones a nivel nacional. De este presupuesto, 2 millones se destinaron a máquinas de siembra directa, y otros 4,55 millones para el resto de maquinaria.</w:t>
      </w:r>
    </w:p>
    <w:p w14:paraId="3B9979D1" w14:textId="77777777" w:rsidR="00D81AB5" w:rsidRPr="00C6165A" w:rsidRDefault="00D81AB5" w:rsidP="00D81AB5">
      <w:pPr>
        <w:rPr>
          <w:bCs/>
        </w:rPr>
      </w:pPr>
      <w:r w:rsidRPr="00C6165A">
        <w:rPr>
          <w:bCs/>
        </w:rPr>
        <w:t>Una de las principales críticas es que las ayudas se conceden en régimen de concesión directa, es decir, por orden de presentación, además de que sea necesaria tener comprada la maquinaria previa a la presentación de la solicitud, sin saber o no si te van a conceder la subvención.</w:t>
      </w:r>
    </w:p>
    <w:p w14:paraId="09E30E56" w14:textId="324B4238" w:rsidR="00D81AB5" w:rsidRPr="00C6165A" w:rsidRDefault="00D81AB5" w:rsidP="00D81AB5">
      <w:pPr>
        <w:rPr>
          <w:bCs/>
        </w:rPr>
      </w:pPr>
      <w:r w:rsidRPr="00C6165A">
        <w:rPr>
          <w:bCs/>
        </w:rPr>
        <w:t>Además, la máquina a entregar debe estar en condiciones de uso y no de abandono, algo incongruente en un plan de renovación de maquinaria que lo que se busca es achatarrar.</w:t>
      </w:r>
    </w:p>
    <w:p w14:paraId="0C3835B7" w14:textId="63715903" w:rsidR="00D81AB5" w:rsidRPr="00C6165A" w:rsidRDefault="00D81AB5" w:rsidP="00D81AB5">
      <w:pPr>
        <w:rPr>
          <w:bCs/>
        </w:rPr>
      </w:pPr>
    </w:p>
    <w:p w14:paraId="0E70B663" w14:textId="77777777" w:rsidR="00D81AB5" w:rsidRPr="00C6165A" w:rsidRDefault="00D81AB5" w:rsidP="00D81AB5">
      <w:pPr>
        <w:rPr>
          <w:bCs/>
        </w:rPr>
      </w:pPr>
    </w:p>
    <w:p w14:paraId="66A9B0B0" w14:textId="089AF5D3" w:rsidR="00D81AB5" w:rsidRDefault="00D81AB5" w:rsidP="00D81AB5">
      <w:pPr>
        <w:jc w:val="center"/>
        <w:rPr>
          <w:b/>
          <w:bCs/>
        </w:rPr>
      </w:pPr>
      <w:r w:rsidRPr="00C6165A">
        <w:rPr>
          <w:b/>
          <w:bCs/>
        </w:rPr>
        <w:t>DESARROLLO RURAL</w:t>
      </w:r>
    </w:p>
    <w:p w14:paraId="3BD55BF8" w14:textId="77777777" w:rsidR="00442DF3" w:rsidRPr="00C6165A" w:rsidRDefault="00442DF3" w:rsidP="00D81AB5">
      <w:pPr>
        <w:jc w:val="center"/>
        <w:rPr>
          <w:b/>
          <w:bCs/>
        </w:rPr>
      </w:pPr>
    </w:p>
    <w:p w14:paraId="16EC39AA" w14:textId="77777777" w:rsidR="00D81AB5" w:rsidRPr="00C6165A" w:rsidRDefault="00D81AB5" w:rsidP="00D81AB5">
      <w:pPr>
        <w:rPr>
          <w:bCs/>
        </w:rPr>
      </w:pPr>
      <w:r w:rsidRPr="00C6165A">
        <w:rPr>
          <w:bCs/>
        </w:rPr>
        <w:t>La ejecución del Programa de Desarrollo Rural de Castilla y León, en términos económicos, durante el año 2021, ascendió a más de 259 millones de euros, lo cual, de manera acumulada a los años anteriores (2014-2020), supone un total de más de 1.237 millones de euros a fecha 31 de diciembre de 2021.</w:t>
      </w:r>
    </w:p>
    <w:p w14:paraId="7F6CED8B" w14:textId="77777777" w:rsidR="00D81AB5" w:rsidRPr="00C6165A" w:rsidRDefault="00D81AB5" w:rsidP="00D81AB5">
      <w:pPr>
        <w:rPr>
          <w:bCs/>
        </w:rPr>
      </w:pPr>
    </w:p>
    <w:p w14:paraId="10E1F5F2" w14:textId="77777777" w:rsidR="00D81AB5" w:rsidRPr="00C6165A" w:rsidRDefault="00D81AB5" w:rsidP="00D81AB5">
      <w:pPr>
        <w:rPr>
          <w:bCs/>
        </w:rPr>
      </w:pPr>
      <w:r w:rsidRPr="00C6165A">
        <w:rPr>
          <w:bCs/>
        </w:rPr>
        <w:t>La normativa europea que regula los PDR, estableció inicialmente que éstos finalizaran en el año 2023, aunque la modificación de la normativa comunitaria aprobada a finales del año 2020 ha prolongado la vigencia de los Programas hasta el año 2025.</w:t>
      </w:r>
    </w:p>
    <w:p w14:paraId="47A4EF8C" w14:textId="03361B67" w:rsidR="00D81AB5" w:rsidRPr="00C6165A" w:rsidRDefault="00D81AB5" w:rsidP="00D81AB5">
      <w:pPr>
        <w:rPr>
          <w:bCs/>
        </w:rPr>
      </w:pPr>
      <w:r w:rsidRPr="00C6165A">
        <w:rPr>
          <w:bCs/>
        </w:rPr>
        <w:t xml:space="preserve">En noviembre de 2021 se presentó una propuesta de modificación que se aprobó el 17 de febrero de 2022, para incluir la asignación del </w:t>
      </w:r>
      <w:proofErr w:type="spellStart"/>
      <w:r w:rsidRPr="00C6165A">
        <w:rPr>
          <w:bCs/>
        </w:rPr>
        <w:t>capping</w:t>
      </w:r>
      <w:proofErr w:type="spellEnd"/>
      <w:r w:rsidRPr="00C6165A">
        <w:rPr>
          <w:bCs/>
        </w:rPr>
        <w:t xml:space="preserve"> en la anualidad 2022 en la medida 13.2 "Ayuda a zonas con limitaciones naturales".</w:t>
      </w:r>
    </w:p>
    <w:p w14:paraId="1D86B543" w14:textId="77777777" w:rsidR="00D81AB5" w:rsidRPr="00C6165A" w:rsidRDefault="00D81AB5" w:rsidP="00D81AB5">
      <w:pPr>
        <w:rPr>
          <w:bCs/>
        </w:rPr>
      </w:pPr>
      <w:r w:rsidRPr="00C6165A">
        <w:rPr>
          <w:bCs/>
        </w:rPr>
        <w:t>Así, la modificación del plan financiero del Programa para incluir los fondos de transición de las anualidades 2021 y 2022 y los fondos EURI-NG, intensificó el apoyo a las inversiones medioambientales en medidas como la de modernización de explotaciones agrarias y de inversiones en infraestructuras de regadío, medidas agroambientales y de reforestación y creación de superficies forestales, con el fin de abordar las repercusiones de la crisis de la COVID19 y sus consecuencias en el sector agrícola y las zonas rurales.</w:t>
      </w:r>
    </w:p>
    <w:p w14:paraId="68B2D02E" w14:textId="77777777" w:rsidR="00442DF3" w:rsidRDefault="00442DF3" w:rsidP="00D81AB5">
      <w:pPr>
        <w:rPr>
          <w:b/>
          <w:bCs/>
        </w:rPr>
      </w:pPr>
    </w:p>
    <w:p w14:paraId="53E4984A" w14:textId="3FA99B2C" w:rsidR="00D81AB5" w:rsidRPr="00C6165A" w:rsidRDefault="00D81AB5" w:rsidP="00D81AB5">
      <w:pPr>
        <w:rPr>
          <w:bCs/>
        </w:rPr>
      </w:pPr>
      <w:r w:rsidRPr="00C6165A">
        <w:rPr>
          <w:b/>
          <w:bCs/>
        </w:rPr>
        <w:t>El instrumento financiero</w:t>
      </w:r>
      <w:r w:rsidRPr="00C6165A">
        <w:rPr>
          <w:bCs/>
        </w:rPr>
        <w:t xml:space="preserve">, una herramienta del PDR que proporciona financiación (de forma complementaria a la concesión de ayudas y subvenciones a fondo perdido) mediante préstamos </w:t>
      </w:r>
      <w:r w:rsidR="00FE2544" w:rsidRPr="00C6165A">
        <w:rPr>
          <w:bCs/>
        </w:rPr>
        <w:t>garantizados se</w:t>
      </w:r>
      <w:r w:rsidRPr="00C6165A">
        <w:rPr>
          <w:bCs/>
        </w:rPr>
        <w:t xml:space="preserve"> ha mantenido hasta diciembre de 2022, con la concesión de préstamos de hasta 200.000 € para capital circulante sin inversiones. </w:t>
      </w:r>
    </w:p>
    <w:p w14:paraId="03B33DA1" w14:textId="77777777" w:rsidR="00D81AB5" w:rsidRPr="00C6165A" w:rsidRDefault="00D81AB5" w:rsidP="00D81AB5">
      <w:pPr>
        <w:rPr>
          <w:bCs/>
        </w:rPr>
      </w:pPr>
      <w:r w:rsidRPr="00C6165A">
        <w:rPr>
          <w:bCs/>
        </w:rPr>
        <w:t>Hasta 31 de diciembre de 2021 se han formalizado préstamos por importe de 114,8 millones de euros. De esa cantidad, 12,3 millones se corresponden con préstamos firmados por 36 Industrias agroalimentarias y forestales y el resto, 102,5 millones se corresponde a préstamos firmados por 583 beneficiarios agricultores y ganaderos de los que 21 son jóvenes que se incorporan al sector agrario.</w:t>
      </w:r>
    </w:p>
    <w:p w14:paraId="4D598521" w14:textId="77777777" w:rsidR="00442DF3" w:rsidRDefault="00442DF3" w:rsidP="00D81AB5">
      <w:pPr>
        <w:rPr>
          <w:bCs/>
        </w:rPr>
      </w:pPr>
    </w:p>
    <w:p w14:paraId="773F1E73" w14:textId="77777777" w:rsidR="007460F3" w:rsidRDefault="007460F3" w:rsidP="00D81AB5">
      <w:pPr>
        <w:rPr>
          <w:bCs/>
        </w:rPr>
      </w:pPr>
    </w:p>
    <w:p w14:paraId="0E500ECD" w14:textId="6FE9CBDF" w:rsidR="00D81AB5" w:rsidRPr="00C6165A" w:rsidRDefault="00D81AB5" w:rsidP="00D81AB5">
      <w:pPr>
        <w:rPr>
          <w:bCs/>
        </w:rPr>
      </w:pPr>
      <w:r w:rsidRPr="00C6165A">
        <w:rPr>
          <w:bCs/>
        </w:rPr>
        <w:t xml:space="preserve">En los últimos días de 2021 se publicó la normativa para la concesión de subvenciones destinadas a la </w:t>
      </w:r>
      <w:r w:rsidRPr="00C6165A">
        <w:rPr>
          <w:b/>
          <w:bCs/>
        </w:rPr>
        <w:t>incorporación de jóvenes y modernización de explotaciones agrarias, cuyo plazo de presentación de solicitudes se alargó hasta mediados de mayo de 2022</w:t>
      </w:r>
      <w:r w:rsidRPr="00C6165A">
        <w:rPr>
          <w:bCs/>
        </w:rPr>
        <w:t xml:space="preserve">. </w:t>
      </w:r>
    </w:p>
    <w:p w14:paraId="305482A0" w14:textId="77777777" w:rsidR="00D81AB5" w:rsidRPr="00C6165A" w:rsidRDefault="00D81AB5" w:rsidP="00D81AB5">
      <w:pPr>
        <w:rPr>
          <w:bCs/>
        </w:rPr>
      </w:pPr>
      <w:r w:rsidRPr="00C6165A">
        <w:rPr>
          <w:bCs/>
        </w:rPr>
        <w:t>La principal novedad fue la inclusión de tres nuevas líneas. Dos de ellas complementaban a los planes de mejora, una dirigida a inversiones para suministro y uso de fuentes renovables de energía en las explotaciones agrarias y otra a inversiones para digitalización de las explotaciones agrarias (Agricultura 4.0). La tercera es una ayuda independiente para facilitar la incorporación a la actividad agrícola y ganadera de aquellas personas que superen la edad para acceder a las ayudas a la incorporación de jóvenes denominada cheque emprende rural segunda oportunidad.</w:t>
      </w:r>
    </w:p>
    <w:p w14:paraId="3523F7C9" w14:textId="55EB1541" w:rsidR="00D81AB5" w:rsidRPr="00C6165A" w:rsidRDefault="00D81AB5" w:rsidP="00D81AB5">
      <w:pPr>
        <w:rPr>
          <w:bCs/>
        </w:rPr>
      </w:pPr>
      <w:r w:rsidRPr="00C6165A">
        <w:rPr>
          <w:bCs/>
        </w:rPr>
        <w:t>La inclusión de estas nuevas líneas generó grandes expectativas, fundamentalmente la de la línea que financiaba la adquisición de maquinaria de nuevas tecnologías, ya que el porcentaje de subvención era del 75% del gasto realizado, pero acabó siendo un caos en la tramitación por el elevado número de peticiones que se realizaron y una decepción para la mayoría de los solicitantes, que se quedar</w:t>
      </w:r>
      <w:r w:rsidR="00442DF3">
        <w:rPr>
          <w:bCs/>
        </w:rPr>
        <w:t>án</w:t>
      </w:r>
      <w:r w:rsidRPr="00C6165A">
        <w:rPr>
          <w:bCs/>
        </w:rPr>
        <w:t xml:space="preserve"> fuera por no haber presupuesto suficiente</w:t>
      </w:r>
      <w:r w:rsidR="00442DF3">
        <w:rPr>
          <w:bCs/>
        </w:rPr>
        <w:t>, casi 21,5 millones (unos 15 para la línea de maquinaria y los 6 restantes para energías renovables)</w:t>
      </w:r>
      <w:r w:rsidRPr="00C6165A">
        <w:rPr>
          <w:bCs/>
        </w:rPr>
        <w:t xml:space="preserve">. </w:t>
      </w:r>
    </w:p>
    <w:p w14:paraId="49B447BA" w14:textId="77777777" w:rsidR="00442DF3" w:rsidRDefault="00442DF3" w:rsidP="00D81AB5">
      <w:pPr>
        <w:rPr>
          <w:bCs/>
        </w:rPr>
      </w:pPr>
    </w:p>
    <w:p w14:paraId="3FE5B4AF" w14:textId="20DC97B2" w:rsidR="00D81AB5" w:rsidRPr="00C6165A" w:rsidRDefault="00D81AB5" w:rsidP="00D81AB5">
      <w:pPr>
        <w:rPr>
          <w:bCs/>
        </w:rPr>
      </w:pPr>
      <w:r w:rsidRPr="00C6165A">
        <w:rPr>
          <w:bCs/>
        </w:rPr>
        <w:t>En cuanto la convocatoria de 2020, resuelta en 2021, resultaron beneficiados con ayudas a la incorporación 657 jóvenes, de los que 218 eran mujeres y 885 expedientes de modernización.</w:t>
      </w:r>
    </w:p>
    <w:p w14:paraId="6A516F2B" w14:textId="69BD1A04" w:rsidR="00D81AB5" w:rsidRPr="00C6165A" w:rsidRDefault="00D81AB5" w:rsidP="00D81AB5">
      <w:pPr>
        <w:rPr>
          <w:bCs/>
        </w:rPr>
      </w:pPr>
      <w:r w:rsidRPr="00C6165A">
        <w:rPr>
          <w:bCs/>
        </w:rPr>
        <w:t xml:space="preserve">Desde ASAJA nos sigue preocupando </w:t>
      </w:r>
      <w:r w:rsidR="006F0A19">
        <w:rPr>
          <w:bCs/>
        </w:rPr>
        <w:t xml:space="preserve">que </w:t>
      </w:r>
      <w:r w:rsidRPr="00C6165A">
        <w:rPr>
          <w:bCs/>
        </w:rPr>
        <w:t>los jóvenes incorporados permanezcan en el sector más allá de los plazos a los que se les obliga y que además sea un agricultor vocacional.</w:t>
      </w:r>
    </w:p>
    <w:p w14:paraId="5122BD68" w14:textId="77777777" w:rsidR="00D81AB5" w:rsidRPr="00C6165A" w:rsidRDefault="00D81AB5" w:rsidP="00D81AB5">
      <w:pPr>
        <w:rPr>
          <w:bCs/>
        </w:rPr>
      </w:pPr>
      <w:r w:rsidRPr="00C6165A">
        <w:rPr>
          <w:bCs/>
        </w:rPr>
        <w:t>Por ello, consideramos que este tipo de ayudas debería tener como único requisito la incorporación a largo plazo del joven. Y, por último, el mejor servicio que la administración puede prestar a los jóvenes es dictar medidas que conduzcan a que los jubilados del campo dejen de forma efectiva las explotaciones permitiendo el verdadero relevo generacional.</w:t>
      </w:r>
    </w:p>
    <w:p w14:paraId="3CC91121" w14:textId="255DFFCD" w:rsidR="00D81AB5" w:rsidRPr="00C6165A" w:rsidRDefault="00D81AB5" w:rsidP="00D81AB5">
      <w:pPr>
        <w:rPr>
          <w:bCs/>
        </w:rPr>
      </w:pPr>
    </w:p>
    <w:p w14:paraId="222B22A8" w14:textId="4B80117F" w:rsidR="00D81AB5" w:rsidRDefault="00D81AB5" w:rsidP="00D81AB5">
      <w:pPr>
        <w:rPr>
          <w:bCs/>
        </w:rPr>
      </w:pPr>
    </w:p>
    <w:p w14:paraId="0B2C0863" w14:textId="77777777" w:rsidR="007460F3" w:rsidRPr="00C6165A" w:rsidRDefault="007460F3" w:rsidP="00D81AB5">
      <w:pPr>
        <w:rPr>
          <w:bCs/>
        </w:rPr>
      </w:pPr>
    </w:p>
    <w:p w14:paraId="08A2EA5F" w14:textId="24309006" w:rsidR="00D81AB5" w:rsidRDefault="00D81AB5" w:rsidP="00D81AB5">
      <w:pPr>
        <w:jc w:val="center"/>
        <w:rPr>
          <w:b/>
          <w:bCs/>
        </w:rPr>
      </w:pPr>
      <w:r w:rsidRPr="00C6165A">
        <w:rPr>
          <w:b/>
          <w:bCs/>
        </w:rPr>
        <w:t>AFILIACIÓN, SEGURIDAD SOCIAL Y FISCALIDAD</w:t>
      </w:r>
    </w:p>
    <w:p w14:paraId="76120DC5" w14:textId="77777777" w:rsidR="00442DF3" w:rsidRPr="00C6165A" w:rsidRDefault="00442DF3" w:rsidP="00D81AB5">
      <w:pPr>
        <w:jc w:val="center"/>
        <w:rPr>
          <w:b/>
          <w:bCs/>
        </w:rPr>
      </w:pPr>
    </w:p>
    <w:p w14:paraId="6D05E7A5" w14:textId="77777777" w:rsidR="00D81AB5" w:rsidRPr="00C6165A" w:rsidRDefault="00D81AB5" w:rsidP="00D81AB5">
      <w:pPr>
        <w:rPr>
          <w:bCs/>
        </w:rPr>
      </w:pPr>
      <w:r w:rsidRPr="00C6165A">
        <w:rPr>
          <w:bCs/>
        </w:rPr>
        <w:t xml:space="preserve">Si tenemos en cuenta el </w:t>
      </w:r>
      <w:r w:rsidRPr="00C6165A">
        <w:rPr>
          <w:b/>
          <w:bCs/>
        </w:rPr>
        <w:t>número de afiliados a la Seguridad Social en noviembre de 2022</w:t>
      </w:r>
      <w:r w:rsidRPr="00C6165A">
        <w:rPr>
          <w:bCs/>
        </w:rPr>
        <w:t xml:space="preserve">, Castilla y León registraba 60.910 afiliados en la actividad agraria, lo que supone un ligero descenso respecto a 2021 (61.160). Castilla y León </w:t>
      </w:r>
      <w:proofErr w:type="gramStart"/>
      <w:r w:rsidRPr="00C6165A">
        <w:rPr>
          <w:bCs/>
        </w:rPr>
        <w:t>supone</w:t>
      </w:r>
      <w:proofErr w:type="gramEnd"/>
      <w:r w:rsidRPr="00C6165A">
        <w:rPr>
          <w:bCs/>
        </w:rPr>
        <w:t xml:space="preserve"> el 5, 93% del número de afiliados a la seguridad social en esta actividad en España, ligeramente por encima del año 2021 (5,56%) </w:t>
      </w:r>
    </w:p>
    <w:p w14:paraId="16949A6F" w14:textId="77777777" w:rsidR="00D81AB5" w:rsidRPr="00C6165A" w:rsidRDefault="00D81AB5" w:rsidP="00D81AB5">
      <w:pPr>
        <w:rPr>
          <w:bCs/>
        </w:rPr>
      </w:pPr>
      <w:r w:rsidRPr="00C6165A">
        <w:rPr>
          <w:bCs/>
        </w:rPr>
        <w:t>De esos 60.912 afiliados, 38.286 (el 63%) se encuentran inscritos en el RETA (autónomos) y 22.626 (el 37%) en el Régimen general (trabajadores por cuenta ajena), ratios de distribución totalmente opuestos al ámbito nacional, donde en el RETA están tan sólo el 25 % de los afiliados en esta actividad económica y el 75% restante en el régimen general.</w:t>
      </w:r>
    </w:p>
    <w:p w14:paraId="5DF5409B" w14:textId="77777777" w:rsidR="00D81AB5" w:rsidRPr="00C6165A" w:rsidRDefault="00D81AB5" w:rsidP="00D81AB5">
      <w:pPr>
        <w:rPr>
          <w:bCs/>
        </w:rPr>
      </w:pPr>
    </w:p>
    <w:p w14:paraId="4D2DC394" w14:textId="77777777" w:rsidR="006F0A19" w:rsidRDefault="00D81AB5" w:rsidP="00D81AB5">
      <w:pPr>
        <w:rPr>
          <w:b/>
          <w:bCs/>
        </w:rPr>
      </w:pPr>
      <w:r w:rsidRPr="00C6165A">
        <w:rPr>
          <w:b/>
          <w:bCs/>
        </w:rPr>
        <w:t>N</w:t>
      </w:r>
      <w:r w:rsidR="006F0A19">
        <w:rPr>
          <w:b/>
          <w:bCs/>
        </w:rPr>
        <w:t>úmero d</w:t>
      </w:r>
      <w:r w:rsidRPr="00C6165A">
        <w:rPr>
          <w:b/>
          <w:bCs/>
        </w:rPr>
        <w:t xml:space="preserve">e afiliados a la Seguridad Social en la actividad agraria. </w:t>
      </w:r>
    </w:p>
    <w:p w14:paraId="6A716FC2" w14:textId="3B9F6FB6" w:rsidR="00D81AB5" w:rsidRDefault="00D81AB5" w:rsidP="00D81AB5">
      <w:pPr>
        <w:rPr>
          <w:b/>
          <w:bCs/>
        </w:rPr>
      </w:pPr>
      <w:r w:rsidRPr="00C6165A">
        <w:rPr>
          <w:b/>
          <w:bCs/>
        </w:rPr>
        <w:t>Media noviembre de 2022</w:t>
      </w:r>
    </w:p>
    <w:p w14:paraId="6E8D77F9" w14:textId="44408A03" w:rsidR="00594B72" w:rsidRDefault="00594B72" w:rsidP="00D81AB5">
      <w:pPr>
        <w:rPr>
          <w:b/>
          <w:bCs/>
        </w:rPr>
      </w:pPr>
    </w:p>
    <w:tbl>
      <w:tblPr>
        <w:tblW w:w="8489" w:type="dxa"/>
        <w:tblCellMar>
          <w:left w:w="0" w:type="dxa"/>
          <w:right w:w="0" w:type="dxa"/>
        </w:tblCellMar>
        <w:tblLook w:val="04A0" w:firstRow="1" w:lastRow="0" w:firstColumn="1" w:lastColumn="0" w:noHBand="0" w:noVBand="1"/>
      </w:tblPr>
      <w:tblGrid>
        <w:gridCol w:w="1134"/>
        <w:gridCol w:w="1276"/>
        <w:gridCol w:w="1134"/>
        <w:gridCol w:w="851"/>
        <w:gridCol w:w="1134"/>
        <w:gridCol w:w="992"/>
        <w:gridCol w:w="850"/>
        <w:gridCol w:w="1118"/>
      </w:tblGrid>
      <w:tr w:rsidR="00594B72" w14:paraId="14F93CAB" w14:textId="77777777" w:rsidTr="00594B72">
        <w:trPr>
          <w:trHeight w:val="312"/>
        </w:trPr>
        <w:tc>
          <w:tcPr>
            <w:tcW w:w="1134" w:type="dxa"/>
            <w:noWrap/>
            <w:tcMar>
              <w:top w:w="0" w:type="dxa"/>
              <w:left w:w="70" w:type="dxa"/>
              <w:bottom w:w="0" w:type="dxa"/>
              <w:right w:w="70" w:type="dxa"/>
            </w:tcMar>
            <w:vAlign w:val="bottom"/>
            <w:hideMark/>
          </w:tcPr>
          <w:p w14:paraId="3A2905A0" w14:textId="77777777" w:rsidR="00594B72" w:rsidRDefault="00594B72">
            <w:pPr>
              <w:jc w:val="left"/>
              <w:rPr>
                <w:sz w:val="20"/>
                <w:szCs w:val="20"/>
                <w:lang w:eastAsia="es-ES"/>
              </w:rPr>
            </w:pPr>
          </w:p>
        </w:tc>
        <w:tc>
          <w:tcPr>
            <w:tcW w:w="3261" w:type="dxa"/>
            <w:gridSpan w:val="3"/>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52C9B0E0" w14:textId="77777777" w:rsidR="00594B72" w:rsidRPr="00594B72" w:rsidRDefault="00594B72">
            <w:pPr>
              <w:jc w:val="center"/>
              <w:rPr>
                <w:rFonts w:eastAsiaTheme="minorHAnsi"/>
                <w:b/>
                <w:bCs/>
                <w:color w:val="000000"/>
                <w:sz w:val="18"/>
                <w:szCs w:val="18"/>
                <w:lang w:eastAsia="es-ES"/>
              </w:rPr>
            </w:pPr>
            <w:r w:rsidRPr="00594B72">
              <w:rPr>
                <w:b/>
                <w:bCs/>
                <w:color w:val="000000"/>
                <w:sz w:val="18"/>
                <w:szCs w:val="18"/>
                <w:lang w:eastAsia="es-ES"/>
              </w:rPr>
              <w:t>RÉGIMEN GENERAL</w:t>
            </w:r>
          </w:p>
        </w:tc>
        <w:tc>
          <w:tcPr>
            <w:tcW w:w="2976" w:type="dxa"/>
            <w:gridSpan w:val="3"/>
            <w:tcBorders>
              <w:top w:val="single" w:sz="12" w:space="0" w:color="auto"/>
              <w:left w:val="nil"/>
              <w:bottom w:val="single" w:sz="12" w:space="0" w:color="auto"/>
              <w:right w:val="single" w:sz="12" w:space="0" w:color="auto"/>
            </w:tcBorders>
            <w:tcMar>
              <w:top w:w="0" w:type="dxa"/>
              <w:left w:w="70" w:type="dxa"/>
              <w:bottom w:w="0" w:type="dxa"/>
              <w:right w:w="70" w:type="dxa"/>
            </w:tcMar>
            <w:vAlign w:val="bottom"/>
            <w:hideMark/>
          </w:tcPr>
          <w:p w14:paraId="1E9374D8" w14:textId="77777777" w:rsidR="00594B72" w:rsidRPr="00594B72" w:rsidRDefault="00594B72">
            <w:pPr>
              <w:jc w:val="center"/>
              <w:rPr>
                <w:b/>
                <w:bCs/>
                <w:color w:val="000000"/>
                <w:sz w:val="18"/>
                <w:szCs w:val="18"/>
                <w:lang w:eastAsia="es-ES"/>
              </w:rPr>
            </w:pPr>
            <w:r w:rsidRPr="00594B72">
              <w:rPr>
                <w:b/>
                <w:bCs/>
                <w:color w:val="000000"/>
                <w:sz w:val="18"/>
                <w:szCs w:val="18"/>
                <w:lang w:eastAsia="es-ES"/>
              </w:rPr>
              <w:t>RETA</w:t>
            </w:r>
          </w:p>
        </w:tc>
        <w:tc>
          <w:tcPr>
            <w:tcW w:w="1118" w:type="dxa"/>
            <w:tcBorders>
              <w:top w:val="single" w:sz="12" w:space="0" w:color="auto"/>
              <w:left w:val="nil"/>
              <w:bottom w:val="single" w:sz="12" w:space="0" w:color="auto"/>
              <w:right w:val="single" w:sz="12" w:space="0" w:color="auto"/>
            </w:tcBorders>
            <w:noWrap/>
            <w:tcMar>
              <w:top w:w="0" w:type="dxa"/>
              <w:left w:w="70" w:type="dxa"/>
              <w:bottom w:w="0" w:type="dxa"/>
              <w:right w:w="70" w:type="dxa"/>
            </w:tcMar>
            <w:vAlign w:val="bottom"/>
            <w:hideMark/>
          </w:tcPr>
          <w:p w14:paraId="19F6326D" w14:textId="0BC1CDD2" w:rsidR="00594B72" w:rsidRPr="00594B72" w:rsidRDefault="00594B72">
            <w:pPr>
              <w:jc w:val="center"/>
              <w:rPr>
                <w:b/>
                <w:bCs/>
                <w:color w:val="000000"/>
                <w:sz w:val="18"/>
                <w:szCs w:val="18"/>
                <w:lang w:eastAsia="es-ES"/>
              </w:rPr>
            </w:pPr>
            <w:proofErr w:type="gramStart"/>
            <w:r w:rsidRPr="00594B72">
              <w:rPr>
                <w:b/>
                <w:bCs/>
                <w:color w:val="000000"/>
                <w:sz w:val="18"/>
                <w:szCs w:val="18"/>
                <w:lang w:eastAsia="es-ES"/>
              </w:rPr>
              <w:t>TOTAL</w:t>
            </w:r>
            <w:proofErr w:type="gramEnd"/>
            <w:r w:rsidRPr="00594B72">
              <w:rPr>
                <w:b/>
                <w:bCs/>
                <w:color w:val="000000"/>
                <w:sz w:val="18"/>
                <w:szCs w:val="18"/>
                <w:lang w:eastAsia="es-ES"/>
              </w:rPr>
              <w:t xml:space="preserve"> AFILIADOS</w:t>
            </w:r>
          </w:p>
        </w:tc>
      </w:tr>
      <w:tr w:rsidR="00594B72" w14:paraId="0B16C9CF" w14:textId="77777777" w:rsidTr="00594B72">
        <w:trPr>
          <w:trHeight w:val="1416"/>
        </w:trPr>
        <w:tc>
          <w:tcPr>
            <w:tcW w:w="1134"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14:paraId="38992105" w14:textId="77777777" w:rsidR="00594B72" w:rsidRDefault="00594B72">
            <w:pPr>
              <w:rPr>
                <w:color w:val="000000"/>
                <w:sz w:val="18"/>
                <w:szCs w:val="18"/>
                <w:lang w:eastAsia="es-ES"/>
              </w:rPr>
            </w:pPr>
            <w:r>
              <w:rPr>
                <w:color w:val="000000"/>
                <w:sz w:val="18"/>
                <w:szCs w:val="18"/>
                <w:lang w:eastAsia="es-ES"/>
              </w:rPr>
              <w:t> </w:t>
            </w:r>
          </w:p>
        </w:tc>
        <w:tc>
          <w:tcPr>
            <w:tcW w:w="1276" w:type="dxa"/>
            <w:tcBorders>
              <w:top w:val="nil"/>
              <w:left w:val="nil"/>
              <w:bottom w:val="single" w:sz="12" w:space="0" w:color="auto"/>
              <w:right w:val="single" w:sz="12" w:space="0" w:color="auto"/>
            </w:tcBorders>
            <w:tcMar>
              <w:top w:w="0" w:type="dxa"/>
              <w:left w:w="70" w:type="dxa"/>
              <w:bottom w:w="0" w:type="dxa"/>
              <w:right w:w="70" w:type="dxa"/>
            </w:tcMar>
            <w:hideMark/>
          </w:tcPr>
          <w:p w14:paraId="65949FCB" w14:textId="77777777" w:rsidR="00594B72" w:rsidRDefault="00594B72">
            <w:pPr>
              <w:jc w:val="center"/>
              <w:rPr>
                <w:color w:val="000000"/>
                <w:sz w:val="18"/>
                <w:szCs w:val="18"/>
                <w:lang w:eastAsia="es-ES"/>
              </w:rPr>
            </w:pPr>
            <w:r>
              <w:rPr>
                <w:b/>
                <w:bCs/>
                <w:color w:val="000000"/>
                <w:sz w:val="18"/>
                <w:szCs w:val="18"/>
                <w:lang w:eastAsia="es-ES"/>
              </w:rPr>
              <w:t>Régimen General</w:t>
            </w:r>
            <w:r>
              <w:rPr>
                <w:color w:val="000000"/>
                <w:sz w:val="18"/>
                <w:szCs w:val="18"/>
                <w:lang w:eastAsia="es-ES"/>
              </w:rPr>
              <w:t xml:space="preserve"> (agricultura, ganadería, silvicultura y pesca) </w:t>
            </w:r>
          </w:p>
        </w:tc>
        <w:tc>
          <w:tcPr>
            <w:tcW w:w="1134" w:type="dxa"/>
            <w:tcBorders>
              <w:top w:val="nil"/>
              <w:left w:val="nil"/>
              <w:bottom w:val="single" w:sz="12" w:space="0" w:color="auto"/>
              <w:right w:val="single" w:sz="12" w:space="0" w:color="auto"/>
            </w:tcBorders>
            <w:tcMar>
              <w:top w:w="0" w:type="dxa"/>
              <w:left w:w="70" w:type="dxa"/>
              <w:bottom w:w="0" w:type="dxa"/>
              <w:right w:w="70" w:type="dxa"/>
            </w:tcMar>
            <w:hideMark/>
          </w:tcPr>
          <w:p w14:paraId="11C32CEE" w14:textId="77777777" w:rsidR="00594B72" w:rsidRDefault="00594B72">
            <w:pPr>
              <w:jc w:val="center"/>
              <w:rPr>
                <w:b/>
                <w:bCs/>
                <w:color w:val="000000"/>
                <w:sz w:val="18"/>
                <w:szCs w:val="18"/>
                <w:lang w:eastAsia="es-ES"/>
              </w:rPr>
            </w:pPr>
            <w:r>
              <w:rPr>
                <w:b/>
                <w:bCs/>
                <w:color w:val="000000"/>
                <w:sz w:val="18"/>
                <w:szCs w:val="18"/>
                <w:lang w:eastAsia="es-ES"/>
              </w:rPr>
              <w:t xml:space="preserve">Sistema Especial Agrario </w:t>
            </w:r>
          </w:p>
        </w:tc>
        <w:tc>
          <w:tcPr>
            <w:tcW w:w="851" w:type="dxa"/>
            <w:tcBorders>
              <w:top w:val="nil"/>
              <w:left w:val="nil"/>
              <w:bottom w:val="single" w:sz="12" w:space="0" w:color="auto"/>
              <w:right w:val="single" w:sz="12" w:space="0" w:color="auto"/>
            </w:tcBorders>
            <w:noWrap/>
            <w:tcMar>
              <w:top w:w="0" w:type="dxa"/>
              <w:left w:w="70" w:type="dxa"/>
              <w:bottom w:w="0" w:type="dxa"/>
              <w:right w:w="70" w:type="dxa"/>
            </w:tcMar>
            <w:hideMark/>
          </w:tcPr>
          <w:p w14:paraId="079F5572" w14:textId="77777777" w:rsidR="00594B72" w:rsidRDefault="00594B72">
            <w:pPr>
              <w:jc w:val="center"/>
              <w:rPr>
                <w:b/>
                <w:bCs/>
                <w:color w:val="000000"/>
                <w:sz w:val="18"/>
                <w:szCs w:val="18"/>
                <w:lang w:eastAsia="es-ES"/>
              </w:rPr>
            </w:pPr>
            <w:r>
              <w:rPr>
                <w:b/>
                <w:bCs/>
                <w:color w:val="000000"/>
                <w:sz w:val="18"/>
                <w:szCs w:val="18"/>
                <w:lang w:eastAsia="es-ES"/>
              </w:rPr>
              <w:t>Total</w:t>
            </w:r>
          </w:p>
        </w:tc>
        <w:tc>
          <w:tcPr>
            <w:tcW w:w="1134" w:type="dxa"/>
            <w:tcBorders>
              <w:top w:val="nil"/>
              <w:left w:val="nil"/>
              <w:bottom w:val="single" w:sz="12" w:space="0" w:color="auto"/>
              <w:right w:val="single" w:sz="12" w:space="0" w:color="auto"/>
            </w:tcBorders>
            <w:tcMar>
              <w:top w:w="0" w:type="dxa"/>
              <w:left w:w="70" w:type="dxa"/>
              <w:bottom w:w="0" w:type="dxa"/>
              <w:right w:w="70" w:type="dxa"/>
            </w:tcMar>
            <w:hideMark/>
          </w:tcPr>
          <w:p w14:paraId="069DA59F" w14:textId="77777777" w:rsidR="00594B72" w:rsidRDefault="00594B72">
            <w:pPr>
              <w:jc w:val="center"/>
              <w:rPr>
                <w:color w:val="000000"/>
                <w:sz w:val="18"/>
                <w:szCs w:val="18"/>
                <w:lang w:eastAsia="es-ES"/>
              </w:rPr>
            </w:pPr>
            <w:r>
              <w:rPr>
                <w:b/>
                <w:bCs/>
                <w:color w:val="000000"/>
                <w:sz w:val="18"/>
                <w:szCs w:val="18"/>
                <w:lang w:eastAsia="es-ES"/>
              </w:rPr>
              <w:t>RETA</w:t>
            </w:r>
            <w:r>
              <w:rPr>
                <w:color w:val="000000"/>
                <w:sz w:val="18"/>
                <w:szCs w:val="18"/>
                <w:lang w:eastAsia="es-ES"/>
              </w:rPr>
              <w:t xml:space="preserve"> (agricultura, ganadería, silvicultura y pesca) </w:t>
            </w:r>
          </w:p>
        </w:tc>
        <w:tc>
          <w:tcPr>
            <w:tcW w:w="992" w:type="dxa"/>
            <w:tcBorders>
              <w:top w:val="nil"/>
              <w:left w:val="nil"/>
              <w:bottom w:val="single" w:sz="12" w:space="0" w:color="auto"/>
              <w:right w:val="single" w:sz="12" w:space="0" w:color="auto"/>
            </w:tcBorders>
            <w:noWrap/>
            <w:tcMar>
              <w:top w:w="0" w:type="dxa"/>
              <w:left w:w="70" w:type="dxa"/>
              <w:bottom w:w="0" w:type="dxa"/>
              <w:right w:w="70" w:type="dxa"/>
            </w:tcMar>
            <w:hideMark/>
          </w:tcPr>
          <w:p w14:paraId="68E788DF" w14:textId="77777777" w:rsidR="00594B72" w:rsidRDefault="00594B72">
            <w:pPr>
              <w:jc w:val="center"/>
              <w:rPr>
                <w:b/>
                <w:bCs/>
                <w:color w:val="000000"/>
                <w:sz w:val="18"/>
                <w:szCs w:val="18"/>
                <w:lang w:eastAsia="es-ES"/>
              </w:rPr>
            </w:pPr>
            <w:r>
              <w:rPr>
                <w:b/>
                <w:bCs/>
                <w:color w:val="000000"/>
                <w:sz w:val="18"/>
                <w:szCs w:val="18"/>
                <w:lang w:eastAsia="es-ES"/>
              </w:rPr>
              <w:t>SETA</w:t>
            </w:r>
          </w:p>
        </w:tc>
        <w:tc>
          <w:tcPr>
            <w:tcW w:w="850" w:type="dxa"/>
            <w:tcBorders>
              <w:top w:val="nil"/>
              <w:left w:val="nil"/>
              <w:bottom w:val="single" w:sz="12" w:space="0" w:color="auto"/>
              <w:right w:val="single" w:sz="12" w:space="0" w:color="auto"/>
            </w:tcBorders>
            <w:noWrap/>
            <w:tcMar>
              <w:top w:w="0" w:type="dxa"/>
              <w:left w:w="70" w:type="dxa"/>
              <w:bottom w:w="0" w:type="dxa"/>
              <w:right w:w="70" w:type="dxa"/>
            </w:tcMar>
            <w:hideMark/>
          </w:tcPr>
          <w:p w14:paraId="157AB120" w14:textId="77777777" w:rsidR="00594B72" w:rsidRDefault="00594B72">
            <w:pPr>
              <w:jc w:val="center"/>
              <w:rPr>
                <w:b/>
                <w:bCs/>
                <w:color w:val="000000"/>
                <w:sz w:val="18"/>
                <w:szCs w:val="18"/>
                <w:lang w:eastAsia="es-ES"/>
              </w:rPr>
            </w:pPr>
            <w:r>
              <w:rPr>
                <w:b/>
                <w:bCs/>
                <w:color w:val="000000"/>
                <w:sz w:val="18"/>
                <w:szCs w:val="18"/>
                <w:lang w:eastAsia="es-ES"/>
              </w:rPr>
              <w:t>Total</w:t>
            </w:r>
          </w:p>
        </w:tc>
        <w:tc>
          <w:tcPr>
            <w:tcW w:w="1118"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14:paraId="1EE9D17F" w14:textId="77777777" w:rsidR="00594B72" w:rsidRDefault="00594B72">
            <w:pPr>
              <w:rPr>
                <w:color w:val="000000"/>
                <w:sz w:val="18"/>
                <w:szCs w:val="18"/>
                <w:lang w:eastAsia="es-ES"/>
              </w:rPr>
            </w:pPr>
            <w:r>
              <w:rPr>
                <w:color w:val="000000"/>
                <w:sz w:val="18"/>
                <w:szCs w:val="18"/>
                <w:lang w:eastAsia="es-ES"/>
              </w:rPr>
              <w:t> </w:t>
            </w:r>
          </w:p>
        </w:tc>
      </w:tr>
      <w:tr w:rsidR="00594B72" w14:paraId="0B8BFADA" w14:textId="77777777" w:rsidTr="00594B72">
        <w:trPr>
          <w:trHeight w:val="312"/>
        </w:trPr>
        <w:tc>
          <w:tcPr>
            <w:tcW w:w="1134" w:type="dxa"/>
            <w:tcBorders>
              <w:top w:val="nil"/>
              <w:left w:val="single" w:sz="12" w:space="0" w:color="auto"/>
              <w:bottom w:val="single" w:sz="12" w:space="0" w:color="auto"/>
              <w:right w:val="single" w:sz="12" w:space="0" w:color="auto"/>
            </w:tcBorders>
            <w:noWrap/>
            <w:tcMar>
              <w:top w:w="0" w:type="dxa"/>
              <w:left w:w="70" w:type="dxa"/>
              <w:bottom w:w="0" w:type="dxa"/>
              <w:right w:w="70" w:type="dxa"/>
            </w:tcMar>
            <w:vAlign w:val="bottom"/>
            <w:hideMark/>
          </w:tcPr>
          <w:p w14:paraId="0448C76B" w14:textId="77777777" w:rsidR="00594B72" w:rsidRPr="00594B72" w:rsidRDefault="00594B72" w:rsidP="00594B72">
            <w:pPr>
              <w:jc w:val="left"/>
              <w:rPr>
                <w:b/>
                <w:bCs/>
                <w:color w:val="000000"/>
                <w:sz w:val="20"/>
                <w:szCs w:val="20"/>
                <w:lang w:eastAsia="es-ES"/>
              </w:rPr>
            </w:pPr>
            <w:r w:rsidRPr="00594B72">
              <w:rPr>
                <w:b/>
                <w:bCs/>
                <w:color w:val="000000"/>
                <w:sz w:val="20"/>
                <w:szCs w:val="20"/>
                <w:lang w:eastAsia="es-ES"/>
              </w:rPr>
              <w:t>Castilla y León</w:t>
            </w:r>
          </w:p>
        </w:tc>
        <w:tc>
          <w:tcPr>
            <w:tcW w:w="1276"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14:paraId="771716B4" w14:textId="77777777" w:rsidR="00594B72" w:rsidRDefault="00594B72">
            <w:pPr>
              <w:jc w:val="right"/>
              <w:rPr>
                <w:b/>
                <w:bCs/>
                <w:color w:val="000000"/>
                <w:sz w:val="18"/>
                <w:szCs w:val="18"/>
                <w:lang w:eastAsia="es-ES"/>
              </w:rPr>
            </w:pPr>
            <w:r>
              <w:rPr>
                <w:b/>
                <w:bCs/>
                <w:color w:val="000000"/>
                <w:sz w:val="18"/>
                <w:szCs w:val="18"/>
                <w:lang w:eastAsia="es-ES"/>
              </w:rPr>
              <w:t>9.165</w:t>
            </w:r>
          </w:p>
        </w:tc>
        <w:tc>
          <w:tcPr>
            <w:tcW w:w="1134"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14:paraId="4BCEF87E" w14:textId="77777777" w:rsidR="00594B72" w:rsidRDefault="00594B72">
            <w:pPr>
              <w:jc w:val="right"/>
              <w:rPr>
                <w:b/>
                <w:bCs/>
                <w:color w:val="000000"/>
                <w:sz w:val="18"/>
                <w:szCs w:val="18"/>
                <w:lang w:eastAsia="es-ES"/>
              </w:rPr>
            </w:pPr>
            <w:r>
              <w:rPr>
                <w:b/>
                <w:bCs/>
                <w:color w:val="000000"/>
                <w:sz w:val="18"/>
                <w:szCs w:val="18"/>
                <w:lang w:eastAsia="es-ES"/>
              </w:rPr>
              <w:t>13.461</w:t>
            </w:r>
          </w:p>
        </w:tc>
        <w:tc>
          <w:tcPr>
            <w:tcW w:w="851"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14:paraId="5E1FD269" w14:textId="77777777" w:rsidR="00594B72" w:rsidRDefault="00594B72">
            <w:pPr>
              <w:jc w:val="right"/>
              <w:rPr>
                <w:b/>
                <w:bCs/>
                <w:color w:val="000000"/>
                <w:sz w:val="18"/>
                <w:szCs w:val="18"/>
                <w:lang w:eastAsia="es-ES"/>
              </w:rPr>
            </w:pPr>
            <w:r>
              <w:rPr>
                <w:b/>
                <w:bCs/>
                <w:color w:val="000000"/>
                <w:sz w:val="18"/>
                <w:szCs w:val="18"/>
                <w:lang w:eastAsia="es-ES"/>
              </w:rPr>
              <w:t>22.626</w:t>
            </w:r>
          </w:p>
        </w:tc>
        <w:tc>
          <w:tcPr>
            <w:tcW w:w="1134"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14:paraId="05D801C8" w14:textId="77777777" w:rsidR="00594B72" w:rsidRDefault="00594B72">
            <w:pPr>
              <w:jc w:val="right"/>
              <w:rPr>
                <w:b/>
                <w:bCs/>
                <w:color w:val="000000"/>
                <w:sz w:val="18"/>
                <w:szCs w:val="18"/>
                <w:lang w:eastAsia="es-ES"/>
              </w:rPr>
            </w:pPr>
            <w:r>
              <w:rPr>
                <w:b/>
                <w:bCs/>
                <w:color w:val="000000"/>
                <w:sz w:val="18"/>
                <w:szCs w:val="18"/>
                <w:lang w:eastAsia="es-ES"/>
              </w:rPr>
              <w:t>10.593</w:t>
            </w:r>
          </w:p>
        </w:tc>
        <w:tc>
          <w:tcPr>
            <w:tcW w:w="992"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14:paraId="4AC8FDE4" w14:textId="77777777" w:rsidR="00594B72" w:rsidRDefault="00594B72">
            <w:pPr>
              <w:jc w:val="right"/>
              <w:rPr>
                <w:b/>
                <w:bCs/>
                <w:color w:val="000000"/>
                <w:sz w:val="18"/>
                <w:szCs w:val="18"/>
                <w:lang w:eastAsia="es-ES"/>
              </w:rPr>
            </w:pPr>
            <w:r>
              <w:rPr>
                <w:b/>
                <w:bCs/>
                <w:color w:val="000000"/>
                <w:sz w:val="18"/>
                <w:szCs w:val="18"/>
                <w:lang w:eastAsia="es-ES"/>
              </w:rPr>
              <w:t>27.693</w:t>
            </w:r>
          </w:p>
        </w:tc>
        <w:tc>
          <w:tcPr>
            <w:tcW w:w="850"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14:paraId="1BC1026D" w14:textId="77777777" w:rsidR="00594B72" w:rsidRDefault="00594B72">
            <w:pPr>
              <w:jc w:val="right"/>
              <w:rPr>
                <w:b/>
                <w:bCs/>
                <w:color w:val="000000"/>
                <w:sz w:val="18"/>
                <w:szCs w:val="18"/>
                <w:lang w:eastAsia="es-ES"/>
              </w:rPr>
            </w:pPr>
            <w:r>
              <w:rPr>
                <w:b/>
                <w:bCs/>
                <w:color w:val="000000"/>
                <w:sz w:val="18"/>
                <w:szCs w:val="18"/>
                <w:lang w:eastAsia="es-ES"/>
              </w:rPr>
              <w:t>38.286</w:t>
            </w:r>
          </w:p>
        </w:tc>
        <w:tc>
          <w:tcPr>
            <w:tcW w:w="1118"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14:paraId="5686C6F8" w14:textId="77777777" w:rsidR="00594B72" w:rsidRDefault="00594B72">
            <w:pPr>
              <w:jc w:val="right"/>
              <w:rPr>
                <w:b/>
                <w:bCs/>
                <w:color w:val="000000"/>
                <w:sz w:val="18"/>
                <w:szCs w:val="18"/>
                <w:lang w:eastAsia="es-ES"/>
              </w:rPr>
            </w:pPr>
            <w:r>
              <w:rPr>
                <w:b/>
                <w:bCs/>
                <w:color w:val="000000"/>
                <w:sz w:val="18"/>
                <w:szCs w:val="18"/>
                <w:lang w:eastAsia="es-ES"/>
              </w:rPr>
              <w:t>60.912</w:t>
            </w:r>
          </w:p>
        </w:tc>
      </w:tr>
      <w:tr w:rsidR="00594B72" w14:paraId="23CA6AF3" w14:textId="77777777" w:rsidTr="00594B72">
        <w:trPr>
          <w:trHeight w:val="312"/>
        </w:trPr>
        <w:tc>
          <w:tcPr>
            <w:tcW w:w="1134" w:type="dxa"/>
            <w:tcBorders>
              <w:top w:val="nil"/>
              <w:left w:val="single" w:sz="12" w:space="0" w:color="auto"/>
              <w:bottom w:val="single" w:sz="12" w:space="0" w:color="auto"/>
              <w:right w:val="single" w:sz="12" w:space="0" w:color="auto"/>
            </w:tcBorders>
            <w:noWrap/>
            <w:tcMar>
              <w:top w:w="0" w:type="dxa"/>
              <w:left w:w="70" w:type="dxa"/>
              <w:bottom w:w="0" w:type="dxa"/>
              <w:right w:w="70" w:type="dxa"/>
            </w:tcMar>
            <w:vAlign w:val="bottom"/>
            <w:hideMark/>
          </w:tcPr>
          <w:p w14:paraId="1423401C" w14:textId="77777777" w:rsidR="00594B72" w:rsidRPr="00594B72" w:rsidRDefault="00594B72">
            <w:pPr>
              <w:rPr>
                <w:color w:val="000000"/>
                <w:sz w:val="20"/>
                <w:szCs w:val="20"/>
                <w:lang w:eastAsia="es-ES"/>
              </w:rPr>
            </w:pPr>
            <w:r w:rsidRPr="00594B72">
              <w:rPr>
                <w:color w:val="000000"/>
                <w:sz w:val="20"/>
                <w:szCs w:val="20"/>
                <w:lang w:eastAsia="es-ES"/>
              </w:rPr>
              <w:t>España</w:t>
            </w:r>
          </w:p>
        </w:tc>
        <w:tc>
          <w:tcPr>
            <w:tcW w:w="1276"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14:paraId="275F2D84" w14:textId="77777777" w:rsidR="00594B72" w:rsidRDefault="00594B72">
            <w:pPr>
              <w:jc w:val="right"/>
              <w:rPr>
                <w:color w:val="000000"/>
                <w:sz w:val="18"/>
                <w:szCs w:val="18"/>
                <w:lang w:eastAsia="es-ES"/>
              </w:rPr>
            </w:pPr>
            <w:r>
              <w:rPr>
                <w:color w:val="000000"/>
                <w:sz w:val="18"/>
                <w:szCs w:val="18"/>
                <w:lang w:eastAsia="es-ES"/>
              </w:rPr>
              <w:t>78.112</w:t>
            </w:r>
          </w:p>
        </w:tc>
        <w:tc>
          <w:tcPr>
            <w:tcW w:w="1134"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14:paraId="0961F567" w14:textId="77777777" w:rsidR="00594B72" w:rsidRDefault="00594B72">
            <w:pPr>
              <w:jc w:val="right"/>
              <w:rPr>
                <w:color w:val="000000"/>
                <w:sz w:val="18"/>
                <w:szCs w:val="18"/>
                <w:lang w:eastAsia="es-ES"/>
              </w:rPr>
            </w:pPr>
            <w:r>
              <w:rPr>
                <w:color w:val="000000"/>
                <w:sz w:val="18"/>
                <w:szCs w:val="18"/>
                <w:lang w:eastAsia="es-ES"/>
              </w:rPr>
              <w:t>688.214</w:t>
            </w:r>
          </w:p>
        </w:tc>
        <w:tc>
          <w:tcPr>
            <w:tcW w:w="851"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14:paraId="0E1018BC" w14:textId="77777777" w:rsidR="00594B72" w:rsidRDefault="00594B72">
            <w:pPr>
              <w:jc w:val="right"/>
              <w:rPr>
                <w:color w:val="000000"/>
                <w:sz w:val="18"/>
                <w:szCs w:val="18"/>
                <w:lang w:eastAsia="es-ES"/>
              </w:rPr>
            </w:pPr>
            <w:r>
              <w:rPr>
                <w:color w:val="000000"/>
                <w:sz w:val="18"/>
                <w:szCs w:val="18"/>
                <w:lang w:eastAsia="es-ES"/>
              </w:rPr>
              <w:t>766.326</w:t>
            </w:r>
          </w:p>
        </w:tc>
        <w:tc>
          <w:tcPr>
            <w:tcW w:w="1134"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14:paraId="1A918D23" w14:textId="77777777" w:rsidR="00594B72" w:rsidRDefault="00594B72">
            <w:pPr>
              <w:jc w:val="right"/>
              <w:rPr>
                <w:color w:val="000000"/>
                <w:sz w:val="18"/>
                <w:szCs w:val="18"/>
                <w:lang w:eastAsia="es-ES"/>
              </w:rPr>
            </w:pPr>
            <w:r>
              <w:rPr>
                <w:color w:val="000000"/>
                <w:sz w:val="18"/>
                <w:szCs w:val="18"/>
                <w:lang w:eastAsia="es-ES"/>
              </w:rPr>
              <w:t>88.272</w:t>
            </w:r>
          </w:p>
        </w:tc>
        <w:tc>
          <w:tcPr>
            <w:tcW w:w="992"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14:paraId="5CE02AF7" w14:textId="77777777" w:rsidR="00594B72" w:rsidRDefault="00594B72">
            <w:pPr>
              <w:jc w:val="right"/>
              <w:rPr>
                <w:color w:val="000000"/>
                <w:sz w:val="18"/>
                <w:szCs w:val="18"/>
                <w:lang w:eastAsia="es-ES"/>
              </w:rPr>
            </w:pPr>
            <w:r>
              <w:rPr>
                <w:color w:val="000000"/>
                <w:sz w:val="18"/>
                <w:szCs w:val="18"/>
                <w:lang w:eastAsia="es-ES"/>
              </w:rPr>
              <w:t>172.876</w:t>
            </w:r>
          </w:p>
        </w:tc>
        <w:tc>
          <w:tcPr>
            <w:tcW w:w="850"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14:paraId="1EDD28DD" w14:textId="77777777" w:rsidR="00594B72" w:rsidRDefault="00594B72">
            <w:pPr>
              <w:jc w:val="right"/>
              <w:rPr>
                <w:color w:val="000000"/>
                <w:sz w:val="18"/>
                <w:szCs w:val="18"/>
                <w:lang w:eastAsia="es-ES"/>
              </w:rPr>
            </w:pPr>
            <w:r>
              <w:rPr>
                <w:color w:val="000000"/>
                <w:sz w:val="18"/>
                <w:szCs w:val="18"/>
                <w:lang w:eastAsia="es-ES"/>
              </w:rPr>
              <w:t>261.148</w:t>
            </w:r>
          </w:p>
        </w:tc>
        <w:tc>
          <w:tcPr>
            <w:tcW w:w="1118" w:type="dxa"/>
            <w:tcBorders>
              <w:top w:val="nil"/>
              <w:left w:val="nil"/>
              <w:bottom w:val="single" w:sz="12" w:space="0" w:color="auto"/>
              <w:right w:val="single" w:sz="12" w:space="0" w:color="auto"/>
            </w:tcBorders>
            <w:noWrap/>
            <w:tcMar>
              <w:top w:w="0" w:type="dxa"/>
              <w:left w:w="70" w:type="dxa"/>
              <w:bottom w:w="0" w:type="dxa"/>
              <w:right w:w="70" w:type="dxa"/>
            </w:tcMar>
            <w:vAlign w:val="bottom"/>
            <w:hideMark/>
          </w:tcPr>
          <w:p w14:paraId="257565AD" w14:textId="77777777" w:rsidR="00594B72" w:rsidRDefault="00594B72">
            <w:pPr>
              <w:jc w:val="right"/>
              <w:rPr>
                <w:color w:val="000000"/>
                <w:sz w:val="18"/>
                <w:szCs w:val="18"/>
                <w:lang w:eastAsia="es-ES"/>
              </w:rPr>
            </w:pPr>
            <w:r>
              <w:rPr>
                <w:color w:val="000000"/>
                <w:sz w:val="18"/>
                <w:szCs w:val="18"/>
                <w:lang w:eastAsia="es-ES"/>
              </w:rPr>
              <w:t>1.027.475</w:t>
            </w:r>
          </w:p>
        </w:tc>
      </w:tr>
    </w:tbl>
    <w:p w14:paraId="7AFB66FC" w14:textId="77777777" w:rsidR="00594B72" w:rsidRPr="00C6165A" w:rsidRDefault="00594B72" w:rsidP="00D81AB5">
      <w:pPr>
        <w:rPr>
          <w:b/>
          <w:bCs/>
        </w:rPr>
      </w:pPr>
    </w:p>
    <w:p w14:paraId="258DCB31" w14:textId="77777777" w:rsidR="00D81AB5" w:rsidRPr="00C6165A" w:rsidRDefault="00D81AB5" w:rsidP="00D81AB5">
      <w:pPr>
        <w:rPr>
          <w:bCs/>
        </w:rPr>
      </w:pPr>
    </w:p>
    <w:p w14:paraId="5A07C26D" w14:textId="6FBFA0EE" w:rsidR="00D81AB5" w:rsidRPr="00C6165A" w:rsidRDefault="00D81AB5" w:rsidP="00D81AB5">
      <w:pPr>
        <w:rPr>
          <w:bCs/>
        </w:rPr>
      </w:pPr>
      <w:r w:rsidRPr="00C6165A">
        <w:rPr>
          <w:bCs/>
        </w:rPr>
        <w:t>Los 22.626 afiliados inscritos en el Régimen general (trabajadores por cuenta ajena), han sufrido un incremento del 0.9% respecto al año anterior y los 38.286 del RETA (autónomos) un descenso del 1,18% respecto a 2021.</w:t>
      </w:r>
    </w:p>
    <w:p w14:paraId="76BAB918" w14:textId="4BB8CCAD" w:rsidR="00D81AB5" w:rsidRPr="00C6165A" w:rsidRDefault="00D81AB5" w:rsidP="00D81AB5">
      <w:pPr>
        <w:rPr>
          <w:bCs/>
        </w:rPr>
      </w:pPr>
      <w:r w:rsidRPr="00C6165A">
        <w:rPr>
          <w:bCs/>
        </w:rPr>
        <w:t>Si tenemos en cuenta a los autónomos agrarios no incluidos en el SETA, estos se han incrementado un 0,89%, pasando de 10.499 en 2021 a 10.593 en 2022 (no podemos olvidar que aquí también se incluyen los forestales y los de la acuicultura). Por el contrario, los encuadrados en el SETA se han reducido un 1,97%, pasando de 28.239 en 2021 a 27.693 en 2022.</w:t>
      </w:r>
    </w:p>
    <w:p w14:paraId="0B90D354" w14:textId="77777777" w:rsidR="00D81AB5" w:rsidRPr="00C6165A" w:rsidRDefault="00D81AB5" w:rsidP="00D81AB5">
      <w:pPr>
        <w:rPr>
          <w:bCs/>
        </w:rPr>
      </w:pPr>
    </w:p>
    <w:p w14:paraId="745BC454" w14:textId="77777777" w:rsidR="00D81AB5" w:rsidRPr="00C6165A" w:rsidRDefault="00D81AB5" w:rsidP="00D81AB5">
      <w:pPr>
        <w:rPr>
          <w:b/>
          <w:bCs/>
        </w:rPr>
      </w:pPr>
      <w:r w:rsidRPr="00C6165A">
        <w:rPr>
          <w:b/>
          <w:bCs/>
        </w:rPr>
        <w:t>Seguridad Social</w:t>
      </w:r>
    </w:p>
    <w:p w14:paraId="7F87B908" w14:textId="77777777" w:rsidR="00D81AB5" w:rsidRPr="00C6165A" w:rsidRDefault="00D81AB5" w:rsidP="00D81AB5">
      <w:pPr>
        <w:rPr>
          <w:b/>
          <w:bCs/>
        </w:rPr>
      </w:pPr>
      <w:r w:rsidRPr="00C6165A">
        <w:rPr>
          <w:bCs/>
        </w:rPr>
        <w:t xml:space="preserve">El sector agrario se verá afectado por el contenido del Real Decreto Ley por el que se establece un </w:t>
      </w:r>
      <w:r w:rsidRPr="00C6165A">
        <w:rPr>
          <w:b/>
          <w:bCs/>
        </w:rPr>
        <w:t>nuevo sistema de cotización para los trabajadores por cuenta propia o autónomos.</w:t>
      </w:r>
    </w:p>
    <w:p w14:paraId="14D2651D" w14:textId="77777777" w:rsidR="00D81AB5" w:rsidRPr="00C6165A" w:rsidRDefault="00D81AB5" w:rsidP="00D81AB5">
      <w:pPr>
        <w:rPr>
          <w:bCs/>
        </w:rPr>
      </w:pPr>
      <w:r w:rsidRPr="00C6165A">
        <w:rPr>
          <w:bCs/>
        </w:rPr>
        <w:t>Hasta ahora la base de cotización para los autónomos era voluntaria entre un máximo y un mínimo, pero a partir del 1 de enero de 2023 la base de cotización vendrá determinada por el volumen neto de ingresos que se obtengan en la actividad agropecuaria y si fuera el caso también en otras actividades secundarias como trabajadores por cuenta propia.</w:t>
      </w:r>
    </w:p>
    <w:p w14:paraId="667DD117" w14:textId="77777777" w:rsidR="00D81AB5" w:rsidRPr="00C6165A" w:rsidRDefault="00D81AB5" w:rsidP="00D81AB5">
      <w:pPr>
        <w:rPr>
          <w:bCs/>
        </w:rPr>
      </w:pPr>
      <w:r w:rsidRPr="00C6165A">
        <w:rPr>
          <w:bCs/>
        </w:rPr>
        <w:t xml:space="preserve">Se ha pactado y publicado un sistema transitorio para tres años, que finaliza en 2025, y que a partir de ese momento lo esperable es una subida importante respecto a lo que ahora se nos presenta. En este periodo transitorio de 2023 a 2025, habrá agricultores que paguen menos, otros que se queden parecido, y muchos que pagarán más, algunos mucho más. Por otra parte, el agricultor no sabrá cuánto le tocará pagar hasta año vencido cuando se haga la declaración del IRPF, por lo que la mayoría de los profesionales verán cómo se le hace una corrección en su cotización reclamando cuotas adicionales de meses pasados. Este sistema de recaudación, un tanto complicado administrativamente, ocasionará errores que lleven a descubiertos en la cuenta con la Seguridad Social, figurando como que no están al día en el pago y consecuentemente podría retrasar la percepción de ayudas como las de la PAC. </w:t>
      </w:r>
    </w:p>
    <w:p w14:paraId="03CB4B1B" w14:textId="77777777" w:rsidR="00D81AB5" w:rsidRPr="00C6165A" w:rsidRDefault="00D81AB5" w:rsidP="00D81AB5">
      <w:pPr>
        <w:rPr>
          <w:bCs/>
        </w:rPr>
      </w:pPr>
      <w:r w:rsidRPr="00C6165A">
        <w:rPr>
          <w:bCs/>
        </w:rPr>
        <w:t>La nueva norma mantiene la ventaja de los agricultores del SETA de pagar por un tipo de cotización inferior, el del 18,75%, en bases que no superen los 1.140 euros mensuales. Solo para las bases de cotización superiores, sobre la cuantía que exceda, se aplicará el tipo vigente en cada momento.</w:t>
      </w:r>
    </w:p>
    <w:p w14:paraId="07AA5F0C" w14:textId="77777777" w:rsidR="006F0A19" w:rsidRDefault="006F0A19" w:rsidP="00D81AB5">
      <w:pPr>
        <w:rPr>
          <w:bCs/>
        </w:rPr>
      </w:pPr>
    </w:p>
    <w:p w14:paraId="290D05EE" w14:textId="6FB4D709" w:rsidR="00D81AB5" w:rsidRPr="00C6165A" w:rsidRDefault="00D81AB5" w:rsidP="00D81AB5">
      <w:pPr>
        <w:rPr>
          <w:bCs/>
        </w:rPr>
      </w:pPr>
      <w:r w:rsidRPr="00C6165A">
        <w:rPr>
          <w:bCs/>
        </w:rPr>
        <w:t xml:space="preserve">En la ley de presupuestos generales del estado para 2021, se introdujo una disposición para mejorar las </w:t>
      </w:r>
      <w:r w:rsidRPr="00C6165A">
        <w:rPr>
          <w:b/>
          <w:bCs/>
        </w:rPr>
        <w:t>pensiones de jubilación</w:t>
      </w:r>
      <w:r w:rsidRPr="00C6165A">
        <w:rPr>
          <w:bCs/>
        </w:rPr>
        <w:t xml:space="preserve"> de los autónomos y asalariados del campo, respecto de la integración de lagunas de cotización, en los periodos en los que no existe la obligación de cotizar, implantando los mismos o equivalentes mecanismos a los previstos para la integración de lagunas de cotización en el Régimen General de la Seguridad Social.</w:t>
      </w:r>
    </w:p>
    <w:p w14:paraId="73A93AFF" w14:textId="77777777" w:rsidR="00D81AB5" w:rsidRPr="00C6165A" w:rsidRDefault="00D81AB5" w:rsidP="00D81AB5">
      <w:pPr>
        <w:rPr>
          <w:bCs/>
        </w:rPr>
      </w:pPr>
    </w:p>
    <w:p w14:paraId="3E494A0A" w14:textId="77777777" w:rsidR="00D81AB5" w:rsidRPr="00C6165A" w:rsidRDefault="00D81AB5" w:rsidP="00D81AB5">
      <w:pPr>
        <w:rPr>
          <w:bCs/>
        </w:rPr>
      </w:pPr>
      <w:proofErr w:type="gramStart"/>
      <w:r w:rsidRPr="00C6165A">
        <w:rPr>
          <w:bCs/>
        </w:rPr>
        <w:t>A día de hoy</w:t>
      </w:r>
      <w:proofErr w:type="gramEnd"/>
      <w:r w:rsidRPr="00C6165A">
        <w:rPr>
          <w:bCs/>
        </w:rPr>
        <w:t xml:space="preserve"> computan como cero la base de esos meses en lo que no ha habido cotización, mientras que, en el régimen general, excepto para los agrícolas por cuenta ajena, esos meses se cotizaría por el 100% de la base mínima para mayores de 18 años durante 48 meses y el resto de las mensualidades al 50% de la citada base mínima.</w:t>
      </w:r>
    </w:p>
    <w:p w14:paraId="1CAA2FC9" w14:textId="025C2997" w:rsidR="00D81AB5" w:rsidRDefault="00D81AB5" w:rsidP="00D81AB5">
      <w:pPr>
        <w:rPr>
          <w:bCs/>
        </w:rPr>
      </w:pPr>
      <w:r w:rsidRPr="00C6165A">
        <w:rPr>
          <w:bCs/>
        </w:rPr>
        <w:t>En ASAJA, seguimos insistiendo en la necesidad de que se hagan las reformas normativas necesarias para acabar con la discriminación que sufren los trabajadores del sector agrario.</w:t>
      </w:r>
    </w:p>
    <w:p w14:paraId="24B42494" w14:textId="77777777" w:rsidR="003C04FC" w:rsidRPr="00C6165A" w:rsidRDefault="003C04FC" w:rsidP="00D81AB5">
      <w:pPr>
        <w:rPr>
          <w:bCs/>
        </w:rPr>
      </w:pPr>
    </w:p>
    <w:p w14:paraId="47F7F6CE" w14:textId="77777777" w:rsidR="00D81AB5" w:rsidRPr="00C6165A" w:rsidRDefault="00D81AB5" w:rsidP="00D81AB5">
      <w:pPr>
        <w:rPr>
          <w:b/>
          <w:bCs/>
        </w:rPr>
      </w:pPr>
      <w:r w:rsidRPr="00C6165A">
        <w:rPr>
          <w:b/>
          <w:bCs/>
        </w:rPr>
        <w:t xml:space="preserve">Salario mínimo interprofesional </w:t>
      </w:r>
    </w:p>
    <w:p w14:paraId="0EC40CF0" w14:textId="4E08061F" w:rsidR="00D81AB5" w:rsidRPr="00C6165A" w:rsidRDefault="00D81AB5" w:rsidP="00D81AB5">
      <w:pPr>
        <w:rPr>
          <w:bCs/>
        </w:rPr>
      </w:pPr>
      <w:r w:rsidRPr="00C6165A">
        <w:rPr>
          <w:bCs/>
        </w:rPr>
        <w:t xml:space="preserve">El 23 de febrero de 2022 se fijó el Salario Mínimo Interprofesional para el 2022, quedando establecido en 1.000 euros al mes en 14 pagas, por lo tanto, 14.000 euros brutos al año. Para los trabajadores temporeros a los que se les pague la parte proporcional de domingos y festivos, así como las gratificaciones extraordinarias, el salario diario no podrá ser inferior a 47,36 euros, y se ha de añadir la parte correspondiente a vacaciones no disfrutadas. </w:t>
      </w:r>
    </w:p>
    <w:p w14:paraId="24DFAD7A" w14:textId="77777777" w:rsidR="00D81AB5" w:rsidRPr="00C6165A" w:rsidRDefault="00D81AB5" w:rsidP="00D81AB5">
      <w:pPr>
        <w:rPr>
          <w:bCs/>
        </w:rPr>
      </w:pPr>
    </w:p>
    <w:p w14:paraId="12310D56" w14:textId="77777777" w:rsidR="00D81AB5" w:rsidRPr="00C6165A" w:rsidRDefault="00D81AB5" w:rsidP="00D81AB5">
      <w:pPr>
        <w:rPr>
          <w:b/>
          <w:bCs/>
        </w:rPr>
      </w:pPr>
      <w:r w:rsidRPr="00C6165A">
        <w:rPr>
          <w:b/>
          <w:bCs/>
        </w:rPr>
        <w:t>Reforma Laboral</w:t>
      </w:r>
    </w:p>
    <w:p w14:paraId="7ED94DEB" w14:textId="77777777" w:rsidR="00D81AB5" w:rsidRPr="00C6165A" w:rsidRDefault="00D81AB5" w:rsidP="00D81AB5">
      <w:pPr>
        <w:rPr>
          <w:bCs/>
        </w:rPr>
      </w:pPr>
      <w:r w:rsidRPr="00C6165A">
        <w:rPr>
          <w:bCs/>
        </w:rPr>
        <w:t xml:space="preserve">El 31 de marzo de 2022 entró en vigor la reforma laboral cuyo principal objetivo es frenar la temporalidad en el mercado de trabajo. </w:t>
      </w:r>
    </w:p>
    <w:p w14:paraId="718F1A9E" w14:textId="77777777" w:rsidR="00D81AB5" w:rsidRPr="00C6165A" w:rsidRDefault="00D81AB5" w:rsidP="00D81AB5">
      <w:pPr>
        <w:rPr>
          <w:bCs/>
        </w:rPr>
      </w:pPr>
      <w:r w:rsidRPr="00C6165A">
        <w:rPr>
          <w:bCs/>
        </w:rPr>
        <w:t>Actualmente las posibilidades de contratación temporal quedan reducidas a la mínima expresión, y la mayor parte de los trabajadores van a tener que ser contratados como fijos. Desde ASAJA, insistimos que esta Reforma no responde a las necesidades del campo y aunque se solicitó a la Administración aclaración sobre qué tipo de contrato se ajusta a nuestro sector, la respuesta no aclara las dudas, por lo que determinados supuestos deberán ser interpretados por los jueces.</w:t>
      </w:r>
    </w:p>
    <w:p w14:paraId="19FD0F1F" w14:textId="77777777" w:rsidR="00D81AB5" w:rsidRPr="00C6165A" w:rsidRDefault="00D81AB5" w:rsidP="00D81AB5">
      <w:pPr>
        <w:rPr>
          <w:bCs/>
        </w:rPr>
      </w:pPr>
      <w:r w:rsidRPr="00C6165A">
        <w:rPr>
          <w:bCs/>
        </w:rPr>
        <w:t xml:space="preserve">Por ello, ASAJA considera que previsiblemente se crearán grandes “bolsas” de trabajadores fijos-discontinuos que generarán considerables dificultades de gestión, con los correspondientes costes económicos indirectos por la complicación en la gestión de la plantilla o directos si se optase por aligerar plantilla. Resulta especialmente preocupante, entre otros, para explotaciones con rotación de cultivos (porque no puede presuponerse la intercambiabilidad de trabajadores para faenas y tareas </w:t>
      </w:r>
      <w:proofErr w:type="spellStart"/>
      <w:r w:rsidRPr="00C6165A">
        <w:rPr>
          <w:bCs/>
        </w:rPr>
        <w:t>incardinables</w:t>
      </w:r>
      <w:proofErr w:type="spellEnd"/>
      <w:r w:rsidRPr="00C6165A">
        <w:rPr>
          <w:bCs/>
        </w:rPr>
        <w:t xml:space="preserve"> en distintos tipos de cultivo), y también cuando se depende de mano de obra extranjera contratada en origen.</w:t>
      </w:r>
    </w:p>
    <w:p w14:paraId="1C39C525" w14:textId="340EEF79" w:rsidR="00D81AB5" w:rsidRPr="00C6165A" w:rsidRDefault="00D81AB5" w:rsidP="00D81AB5">
      <w:pPr>
        <w:rPr>
          <w:bCs/>
        </w:rPr>
      </w:pPr>
      <w:r w:rsidRPr="00C6165A">
        <w:rPr>
          <w:bCs/>
        </w:rPr>
        <w:t>Otro problema, y no pequeño, es encontrar trabajadores en un momento en el que varios sectores demandan mano de obra. En este sentido, desde nuestra organización se ha solicitado a las administraciones competentes que planteen actuaciones que propicien una mayor disponibilidad de trabajadores.</w:t>
      </w:r>
    </w:p>
    <w:p w14:paraId="3C05B9BE" w14:textId="77777777" w:rsidR="00D81AB5" w:rsidRPr="00C6165A" w:rsidRDefault="00D81AB5" w:rsidP="00D81AB5">
      <w:pPr>
        <w:rPr>
          <w:bCs/>
        </w:rPr>
      </w:pPr>
    </w:p>
    <w:p w14:paraId="48CC7AC9" w14:textId="77777777" w:rsidR="007460F3" w:rsidRDefault="007460F3" w:rsidP="00D81AB5">
      <w:pPr>
        <w:rPr>
          <w:b/>
          <w:bCs/>
        </w:rPr>
      </w:pPr>
    </w:p>
    <w:p w14:paraId="7E491653" w14:textId="77777777" w:rsidR="007460F3" w:rsidRDefault="007460F3" w:rsidP="00D81AB5">
      <w:pPr>
        <w:rPr>
          <w:b/>
          <w:bCs/>
        </w:rPr>
      </w:pPr>
    </w:p>
    <w:p w14:paraId="6F4CEEB6" w14:textId="678F44A3" w:rsidR="00D81AB5" w:rsidRPr="00C6165A" w:rsidRDefault="00D81AB5" w:rsidP="00D81AB5">
      <w:pPr>
        <w:rPr>
          <w:b/>
          <w:bCs/>
        </w:rPr>
      </w:pPr>
      <w:r w:rsidRPr="00C6165A">
        <w:rPr>
          <w:b/>
          <w:bCs/>
        </w:rPr>
        <w:t>IRPF</w:t>
      </w:r>
    </w:p>
    <w:p w14:paraId="756EA6E3" w14:textId="77777777" w:rsidR="00D81AB5" w:rsidRPr="00C6165A" w:rsidRDefault="00D81AB5" w:rsidP="00D81AB5">
      <w:pPr>
        <w:rPr>
          <w:bCs/>
        </w:rPr>
      </w:pPr>
      <w:r w:rsidRPr="00C6165A">
        <w:rPr>
          <w:bCs/>
        </w:rPr>
        <w:t>En abril se publicó la Orden por la que se reducen, para agricultores y ganaderos, los índices de rendimiento neto aplicables en 2021 en el sistema de estimación objetiva del IRPF (o de módulos).</w:t>
      </w:r>
    </w:p>
    <w:p w14:paraId="31054C86" w14:textId="77777777" w:rsidR="00D81AB5" w:rsidRPr="00C6165A" w:rsidRDefault="00D81AB5" w:rsidP="00D81AB5">
      <w:pPr>
        <w:rPr>
          <w:bCs/>
        </w:rPr>
      </w:pPr>
      <w:r w:rsidRPr="00C6165A">
        <w:rPr>
          <w:bCs/>
        </w:rPr>
        <w:t>Aunque hay que agradecer que parte de las propuestas de ASAJA hayan quedado recogidas, y en especial que se recogieran todos los sectores ganaderos o los cultivos de regadío que utilicen energía eléctrica, otras fueron ignoradas por Hacienda, siendo especialmente grave el olvido de la patata.</w:t>
      </w:r>
    </w:p>
    <w:p w14:paraId="33558679" w14:textId="77777777" w:rsidR="00D81AB5" w:rsidRPr="00C6165A" w:rsidRDefault="00D81AB5" w:rsidP="00D81AB5">
      <w:pPr>
        <w:rPr>
          <w:bCs/>
        </w:rPr>
      </w:pPr>
      <w:r w:rsidRPr="00C6165A">
        <w:rPr>
          <w:bCs/>
        </w:rPr>
        <w:t>Esta reducción se suma a la del 20% en el rendimiento neto aprobada para todo el sector agrario en el Real Decreto Ley 4/2022 de medidas para paliar los efectos de la sequía y el incremento de los costes de producción.</w:t>
      </w:r>
    </w:p>
    <w:p w14:paraId="7314A8F8" w14:textId="77777777" w:rsidR="00D81AB5" w:rsidRPr="00C6165A" w:rsidRDefault="00D81AB5" w:rsidP="00D81AB5">
      <w:pPr>
        <w:rPr>
          <w:bCs/>
        </w:rPr>
      </w:pPr>
      <w:r w:rsidRPr="00C6165A">
        <w:rPr>
          <w:bCs/>
        </w:rPr>
        <w:t>No obstante, independientemente del sistema tributario, desde ASAJA seguimos reivindicando que se cumpla con la obligación de establecer una modalidad de contrato de suministro eléctrico que contemple dos potencias al año, máxime cuando en la actualidad los costes eléctricos se han disparado y resultan inasumibles para los agricultores.</w:t>
      </w:r>
    </w:p>
    <w:p w14:paraId="7AA32A33" w14:textId="42B37E1F" w:rsidR="00D81AB5" w:rsidRPr="00C6165A" w:rsidRDefault="00D81AB5" w:rsidP="00D81AB5">
      <w:pPr>
        <w:rPr>
          <w:bCs/>
        </w:rPr>
      </w:pPr>
      <w:r w:rsidRPr="00C6165A">
        <w:rPr>
          <w:bCs/>
        </w:rPr>
        <w:t>Por último, hay que señalar que estas medidas benefician exclusivamente a las explotaciones que están adscritas al sistema de módulos, que numéricamente son las más numerosas, pero deja fuera a otras que están obligadas a cotizar en otro régimen fiscal, bien por estar más dimensionadas o bien por gestionarse bajo fórmulas jurídicas asociativas, algo muy frecuente en el caso de granjas ganaderas como el vacuno de leche.</w:t>
      </w:r>
    </w:p>
    <w:p w14:paraId="7AFA4BC4" w14:textId="77777777" w:rsidR="00D81AB5" w:rsidRPr="00C6165A" w:rsidRDefault="00D81AB5" w:rsidP="00D81AB5">
      <w:pPr>
        <w:rPr>
          <w:bCs/>
        </w:rPr>
      </w:pPr>
    </w:p>
    <w:p w14:paraId="6096ED52" w14:textId="77777777" w:rsidR="00D81AB5" w:rsidRPr="00C6165A" w:rsidRDefault="00D81AB5" w:rsidP="00D81AB5">
      <w:pPr>
        <w:rPr>
          <w:b/>
          <w:bCs/>
        </w:rPr>
      </w:pPr>
      <w:r w:rsidRPr="00C6165A">
        <w:rPr>
          <w:b/>
          <w:bCs/>
        </w:rPr>
        <w:t>Beneficios fiscales en explotaciones prioritarias</w:t>
      </w:r>
    </w:p>
    <w:p w14:paraId="191B5A4D" w14:textId="77777777" w:rsidR="00D81AB5" w:rsidRPr="00C6165A" w:rsidRDefault="00D81AB5" w:rsidP="00D81AB5">
      <w:pPr>
        <w:rPr>
          <w:bCs/>
        </w:rPr>
      </w:pPr>
      <w:r w:rsidRPr="00C6165A">
        <w:rPr>
          <w:bCs/>
        </w:rPr>
        <w:t>ASAJA ha conseguido que los tribunales confirmen las reivindicaciones y recursos presentados por los agricultores para que se apliquen los beneficios fiscales de explotación prioritaria a todos los profesionales agrícolas y ganaderos que adquieran fincas rústicas o bienes inmuebles, también en el caso de ser matrimonio en régimen de gananciales y que desde la Junta se les negaba.</w:t>
      </w:r>
    </w:p>
    <w:p w14:paraId="49640AF2" w14:textId="77777777" w:rsidR="00D81AB5" w:rsidRPr="00C6165A" w:rsidRDefault="00D81AB5" w:rsidP="00D81AB5">
      <w:pPr>
        <w:rPr>
          <w:bCs/>
        </w:rPr>
      </w:pPr>
      <w:r w:rsidRPr="00C6165A">
        <w:rPr>
          <w:bCs/>
        </w:rPr>
        <w:t>Desde varias provincias de Castilla y León, ASAJA ha ido presentando desde el año 2019 varias alegaciones, recursos y reclamaciones económico-administrativas ante diferentes organismos autonómicos y tribunales para que la aplicación de los beneficios fiscales de explotación prioritaria por la adquisición de fincas rústicas alcance sin discriminación alguna a los dos miembros del matrimonio que están en régimen de gananciales.</w:t>
      </w:r>
    </w:p>
    <w:p w14:paraId="1E04D0FD" w14:textId="77777777" w:rsidR="00D81AB5" w:rsidRPr="00C6165A" w:rsidRDefault="00D81AB5" w:rsidP="00D81AB5">
      <w:pPr>
        <w:rPr>
          <w:bCs/>
        </w:rPr>
      </w:pPr>
      <w:r w:rsidRPr="00C6165A">
        <w:rPr>
          <w:bCs/>
        </w:rPr>
        <w:t>Los tribunales económicos administrativos de Castilla y León, basándose en las sentencias de los Tribunales Superiores de Justicia de la Rioja en 2013 y de Extremadura en 2021, han resuelto los recursos considerando la adquisición ganancial como una “titularidad compartida”. Así, se debe aplicar la rebaja impositiva a todo el bien adquirido y no sólo a la parte correspondiente al titular que adquiere el bien.</w:t>
      </w:r>
    </w:p>
    <w:p w14:paraId="39D2430A" w14:textId="6F399C9B" w:rsidR="00D81AB5" w:rsidRPr="00C6165A" w:rsidRDefault="00D81AB5" w:rsidP="00D81AB5">
      <w:pPr>
        <w:rPr>
          <w:bCs/>
        </w:rPr>
      </w:pPr>
      <w:r w:rsidRPr="00C6165A">
        <w:rPr>
          <w:bCs/>
        </w:rPr>
        <w:t>Desde que los tribunales nos dieran la razón, ASAJA anima a aquellos profesionales que hayan aplicado el beneficio fiscal únicamente al 50% de la adquisición de fincas rústicas, a que tramiten y gestionen la devolución de ingresos indebidos correspondientes.</w:t>
      </w:r>
    </w:p>
    <w:p w14:paraId="1039D0A3" w14:textId="77777777" w:rsidR="00D81AB5" w:rsidRPr="00C6165A" w:rsidRDefault="00D81AB5" w:rsidP="00D81AB5">
      <w:pPr>
        <w:rPr>
          <w:bCs/>
        </w:rPr>
      </w:pPr>
    </w:p>
    <w:p w14:paraId="400B9138" w14:textId="77777777" w:rsidR="007460F3" w:rsidRDefault="007460F3" w:rsidP="00D81AB5">
      <w:pPr>
        <w:rPr>
          <w:b/>
          <w:bCs/>
        </w:rPr>
      </w:pPr>
    </w:p>
    <w:p w14:paraId="18EAF53A" w14:textId="77777777" w:rsidR="007460F3" w:rsidRDefault="007460F3" w:rsidP="00D81AB5">
      <w:pPr>
        <w:rPr>
          <w:b/>
          <w:bCs/>
        </w:rPr>
      </w:pPr>
    </w:p>
    <w:p w14:paraId="5262BB43" w14:textId="08CE6B52" w:rsidR="00D81AB5" w:rsidRPr="00C6165A" w:rsidRDefault="00D81AB5" w:rsidP="00D81AB5">
      <w:pPr>
        <w:rPr>
          <w:b/>
          <w:bCs/>
        </w:rPr>
      </w:pPr>
      <w:r w:rsidRPr="00C6165A">
        <w:rPr>
          <w:b/>
          <w:bCs/>
        </w:rPr>
        <w:t>Medidas fiscales en Castilla y León</w:t>
      </w:r>
    </w:p>
    <w:p w14:paraId="614C84C0" w14:textId="7DCC28B5" w:rsidR="00D86D7F" w:rsidRPr="00D86D7F" w:rsidRDefault="00442DF3" w:rsidP="00D86D7F">
      <w:pPr>
        <w:suppressAutoHyphens/>
        <w:rPr>
          <w:bCs/>
        </w:rPr>
      </w:pPr>
      <w:r>
        <w:rPr>
          <w:bCs/>
        </w:rPr>
        <w:t>En</w:t>
      </w:r>
      <w:r w:rsidR="00D86D7F" w:rsidRPr="00D86D7F">
        <w:rPr>
          <w:bCs/>
        </w:rPr>
        <w:t xml:space="preserve"> diciembre se publicó la Ley de Rebajas Tributarias en Castilla y León para dinamizar la actividad económica, la inversión y el consumo, así como facilitar la creación de empleo e impulsar la recuperación económica.</w:t>
      </w:r>
    </w:p>
    <w:p w14:paraId="4F8D9BE8" w14:textId="77777777" w:rsidR="00D86D7F" w:rsidRPr="00D86D7F" w:rsidRDefault="00D86D7F" w:rsidP="00D86D7F">
      <w:pPr>
        <w:suppressAutoHyphens/>
        <w:rPr>
          <w:bCs/>
        </w:rPr>
      </w:pPr>
      <w:r w:rsidRPr="00D86D7F">
        <w:rPr>
          <w:bCs/>
        </w:rPr>
        <w:t>Entre las medidas de apoyo al sector agrario destacan:</w:t>
      </w:r>
    </w:p>
    <w:p w14:paraId="06A2EB2D" w14:textId="77777777" w:rsidR="00D86D7F" w:rsidRPr="00D86D7F" w:rsidRDefault="00D86D7F" w:rsidP="00D86D7F">
      <w:pPr>
        <w:numPr>
          <w:ilvl w:val="0"/>
          <w:numId w:val="34"/>
        </w:numPr>
        <w:suppressAutoHyphens/>
        <w:rPr>
          <w:bCs/>
        </w:rPr>
      </w:pPr>
      <w:r w:rsidRPr="00D86D7F">
        <w:rPr>
          <w:bCs/>
        </w:rPr>
        <w:t xml:space="preserve">La bonificación del 100% de la cuota del impuesto correspondiente para los arrendamientos de fincas rústicas, de forma que se equipare su tributación a la de los arrendamientos de inmuebles urbanos. Para ello el arrendatario debe tener la condición de agricultor profesional y ser titular de una explotación agraria prioritaria a la que queden afectos los elementos arrendados. Esta bonificación es positiva, aunque no tiene mucha importancia cuantitativa porque la mayoría de los contratos son verbales y no constan por escrito, circunstancia que genera desprotección de los profesionales, por lo que debería fomentarse que los contratos de arrendamiento consten por escrito conforme a la Ley, dando seguridad a arrendador y arrendatario. </w:t>
      </w:r>
    </w:p>
    <w:p w14:paraId="3324D34C" w14:textId="77777777" w:rsidR="00D86D7F" w:rsidRPr="00D86D7F" w:rsidRDefault="00D86D7F" w:rsidP="00D86D7F">
      <w:pPr>
        <w:numPr>
          <w:ilvl w:val="0"/>
          <w:numId w:val="34"/>
        </w:numPr>
        <w:suppressAutoHyphens/>
        <w:rPr>
          <w:bCs/>
        </w:rPr>
      </w:pPr>
      <w:r w:rsidRPr="00D86D7F">
        <w:rPr>
          <w:bCs/>
        </w:rPr>
        <w:t xml:space="preserve">Por otra parte, en el Impuesto sobre transmisiones patrimoniales onerosas y actos jurídicos documentados se establece un tipo reducido del 4% aplicable a la transmisión de explotaciones agrarias para aquellas personas que ejerzan la agricultura profesional. Esto supondrá una mejora respecto al tipo general del 8% o del incrementado del 10%. </w:t>
      </w:r>
    </w:p>
    <w:p w14:paraId="26CADC0F" w14:textId="77777777" w:rsidR="00D86D7F" w:rsidRPr="00D86D7F" w:rsidRDefault="00D86D7F" w:rsidP="00D86D7F">
      <w:pPr>
        <w:numPr>
          <w:ilvl w:val="0"/>
          <w:numId w:val="34"/>
        </w:numPr>
        <w:suppressAutoHyphens/>
        <w:rPr>
          <w:bCs/>
        </w:rPr>
      </w:pPr>
      <w:r w:rsidRPr="00D86D7F">
        <w:rPr>
          <w:bCs/>
        </w:rPr>
        <w:t>Por último, en las tasas de la Comunidad, se aprueba una bonificación del 100% de las tasas en materia de transporte por carretera y por la prestación de servicios veterinarios durante tres meses, desde la entrada en vigor de la ley.</w:t>
      </w:r>
    </w:p>
    <w:p w14:paraId="4F68EFEF" w14:textId="77777777" w:rsidR="00D86D7F" w:rsidRPr="00D86D7F" w:rsidRDefault="00D86D7F" w:rsidP="00D86D7F">
      <w:pPr>
        <w:suppressAutoHyphens/>
        <w:rPr>
          <w:bCs/>
        </w:rPr>
      </w:pPr>
      <w:r w:rsidRPr="00D86D7F">
        <w:rPr>
          <w:bCs/>
        </w:rPr>
        <w:t>ASAJA considera que, en estos momentos de máxima incertidumbre para las explotaciones agrarias y ganaderas son fundamentales estas medidas de alivio fiscal y cualquier otra que se tome en este sentido, como es esperable y hasta exigible, por parte del Gobierno de España.</w:t>
      </w:r>
    </w:p>
    <w:p w14:paraId="31EB5703" w14:textId="6399340B" w:rsidR="006B6CD6" w:rsidRPr="00C6165A" w:rsidRDefault="006B6CD6" w:rsidP="00D5252F">
      <w:pPr>
        <w:suppressAutoHyphens/>
        <w:jc w:val="center"/>
      </w:pPr>
    </w:p>
    <w:p w14:paraId="076E6D21" w14:textId="77777777" w:rsidR="00D81AB5" w:rsidRPr="00C6165A" w:rsidRDefault="00D81AB5" w:rsidP="00D5252F">
      <w:pPr>
        <w:suppressAutoHyphens/>
        <w:jc w:val="center"/>
      </w:pPr>
    </w:p>
    <w:p w14:paraId="4A18D448" w14:textId="354D2735" w:rsidR="008953BE" w:rsidRDefault="008953BE" w:rsidP="008953BE">
      <w:pPr>
        <w:suppressAutoHyphens/>
        <w:jc w:val="center"/>
        <w:rPr>
          <w:b/>
        </w:rPr>
      </w:pPr>
      <w:r>
        <w:rPr>
          <w:b/>
        </w:rPr>
        <w:t>CUENTAS ECONÓMICAS DEL SECTOR</w:t>
      </w:r>
    </w:p>
    <w:p w14:paraId="6BE5F0FF" w14:textId="77777777" w:rsidR="008953BE" w:rsidRDefault="008953BE" w:rsidP="008953BE">
      <w:pPr>
        <w:suppressAutoHyphens/>
        <w:jc w:val="center"/>
        <w:rPr>
          <w:b/>
        </w:rPr>
      </w:pPr>
    </w:p>
    <w:p w14:paraId="6ECA9325" w14:textId="0D2B1D89" w:rsidR="008953BE" w:rsidRPr="008953BE" w:rsidRDefault="008953BE" w:rsidP="008953BE">
      <w:pPr>
        <w:suppressAutoHyphens/>
        <w:rPr>
          <w:bCs/>
        </w:rPr>
      </w:pPr>
      <w:r w:rsidRPr="008953BE">
        <w:rPr>
          <w:bCs/>
        </w:rPr>
        <w:t xml:space="preserve">La primera estimación de la </w:t>
      </w:r>
      <w:r w:rsidRPr="007460F3">
        <w:rPr>
          <w:b/>
        </w:rPr>
        <w:t>Renta Agraria</w:t>
      </w:r>
      <w:r w:rsidRPr="008953BE">
        <w:rPr>
          <w:bCs/>
        </w:rPr>
        <w:t xml:space="preserve">, en términos corrientes, para 2022 prevé </w:t>
      </w:r>
      <w:r w:rsidRPr="007460F3">
        <w:rPr>
          <w:b/>
        </w:rPr>
        <w:t>un descenso interanual del 5,5%,</w:t>
      </w:r>
      <w:r w:rsidRPr="008953BE">
        <w:rPr>
          <w:bCs/>
        </w:rPr>
        <w:t xml:space="preserve"> situándose en 27.860,5 M€.</w:t>
      </w:r>
    </w:p>
    <w:p w14:paraId="46815E13" w14:textId="77777777" w:rsidR="008953BE" w:rsidRDefault="008953BE" w:rsidP="008953BE">
      <w:pPr>
        <w:suppressAutoHyphens/>
        <w:rPr>
          <w:bCs/>
        </w:rPr>
      </w:pPr>
    </w:p>
    <w:p w14:paraId="6C7BD62B" w14:textId="41431B76" w:rsidR="008953BE" w:rsidRPr="008953BE" w:rsidRDefault="008953BE" w:rsidP="008953BE">
      <w:pPr>
        <w:suppressAutoHyphens/>
        <w:rPr>
          <w:bCs/>
        </w:rPr>
      </w:pPr>
      <w:r w:rsidRPr="008953BE">
        <w:rPr>
          <w:bCs/>
        </w:rPr>
        <w:t xml:space="preserve">El principal factor que ha contribuido a este descenso ha sido un fuerte incremento del valor de los </w:t>
      </w:r>
      <w:r w:rsidRPr="007460F3">
        <w:rPr>
          <w:b/>
        </w:rPr>
        <w:t>consumos intermedios</w:t>
      </w:r>
      <w:r w:rsidRPr="008953BE">
        <w:rPr>
          <w:bCs/>
        </w:rPr>
        <w:t xml:space="preserve">, derivado de la coyuntura internacional consecuencia, principalmente, de la guerra de Ucrania. Dicho incremento, del </w:t>
      </w:r>
      <w:r w:rsidRPr="007460F3">
        <w:rPr>
          <w:b/>
        </w:rPr>
        <w:t>+29,9% en valor</w:t>
      </w:r>
      <w:r w:rsidRPr="008953BE">
        <w:rPr>
          <w:bCs/>
        </w:rPr>
        <w:t xml:space="preserve">, es debido al fuerte alza de sus precios (+31,2%), si bien la cantidad </w:t>
      </w:r>
      <w:r>
        <w:rPr>
          <w:bCs/>
        </w:rPr>
        <w:t xml:space="preserve">de insumos </w:t>
      </w:r>
      <w:r w:rsidRPr="008953BE">
        <w:rPr>
          <w:bCs/>
        </w:rPr>
        <w:t xml:space="preserve">utilizada ha descendido un 1 %. Este aumento viene determinado fundamentalmente por los piensos (+34,6%), que suponen más de la mitad del valor de los consumos intermedios. A ello se unen incrementos de valor de la energía y los lubricantes (+49,6%), de los fertilizantes (+62,1%) y de los productos fitosanitarios (+20,3%). </w:t>
      </w:r>
    </w:p>
    <w:p w14:paraId="458F33B2" w14:textId="77777777" w:rsidR="008953BE" w:rsidRDefault="008953BE" w:rsidP="008953BE">
      <w:pPr>
        <w:suppressAutoHyphens/>
        <w:rPr>
          <w:bCs/>
        </w:rPr>
      </w:pPr>
    </w:p>
    <w:p w14:paraId="28ED421A" w14:textId="6B2EA6FC" w:rsidR="008953BE" w:rsidRPr="008953BE" w:rsidRDefault="008953BE" w:rsidP="008953BE">
      <w:pPr>
        <w:suppressAutoHyphens/>
        <w:rPr>
          <w:bCs/>
        </w:rPr>
      </w:pPr>
      <w:r w:rsidRPr="008953BE">
        <w:rPr>
          <w:bCs/>
        </w:rPr>
        <w:t xml:space="preserve">Estas aportaciones a la baja se </w:t>
      </w:r>
      <w:r>
        <w:rPr>
          <w:bCs/>
        </w:rPr>
        <w:t xml:space="preserve">han visto solo </w:t>
      </w:r>
      <w:r w:rsidRPr="008953BE">
        <w:rPr>
          <w:bCs/>
        </w:rPr>
        <w:t xml:space="preserve">en parte contrarrestadas por un </w:t>
      </w:r>
      <w:r w:rsidRPr="007460F3">
        <w:rPr>
          <w:b/>
        </w:rPr>
        <w:t>incremento del valor de la producción de la rama agraria (+11,7%)</w:t>
      </w:r>
      <w:r w:rsidRPr="008953BE">
        <w:rPr>
          <w:bCs/>
        </w:rPr>
        <w:t>, sustentado principalmente por la producción animal que aporta 17 puntos a la variación de la renta debido a un comportamiento al alza de los precios. Por su parte la producción vegetal experimenta una fuerte caída en volúmenes producidos (-14,7%), descenso que es compensado por una subida en precios (+22,1%), aportando finalmente 4,9 puntos a la variación interanual de la renta.</w:t>
      </w:r>
    </w:p>
    <w:p w14:paraId="764ABA09" w14:textId="4B7C7D60" w:rsidR="008953BE" w:rsidRDefault="008953BE" w:rsidP="00A35A55">
      <w:pPr>
        <w:suppressAutoHyphens/>
        <w:jc w:val="center"/>
        <w:rPr>
          <w:b/>
        </w:rPr>
      </w:pPr>
    </w:p>
    <w:p w14:paraId="01E2B71A" w14:textId="77777777" w:rsidR="007460F3" w:rsidRDefault="007460F3" w:rsidP="00A35A55">
      <w:pPr>
        <w:suppressAutoHyphens/>
        <w:jc w:val="center"/>
        <w:rPr>
          <w:b/>
        </w:rPr>
      </w:pPr>
    </w:p>
    <w:p w14:paraId="48FA32AF" w14:textId="310DB7A3" w:rsidR="00A35A55" w:rsidRDefault="00A35A55" w:rsidP="00A35A55">
      <w:pPr>
        <w:suppressAutoHyphens/>
        <w:jc w:val="center"/>
        <w:rPr>
          <w:b/>
        </w:rPr>
      </w:pPr>
      <w:r w:rsidRPr="00C6165A">
        <w:rPr>
          <w:b/>
        </w:rPr>
        <w:t>DESPOBLACIÓN</w:t>
      </w:r>
    </w:p>
    <w:p w14:paraId="44ED0B45" w14:textId="77777777" w:rsidR="00442DF3" w:rsidRPr="00C6165A" w:rsidRDefault="00442DF3" w:rsidP="00A35A55">
      <w:pPr>
        <w:suppressAutoHyphens/>
        <w:jc w:val="center"/>
        <w:rPr>
          <w:b/>
        </w:rPr>
      </w:pPr>
    </w:p>
    <w:p w14:paraId="41774B6D" w14:textId="77777777" w:rsidR="00A35A55" w:rsidRPr="00C6165A" w:rsidRDefault="00A35A55" w:rsidP="00A35A55">
      <w:pPr>
        <w:suppressAutoHyphens/>
      </w:pPr>
      <w:r w:rsidRPr="00C6165A">
        <w:t>Más de tres de cada cinco municipios de Castilla y León se encuentran en riesgo grave de quedarse sin población. En concreto, se trata de 1.402 de los 2.248 núcleos poblacionales existentes en la Comunidad, que ocupan el 63,34% del territorio, pero en los que solo vive el 9,59% de los habitantes de Castilla y León.</w:t>
      </w:r>
    </w:p>
    <w:p w14:paraId="18956500" w14:textId="77777777" w:rsidR="00A35A55" w:rsidRPr="00C6165A" w:rsidRDefault="00A35A55" w:rsidP="00A35A55">
      <w:pPr>
        <w:suppressAutoHyphens/>
      </w:pPr>
      <w:r w:rsidRPr="00C6165A">
        <w:t xml:space="preserve">Así lo refleja el documento técnico del </w:t>
      </w:r>
      <w:r w:rsidRPr="00C6165A">
        <w:rPr>
          <w:b/>
          <w:bCs/>
        </w:rPr>
        <w:t>informe sobre el sector agroalimentario de la Comunidad elaborado a iniciativa propia por el Consejo Económico y Social de Castilla y León</w:t>
      </w:r>
      <w:r w:rsidRPr="00C6165A">
        <w:t>, que muestra cómo nuestra Comunidad es la que cuenta con un mayor número de municipios en este régimen de riesgo grave de despoblamiento.</w:t>
      </w:r>
    </w:p>
    <w:p w14:paraId="38014891" w14:textId="77777777" w:rsidR="00442DF3" w:rsidRDefault="00442DF3" w:rsidP="00A35A55">
      <w:pPr>
        <w:suppressAutoHyphens/>
      </w:pPr>
    </w:p>
    <w:p w14:paraId="365060A8" w14:textId="54D63021" w:rsidR="00A35A55" w:rsidRPr="00C6165A" w:rsidRDefault="00A35A55" w:rsidP="00A35A55">
      <w:pPr>
        <w:suppressAutoHyphens/>
      </w:pPr>
      <w:r w:rsidRPr="00C6165A">
        <w:t xml:space="preserve">El 21 de octubre se constituyó el </w:t>
      </w:r>
      <w:r w:rsidRPr="00C6165A">
        <w:rPr>
          <w:b/>
          <w:bCs/>
        </w:rPr>
        <w:t>Consejo de Dinamización Demográfica</w:t>
      </w:r>
      <w:r w:rsidRPr="00C6165A">
        <w:t xml:space="preserve"> como órgano colegiado de carácter consultivo, deliberante, de asesoramiento y participación social en materia de población y dinamización demográfica. Otro foro de interlocución más de los que se llevan constituyendo durante muchos años para solucionar el problema de la despoblación y sigue sin darse ninguna solución para arreglarlo. </w:t>
      </w:r>
    </w:p>
    <w:p w14:paraId="4498D496" w14:textId="488EC716" w:rsidR="00A35A55" w:rsidRPr="00C6165A" w:rsidRDefault="00A35A55" w:rsidP="00A35A55">
      <w:pPr>
        <w:suppressAutoHyphens/>
      </w:pPr>
      <w:r w:rsidRPr="00C6165A">
        <w:t>ASAJA considera que la agricultura y la ganadería son el primer motor económico y de empleo del mundo rural, y podría serlo más si las sombras actuales que pesan sobre el campo, como la falta de rentabilidad y el envejecimiento, fueran despejadas con un apoyo decidido de las administraciones.</w:t>
      </w:r>
    </w:p>
    <w:p w14:paraId="36206A3D" w14:textId="77777777" w:rsidR="00A35A55" w:rsidRPr="00C6165A" w:rsidRDefault="00A35A55" w:rsidP="00A35A55">
      <w:pPr>
        <w:suppressAutoHyphens/>
      </w:pPr>
      <w:r w:rsidRPr="00C6165A">
        <w:t>ASAJA pedirá en este nuevo foro medidas políticas favorables para una mayor competitividad productiva, con el regadío como objetivo principal, y también a una mayor transformación de nuestras producciones, que permitan mejorar la posición de Castilla y León como comunidad exportadora. En el plano social, falta mano de obra estable en los pueblos, y para mantener a las familias hay que contar con una red sólida de servicios sanitarios, educativos, de transporte y también de digitalización.</w:t>
      </w:r>
    </w:p>
    <w:p w14:paraId="39E65BBE" w14:textId="77777777" w:rsidR="00442DF3" w:rsidRDefault="00442DF3" w:rsidP="00A35A55">
      <w:pPr>
        <w:suppressAutoHyphens/>
      </w:pPr>
    </w:p>
    <w:p w14:paraId="3A98847B" w14:textId="4A3E1640" w:rsidR="00A35A55" w:rsidRPr="00C6165A" w:rsidRDefault="00A35A55" w:rsidP="00A35A55">
      <w:pPr>
        <w:suppressAutoHyphens/>
      </w:pPr>
      <w:r w:rsidRPr="00C6165A">
        <w:t xml:space="preserve">Está en tramitación una ley destinada a garantizar los servicios financieros en la España vaciada, a través de cuatro modalidades: </w:t>
      </w:r>
      <w:r w:rsidR="00442DF3">
        <w:t>l</w:t>
      </w:r>
      <w:r w:rsidRPr="00C6165A">
        <w:t>as sucursales clásicas, con la condición de estar abiertas en los horarios habituales</w:t>
      </w:r>
      <w:r w:rsidR="00442DF3">
        <w:t>; l</w:t>
      </w:r>
      <w:r w:rsidRPr="00C6165A">
        <w:t>os agentes financieros, bien con oficina permanente o con rutas</w:t>
      </w:r>
      <w:r w:rsidR="00442DF3">
        <w:t>; l</w:t>
      </w:r>
      <w:r w:rsidRPr="00C6165A">
        <w:t>a oficina móvil, que debería prestar los servicios al menos una vez a la semana</w:t>
      </w:r>
      <w:r w:rsidR="00442DF3">
        <w:t xml:space="preserve">; </w:t>
      </w:r>
      <w:proofErr w:type="gramStart"/>
      <w:r w:rsidRPr="00C6165A">
        <w:t>y</w:t>
      </w:r>
      <w:proofErr w:type="gramEnd"/>
      <w:r w:rsidRPr="00C6165A">
        <w:t xml:space="preserve"> por último</w:t>
      </w:r>
      <w:r w:rsidR="00442DF3">
        <w:t>,</w:t>
      </w:r>
      <w:r w:rsidRPr="00C6165A">
        <w:t xml:space="preserve"> los cajeros convencionales, que tendrán que funcionar las 24 horas todos los días.</w:t>
      </w:r>
    </w:p>
    <w:p w14:paraId="06A44535" w14:textId="4699753D" w:rsidR="00D5252F" w:rsidRPr="00C6165A" w:rsidRDefault="00D5252F" w:rsidP="00D5252F">
      <w:pPr>
        <w:suppressAutoHyphens/>
      </w:pPr>
    </w:p>
    <w:p w14:paraId="08338B37" w14:textId="77777777" w:rsidR="00A35A55" w:rsidRPr="00C6165A" w:rsidRDefault="00A35A55" w:rsidP="00D5252F">
      <w:pPr>
        <w:suppressAutoHyphens/>
      </w:pPr>
    </w:p>
    <w:p w14:paraId="79CDEB11" w14:textId="19597B81" w:rsidR="00D5252F" w:rsidRDefault="00D5252F" w:rsidP="00D5252F">
      <w:pPr>
        <w:suppressAutoHyphens/>
        <w:jc w:val="center"/>
        <w:rPr>
          <w:b/>
        </w:rPr>
      </w:pPr>
      <w:r w:rsidRPr="00C6165A">
        <w:rPr>
          <w:b/>
        </w:rPr>
        <w:t>MEDIO AMBIENTE</w:t>
      </w:r>
    </w:p>
    <w:p w14:paraId="18E3BB8A" w14:textId="77777777" w:rsidR="00442DF3" w:rsidRPr="00C6165A" w:rsidRDefault="00442DF3" w:rsidP="00D5252F">
      <w:pPr>
        <w:suppressAutoHyphens/>
        <w:jc w:val="center"/>
      </w:pPr>
    </w:p>
    <w:p w14:paraId="516D3E85" w14:textId="77777777" w:rsidR="00D86D7F" w:rsidRPr="00D86D7F" w:rsidRDefault="00D86D7F" w:rsidP="00D86D7F">
      <w:pPr>
        <w:suppressAutoHyphens/>
      </w:pPr>
      <w:r w:rsidRPr="00D86D7F">
        <w:t xml:space="preserve">El Ministerio para la Transición Ecológica y el Reto Demográfico publicó en septiembre de 2021 una modificación del Listado de Especies Silvestres en Régimen de Protección Especial (LESPRE) para incluir a todas las poblaciones de </w:t>
      </w:r>
      <w:r w:rsidRPr="00D86D7F">
        <w:rPr>
          <w:b/>
          <w:bCs/>
        </w:rPr>
        <w:t>lobo ibérico</w:t>
      </w:r>
      <w:r w:rsidRPr="00D86D7F">
        <w:t xml:space="preserve"> presentes en la geografía española y, por tanto, el lobo deja de ser especie cinegética también al norte del Duero.</w:t>
      </w:r>
    </w:p>
    <w:p w14:paraId="67044490" w14:textId="4292FA42" w:rsidR="00D86D7F" w:rsidRPr="00D86D7F" w:rsidRDefault="00D86D7F" w:rsidP="00D86D7F">
      <w:pPr>
        <w:suppressAutoHyphens/>
      </w:pPr>
      <w:r w:rsidRPr="00D86D7F">
        <w:t xml:space="preserve">Desde ese momento, ASAJA de Castilla y León ha venido denunciado la total vulnerabilidad del ganadero frente a los ataques del lobo, que hoy por hoy están excluidos de cualquier posible indemnización al norte del río Duero por parte de las administraciones.  La orden de inclusión en el LESPRE del lobo defendida por el Ministerio de Transición </w:t>
      </w:r>
      <w:r w:rsidR="00442DF3" w:rsidRPr="00D86D7F">
        <w:t>Ecológica</w:t>
      </w:r>
      <w:r w:rsidRPr="00D86D7F">
        <w:t xml:space="preserve"> ha sido recurrida por varias comunidades autónomas, entre ellas Castilla y León, y por la propia ASAJA.</w:t>
      </w:r>
    </w:p>
    <w:p w14:paraId="29C736C2" w14:textId="77777777" w:rsidR="00D86D7F" w:rsidRPr="00D86D7F" w:rsidRDefault="00D86D7F" w:rsidP="00D86D7F">
      <w:pPr>
        <w:suppressAutoHyphens/>
      </w:pPr>
      <w:r w:rsidRPr="00D86D7F">
        <w:t xml:space="preserve">Excepto en el caso del ganado al sur del Duero, donde rigen otras condiciones porque ya era especie no cinegética, cualquier ataque que se produzca al norte del Duero en estos momentos lleva al ganadero a un callejón sin salida, puesto que no existe un cauce para canalizar su reclamación de indemnización. </w:t>
      </w:r>
    </w:p>
    <w:p w14:paraId="5A8C8046" w14:textId="77777777" w:rsidR="00D86D7F" w:rsidRPr="00D86D7F" w:rsidRDefault="00D86D7F" w:rsidP="00D86D7F">
      <w:pPr>
        <w:suppressAutoHyphens/>
      </w:pPr>
      <w:r w:rsidRPr="00D86D7F">
        <w:t>En julio de 2022 se aprobó la Estrategia Nacional del Lobo, estando en contra las comunidades autónomas que tienen el 96% de la población de lobos.</w:t>
      </w:r>
    </w:p>
    <w:p w14:paraId="5B21E86D" w14:textId="77777777" w:rsidR="00D86D7F" w:rsidRPr="00D86D7F" w:rsidRDefault="00D86D7F" w:rsidP="00D86D7F">
      <w:pPr>
        <w:suppressAutoHyphens/>
      </w:pPr>
      <w:r w:rsidRPr="00D86D7F">
        <w:t>En otoño, las comunidades autónomas loberas visitaron Bruselas para trasladar el problema que está viviendo España, aunque la representación española no tuvo éxito sí ayudó a sumar el problema de los ataques de grandes carnívoros que viven muchos territorios de la UE, y así en noviembre hubo dos hechos que parecen indicar un ligero cambio de rumbo en estas políticas:</w:t>
      </w:r>
    </w:p>
    <w:p w14:paraId="3EDE861F" w14:textId="77777777" w:rsidR="00D86D7F" w:rsidRPr="00D86D7F" w:rsidRDefault="00D86D7F" w:rsidP="00D86D7F">
      <w:pPr>
        <w:numPr>
          <w:ilvl w:val="0"/>
          <w:numId w:val="36"/>
        </w:numPr>
        <w:suppressAutoHyphens/>
      </w:pPr>
      <w:r w:rsidRPr="00D86D7F">
        <w:t xml:space="preserve">la Resolución del Parlamento Europeo de 24 de noviembre, que reconoce el aumento de las poblaciones de grandes carnívoros y la necesidad de cambiar su gestión por haber quedado obsoleta. </w:t>
      </w:r>
    </w:p>
    <w:p w14:paraId="79CC3C02" w14:textId="77777777" w:rsidR="00D86D7F" w:rsidRPr="00D86D7F" w:rsidRDefault="00D86D7F" w:rsidP="00D86D7F">
      <w:pPr>
        <w:numPr>
          <w:ilvl w:val="0"/>
          <w:numId w:val="36"/>
        </w:numPr>
        <w:suppressAutoHyphens/>
      </w:pPr>
      <w:r w:rsidRPr="00D86D7F">
        <w:t xml:space="preserve">la contestación de la Presidenta </w:t>
      </w:r>
      <w:proofErr w:type="spellStart"/>
      <w:r w:rsidRPr="00D86D7F">
        <w:t>Ursula</w:t>
      </w:r>
      <w:proofErr w:type="spellEnd"/>
      <w:r w:rsidRPr="00D86D7F">
        <w:t xml:space="preserve"> </w:t>
      </w:r>
      <w:proofErr w:type="spellStart"/>
      <w:r w:rsidRPr="00D86D7F">
        <w:t>Von</w:t>
      </w:r>
      <w:proofErr w:type="spellEnd"/>
      <w:r w:rsidRPr="00D86D7F">
        <w:t xml:space="preserve"> </w:t>
      </w:r>
      <w:proofErr w:type="spellStart"/>
      <w:r w:rsidRPr="00D86D7F">
        <w:t>der</w:t>
      </w:r>
      <w:proofErr w:type="spellEnd"/>
      <w:r w:rsidRPr="00D86D7F">
        <w:t xml:space="preserve"> </w:t>
      </w:r>
      <w:proofErr w:type="spellStart"/>
      <w:r w:rsidRPr="00D86D7F">
        <w:t>Leyen</w:t>
      </w:r>
      <w:proofErr w:type="spellEnd"/>
      <w:r w:rsidRPr="00D86D7F">
        <w:t xml:space="preserve"> a una carta de varios europarlamentarios que denunciaban el problema del lobo en Europa, en la que reconoce la existencia de un grave problema por el incremento de los ataques de grandes carnívoros, insta a realizar estadísticas y estudios para conocer el estado real de las poblaciones de estas especies y anima a los estados miembros a aplicar las excepciones de la Directiva Hábitats en sus territorios mientras se lleva a cabo el análisis de la situación actual del lobo y se valora una posible revisión del estatus de estricta protección que tiene actualmente.</w:t>
      </w:r>
    </w:p>
    <w:p w14:paraId="2B271662" w14:textId="77777777" w:rsidR="00D86D7F" w:rsidRPr="00D86D7F" w:rsidRDefault="00D86D7F" w:rsidP="00D86D7F">
      <w:pPr>
        <w:suppressAutoHyphens/>
      </w:pPr>
    </w:p>
    <w:p w14:paraId="1592789C" w14:textId="77777777" w:rsidR="00D86D7F" w:rsidRPr="00D86D7F" w:rsidRDefault="00D86D7F" w:rsidP="00D86D7F">
      <w:pPr>
        <w:suppressAutoHyphens/>
      </w:pPr>
      <w:r w:rsidRPr="00D86D7F">
        <w:t>ASAJA se alegra de esta tibia esperanza que se vislumbra y continuará exigiendo el control de la superpoblación de lobos en aquellas zonas que causa daños a la ganadería una vez que el incremento de manadas queda claro que el lobo no es una especie en extinción, sino más bien el ganadero.</w:t>
      </w:r>
    </w:p>
    <w:p w14:paraId="4E902556" w14:textId="77777777" w:rsidR="00C32CEB" w:rsidRPr="00C6165A" w:rsidRDefault="00C32CEB" w:rsidP="00D5252F">
      <w:pPr>
        <w:suppressAutoHyphens/>
      </w:pPr>
    </w:p>
    <w:p w14:paraId="0EBFE2A4" w14:textId="77777777" w:rsidR="00D5252F" w:rsidRPr="00C6165A" w:rsidRDefault="00D5252F" w:rsidP="00D5252F">
      <w:pPr>
        <w:suppressAutoHyphens/>
        <w:rPr>
          <w:b/>
          <w:bCs/>
        </w:rPr>
      </w:pPr>
      <w:proofErr w:type="spellStart"/>
      <w:r w:rsidRPr="00C6165A">
        <w:rPr>
          <w:b/>
          <w:bCs/>
        </w:rPr>
        <w:t>Macroparques</w:t>
      </w:r>
      <w:proofErr w:type="spellEnd"/>
      <w:r w:rsidRPr="00C6165A">
        <w:rPr>
          <w:b/>
          <w:bCs/>
        </w:rPr>
        <w:t xml:space="preserve"> solares</w:t>
      </w:r>
    </w:p>
    <w:p w14:paraId="3449367B" w14:textId="77777777" w:rsidR="00D86D7F" w:rsidRPr="00D86D7F" w:rsidRDefault="00D86D7F" w:rsidP="00D86D7F">
      <w:pPr>
        <w:suppressAutoHyphens/>
      </w:pPr>
      <w:r w:rsidRPr="00D86D7F">
        <w:t xml:space="preserve">Los últimos días de diciembre de 2021, el Procurador del Común inició una actuación de oficio para intentar lograr un equilibrio entre el fomento y promoción de las energías renovables, en este caso la generada por la luz solar, y el mantenimiento y desarrollo del sector primario en el medio rural, considerando la importancia </w:t>
      </w:r>
      <w:proofErr w:type="gramStart"/>
      <w:r w:rsidRPr="00D86D7F">
        <w:t>del mismo</w:t>
      </w:r>
      <w:proofErr w:type="gramEnd"/>
      <w:r w:rsidRPr="00D86D7F">
        <w:t xml:space="preserve"> en Castilla y León. La Defensoría ha trasladado a la administración autonómica y a las diputaciones provinciales una serie de recomendaciones, la primera y esencial que las resoluciones que se dicten en los expedientes de autorización de uso excepcional en suelo rústico impidan, con carácter general, su implantación en zonas que dispongan de algún tipo de protección reconocida, fundamentalmente, por el carácter agropecuario de los terrenos, para que sigan manteniendo ese destino.</w:t>
      </w:r>
    </w:p>
    <w:p w14:paraId="77BBD3A3" w14:textId="77777777" w:rsidR="00D86D7F" w:rsidRPr="00D86D7F" w:rsidRDefault="00D86D7F" w:rsidP="00D86D7F">
      <w:pPr>
        <w:suppressAutoHyphens/>
      </w:pPr>
    </w:p>
    <w:p w14:paraId="7BB314F0" w14:textId="6FEA3BAD" w:rsidR="00D86D7F" w:rsidRPr="00D86D7F" w:rsidRDefault="00D86D7F" w:rsidP="00D86D7F">
      <w:pPr>
        <w:suppressAutoHyphens/>
      </w:pPr>
      <w:r w:rsidRPr="00D86D7F">
        <w:t>ASAJA alerta a las Administraciones sobre la declaración de ciertos proyectos de este tipo como de interés general sin valorar previamente como uso principal y, por tanto, de mayor interés general, la producción de alimentos de esos terrenos. No debe permitirse la expropiación ni la invasión de esos terrenos para evacuar la energía que los inhabilita para producción agrícola en muchos casos y tampoco debe permitirse la ocupación de terrenos sobre los que las Administraciones han ejecutado inversión pública como, por ejemplo, regadíos o concentraciones parcelarias</w:t>
      </w:r>
      <w:r w:rsidR="00442DF3">
        <w:t>.</w:t>
      </w:r>
      <w:r w:rsidRPr="00D86D7F">
        <w:t xml:space="preserve"> </w:t>
      </w:r>
    </w:p>
    <w:p w14:paraId="20373DCA" w14:textId="77777777" w:rsidR="00D86D7F" w:rsidRPr="00D86D7F" w:rsidRDefault="00D86D7F" w:rsidP="00D86D7F">
      <w:pPr>
        <w:suppressAutoHyphens/>
      </w:pPr>
      <w:r w:rsidRPr="00D86D7F">
        <w:t xml:space="preserve">Ante esta situación, cada vez más agricultores y ganaderos recurren a la vía legal como única vía para defender sus legítimos intereses. En este sentido, la reclamación de la Junta Agropecuaria Local de Paredes de </w:t>
      </w:r>
      <w:proofErr w:type="gramStart"/>
      <w:r w:rsidRPr="00D86D7F">
        <w:t>Nava,</w:t>
      </w:r>
      <w:proofErr w:type="gramEnd"/>
      <w:r w:rsidRPr="00D86D7F">
        <w:t xml:space="preserve"> ha recibido el respaldo del Tribunal Superior de Justicia de Castilla y León, que ha rechazado que el ayuntamiento palentino expulse a setenta agricultores que trabajaban desde tiempo inmemorial unas fincas comunales. </w:t>
      </w:r>
    </w:p>
    <w:p w14:paraId="024A38F1" w14:textId="4588AD37" w:rsidR="00D86D7F" w:rsidRPr="00D86D7F" w:rsidRDefault="00D86D7F" w:rsidP="00D86D7F">
      <w:pPr>
        <w:suppressAutoHyphens/>
      </w:pPr>
      <w:r w:rsidRPr="00D86D7F">
        <w:t xml:space="preserve">ASAJA confía en que esta sentencia sirva de modelo para otros casos muy similares, considerando primero los usos agrarios y ganaderos tradicionales de cada zona afectada. </w:t>
      </w:r>
    </w:p>
    <w:p w14:paraId="74771EC2" w14:textId="4AACBF4E" w:rsidR="00D86D7F" w:rsidRPr="00D86D7F" w:rsidRDefault="00D86D7F" w:rsidP="00D86D7F">
      <w:pPr>
        <w:suppressAutoHyphens/>
      </w:pPr>
      <w:r w:rsidRPr="00D86D7F">
        <w:t>En este mismo sentido</w:t>
      </w:r>
      <w:r>
        <w:t xml:space="preserve"> </w:t>
      </w:r>
      <w:r w:rsidRPr="00D86D7F">
        <w:t>el Pleno del Consejo Económico y Social de Castilla y León en su informe sobre el Proyecto de Decreto por el que se regularán los procedimientos de autorizaciones administrativas de instalaciones eléctricas, principalmente de energías renovables, recogió</w:t>
      </w:r>
      <w:r w:rsidRPr="00D86D7F">
        <w:rPr>
          <w:b/>
          <w:bCs/>
        </w:rPr>
        <w:t xml:space="preserve"> </w:t>
      </w:r>
      <w:r w:rsidRPr="00D86D7F">
        <w:t>una propuesta de las OPAS para que se adopten medidas, que impidan que las instalaciones se ubiquen en explotaciones agrarias viables, preservando las zonas tradicionales de cultivo, los terrenos de transformación en regadíos, las tierras más productivas y los terrenos más útiles desde el punto de vista agronómico.</w:t>
      </w:r>
    </w:p>
    <w:p w14:paraId="716B997A" w14:textId="47EBD32F" w:rsidR="00D81AB5" w:rsidRPr="00C6165A" w:rsidRDefault="00D81AB5" w:rsidP="00D5252F">
      <w:pPr>
        <w:suppressAutoHyphens/>
      </w:pPr>
    </w:p>
    <w:p w14:paraId="48403FC7" w14:textId="77777777" w:rsidR="00D5252F" w:rsidRPr="00C6165A" w:rsidRDefault="00D5252F" w:rsidP="00D5252F">
      <w:pPr>
        <w:suppressAutoHyphens/>
        <w:rPr>
          <w:b/>
          <w:bCs/>
        </w:rPr>
      </w:pPr>
      <w:r w:rsidRPr="00C6165A">
        <w:rPr>
          <w:b/>
          <w:bCs/>
        </w:rPr>
        <w:t>Agua</w:t>
      </w:r>
    </w:p>
    <w:p w14:paraId="058042E5" w14:textId="312FC12A" w:rsidR="00D86D7F" w:rsidRPr="00D86D7F" w:rsidRDefault="00D86D7F" w:rsidP="00D86D7F">
      <w:pPr>
        <w:suppressAutoHyphens/>
      </w:pPr>
      <w:r w:rsidRPr="00D86D7F">
        <w:t xml:space="preserve">ASAJA de Castilla y León, </w:t>
      </w:r>
      <w:r w:rsidRPr="007460F3">
        <w:rPr>
          <w:b/>
          <w:bCs/>
        </w:rPr>
        <w:t>rechazó</w:t>
      </w:r>
      <w:r w:rsidRPr="00D86D7F">
        <w:t xml:space="preserve"> desde el inicio la propuesta del </w:t>
      </w:r>
      <w:r w:rsidRPr="00D86D7F">
        <w:rPr>
          <w:b/>
          <w:bCs/>
        </w:rPr>
        <w:t>Plan Hidrológico del Duero</w:t>
      </w:r>
      <w:r w:rsidRPr="00D86D7F">
        <w:t xml:space="preserve"> presentada por la Confederación Hidrográfica del Duero y presentó muchas </w:t>
      </w:r>
      <w:r w:rsidR="00442DF3">
        <w:t xml:space="preserve">alegaciones </w:t>
      </w:r>
      <w:r w:rsidRPr="00D86D7F">
        <w:t xml:space="preserve">de especial relevancia en defensa del regadío, del sector agrario y ganadero y del medio rural en su conjunto. </w:t>
      </w:r>
    </w:p>
    <w:p w14:paraId="249300B1" w14:textId="275C0C4F" w:rsidR="00D86D7F" w:rsidRPr="00D86D7F" w:rsidRDefault="00D86D7F" w:rsidP="00D86D7F">
      <w:pPr>
        <w:suppressAutoHyphens/>
      </w:pPr>
      <w:r w:rsidRPr="00D86D7F">
        <w:t xml:space="preserve">ASAJA dijo “no” a este plan hidrológico diseñado desde los despachos, y trabajamos en un frente común con el resto de las organizaciones, regantes y por supuesto con la Junta de Castilla y León, contra esa imposición sin consenso en nuestro territorio. Castilla y León </w:t>
      </w:r>
      <w:proofErr w:type="gramStart"/>
      <w:r w:rsidRPr="00D86D7F">
        <w:t>tiene</w:t>
      </w:r>
      <w:proofErr w:type="gramEnd"/>
      <w:r w:rsidRPr="00D86D7F">
        <w:t xml:space="preserve"> solo un 15% de superficie de regadío, cuando la media española está en un 23%, y en comunidades autónomas con mucha menos capacidad hídrica, como Andalucía, llega al 28%. Si hoy Castilla y León cuenta con 550.000 hectáreas de riego, en buena lógica el objetivo debería ser alcanzar 850.000 hectáreas, para igualarnos a la media española. Pero la propuesta </w:t>
      </w:r>
      <w:r w:rsidR="00442DF3" w:rsidRPr="00D86D7F">
        <w:t>del Plan</w:t>
      </w:r>
      <w:r w:rsidRPr="00D86D7F">
        <w:t xml:space="preserve"> Hidrológico de la Cuenca del Duero propone justo lo contrario.</w:t>
      </w:r>
    </w:p>
    <w:p w14:paraId="368E544D" w14:textId="69334BA7" w:rsidR="00D86D7F" w:rsidRPr="00D86D7F" w:rsidRDefault="00D86D7F" w:rsidP="00D86D7F">
      <w:pPr>
        <w:suppressAutoHyphens/>
      </w:pPr>
      <w:r w:rsidRPr="00D86D7F">
        <w:t xml:space="preserve">El principal objetivo del nuevo Plan es reducir el consumo de agua, y para ello la Confederación elije la vía más fácil: ni un regadío más -incluso eliminación de parte de los que hay-, y menor dotación para los ya existentes, en lugar de tratar de ampliar recursos, que es lo que propone ASAJA: una mayor regulación </w:t>
      </w:r>
      <w:r w:rsidR="00442DF3">
        <w:t>y</w:t>
      </w:r>
      <w:r w:rsidRPr="00D86D7F">
        <w:t xml:space="preserve"> más capacidad de almacenamiento.</w:t>
      </w:r>
    </w:p>
    <w:p w14:paraId="0D44EB30" w14:textId="77777777" w:rsidR="00D86D7F" w:rsidRPr="00D86D7F" w:rsidRDefault="00D86D7F" w:rsidP="00D86D7F">
      <w:pPr>
        <w:suppressAutoHyphens/>
      </w:pPr>
      <w:r w:rsidRPr="00D86D7F">
        <w:t>El segundo objetivo de la propuesta de la Confederación no es otro que recaudar: habrá mayores tasas e impuestos sobre el uso, incluso se sopesa poner precio a la propia agua, algo a lo que se opone de plano ASAJA, que recuerda que los regantes ya financian las propias estructuras. A la vez, el Plan no menciona inversiones en las 120.000 hectáreas de regadío pendientes de modernizar en Castilla y León, y por supuesto no propone ninguna nueva. También reclamamos que se garanticen las concesiones y usos actuales en regadíos de aguas subterráneas, con las medidas necesarias, como nuevas regulaciones de ríos, inversiones para aumentar el almacenamiento e incluso la recarga de acuíferos.</w:t>
      </w:r>
    </w:p>
    <w:p w14:paraId="27FF426B" w14:textId="77777777" w:rsidR="00D86D7F" w:rsidRPr="00D86D7F" w:rsidRDefault="00D86D7F" w:rsidP="00D86D7F">
      <w:pPr>
        <w:suppressAutoHyphens/>
      </w:pPr>
      <w:r w:rsidRPr="00D86D7F">
        <w:t xml:space="preserve"> Además. la propuesta del Plan Hidrológico marca severos límites a la actividad agrícola: establece mayores trabas burocráticas y medioambientales en abonados y tratamientos tanto en tierras de regadío como de secano. Para ASAJA, en el Plan la Administración se extralimita al imponer restricciones agronómicas a fincas particulares de forma general, suplantando a la propia administración agraria. En determinadas masas con problemas bloquea las concesiones, incluso cuando se trata de volúmenes menores, lo que significa impedir de plano la instalación de cualquier pequeña agroindustria o explotación, demostrando muy poca sensibilidad con el problema de la despoblación rural, tal como denuncia ASAJA.</w:t>
      </w:r>
    </w:p>
    <w:p w14:paraId="06A3BC45" w14:textId="77777777" w:rsidR="00D86D7F" w:rsidRPr="00D86D7F" w:rsidRDefault="00D86D7F" w:rsidP="00D86D7F">
      <w:pPr>
        <w:suppressAutoHyphens/>
      </w:pPr>
      <w:r w:rsidRPr="00D86D7F">
        <w:t>Por último, el proyecto del Plan propone la eliminación progresiva de medidas de contención de los ríos: la Confederación opta por la mínima intervención, es decir, que los cauces se “autorregulen” por sí mismos. Algo a lo que se opone frontalmente ASAJA; “porque las estructuras de protección de los cauces siguen siendo imprescindibles para reducir los efectos de las grandes avenidas por tierras de cultivo y poblaciones. Es más, pedimos justo lo contrario, una mayor limpieza de los cauces para evitar inundaciones”.</w:t>
      </w:r>
    </w:p>
    <w:p w14:paraId="527A5BC9" w14:textId="77777777" w:rsidR="00D86D7F" w:rsidRPr="00D86D7F" w:rsidRDefault="00D86D7F" w:rsidP="00D86D7F">
      <w:pPr>
        <w:suppressAutoHyphens/>
      </w:pPr>
      <w:r w:rsidRPr="00D86D7F">
        <w:t>Y todo esto lo quiere hacer el Ministerio de Transición Ecológica a cuenta de otros, porque de los 2.743 millones presupuestados para el plan, piensa asumir apenas la novena parte. El resto, que paguen a escote la UE, las comunidades autónomas, las entidades locales y, por supuesto, los propios regantes.</w:t>
      </w:r>
    </w:p>
    <w:p w14:paraId="3B201B1E" w14:textId="77777777" w:rsidR="00D86D7F" w:rsidRPr="006F0A19" w:rsidRDefault="00D86D7F" w:rsidP="00D86D7F">
      <w:pPr>
        <w:suppressAutoHyphens/>
      </w:pPr>
      <w:r w:rsidRPr="006F0A19">
        <w:t>En abril se celebró el Consejo del Agua de la demarcación hidrográfica del Duero, convocado por la Confederación Hidrográfica del Duero para presentar el informe sobre el Proyecto del Plan Hidrológico del Duero antes de ser elevado al Gobierno para su aprobación. Sometido a votación, fue rechazado por los vocales del Consejo, con un resultado de 42 votos en contra y 34 a favor. Se trata de un rechazo inédito en la historia de los planes hidrológicos del Duero, que siempre habían recibido el apoyo mayoritario del Consejo del Agua.</w:t>
      </w:r>
    </w:p>
    <w:p w14:paraId="59BD135B" w14:textId="77777777" w:rsidR="00D86D7F" w:rsidRPr="006F0A19" w:rsidRDefault="00D86D7F" w:rsidP="00D86D7F">
      <w:pPr>
        <w:suppressAutoHyphens/>
      </w:pPr>
      <w:r w:rsidRPr="006F0A19">
        <w:t>ASAJA de Castilla y León votó en contra, postura que ya había anunciado desde el primer momento, por considerar que el nuevo Plan Hidrológico del Duero atenta frontalmente contra los intereses del sector agrario. A su rechazo al proyecto se sumaron el resto de los vocales de las organizaciones agrarias, y también comunidades de regantes. Especialmente significativo fue el voto negativo de la Junta de Castilla y León, la administración que ejerce las competencias agrarias y medioambientales. También votaron en contra la CEOE, en representación de los empresarios de la Comunidad Autónoma, y, por razones distintas, Comisiones Obreras y parte de los colectivos ecologistas.</w:t>
      </w:r>
    </w:p>
    <w:p w14:paraId="2028511B" w14:textId="77777777" w:rsidR="00442DF3" w:rsidRDefault="00442DF3" w:rsidP="00D86D7F">
      <w:pPr>
        <w:suppressAutoHyphens/>
      </w:pPr>
    </w:p>
    <w:p w14:paraId="1DE1C703" w14:textId="04C1F6DE" w:rsidR="00D86D7F" w:rsidRPr="00D86D7F" w:rsidRDefault="00D86D7F" w:rsidP="00D86D7F">
      <w:pPr>
        <w:suppressAutoHyphens/>
      </w:pPr>
      <w:r w:rsidRPr="00442DF3">
        <w:t xml:space="preserve">Castilla y León </w:t>
      </w:r>
      <w:proofErr w:type="gramStart"/>
      <w:r w:rsidRPr="00442DF3">
        <w:t>ha</w:t>
      </w:r>
      <w:proofErr w:type="gramEnd"/>
      <w:r w:rsidRPr="00442DF3">
        <w:t xml:space="preserve"> vivido la peor sequía desde hace diez años. Las escasas precipitaciones y el intenso calor son las principales razones de este mal año.</w:t>
      </w:r>
    </w:p>
    <w:p w14:paraId="799C7323" w14:textId="77777777" w:rsidR="00D86D7F" w:rsidRPr="00D86D7F" w:rsidRDefault="00D86D7F" w:rsidP="00D86D7F">
      <w:pPr>
        <w:suppressAutoHyphens/>
      </w:pPr>
      <w:r w:rsidRPr="00D86D7F">
        <w:t>En la Comunidad ha llovido un 23,55% menos respecto a la media de precipitaciones de la década. A ello se une que ha sido un año extremadamente caluroso, en torno a 1ºC más de lo normal, tan sólo superado por el año 2017.</w:t>
      </w:r>
    </w:p>
    <w:p w14:paraId="01F9F6A3" w14:textId="45BC43F6" w:rsidR="00D86D7F" w:rsidRPr="00D86D7F" w:rsidRDefault="00D86D7F" w:rsidP="00D86D7F">
      <w:pPr>
        <w:suppressAutoHyphens/>
      </w:pPr>
      <w:r w:rsidRPr="00D86D7F">
        <w:t xml:space="preserve">La Confederación Hidrográfica del Duero (CHD), acordó en julio la implantación de medidas excepcionales durante la campaña de riego, como consecuencia de la sequía. Afectó al uso del agua para regadío en los ríos de los sistemas </w:t>
      </w:r>
      <w:proofErr w:type="spellStart"/>
      <w:r w:rsidRPr="00D86D7F">
        <w:t>Támega</w:t>
      </w:r>
      <w:proofErr w:type="spellEnd"/>
      <w:r w:rsidRPr="00D86D7F">
        <w:t>-Manzanas, Tera, Carrión, Pisuerga y Bajo Duero.</w:t>
      </w:r>
    </w:p>
    <w:p w14:paraId="6D77747F" w14:textId="77777777" w:rsidR="00D86D7F" w:rsidRPr="00D86D7F" w:rsidRDefault="00D86D7F" w:rsidP="00D86D7F">
      <w:pPr>
        <w:suppressAutoHyphens/>
      </w:pPr>
      <w:r w:rsidRPr="00D86D7F">
        <w:t>Se establecieron turnos de riego con el fin de hacer efectiva una mejor gestión del agua escasa con criterios de racionalidad y compatible con la protección del medio ambiente y el respeto a los caudales ecológicos, en situación de sequía prolongada.</w:t>
      </w:r>
    </w:p>
    <w:p w14:paraId="1ABD2F91" w14:textId="77777777" w:rsidR="00D86D7F" w:rsidRPr="00D86D7F" w:rsidRDefault="00D86D7F" w:rsidP="00D86D7F">
      <w:pPr>
        <w:suppressAutoHyphens/>
      </w:pPr>
      <w:r w:rsidRPr="00D86D7F">
        <w:t>Ante esta situación ASAJA solicitó, que, tanto en los cauces regulados como en los no regulados, se revisasen las dotaciones necesarias para cumplir los caudales ecológicos y se derivaran más aportaciones para el riego de tierras de cultivo y prados, con el objetivo de minimizar lo máximo posible las importantes pérdidas que la grave sequía iba a producir en la agricultura y ganadería.</w:t>
      </w:r>
    </w:p>
    <w:p w14:paraId="66D688CB" w14:textId="77777777" w:rsidR="00D86D7F" w:rsidRPr="00D86D7F" w:rsidRDefault="00D86D7F" w:rsidP="00D86D7F">
      <w:pPr>
        <w:suppressAutoHyphens/>
      </w:pPr>
      <w:r w:rsidRPr="00D86D7F">
        <w:t>En septiembre de este año, ASAJA se opuso rotundamente a que la Confederación Hidrográfica del Duero soltase agua de los embalses de cabecera de los ríos que vierten al Duero para transferirla a Portugal, en un momento de sequía severa en el que no estaba garantizado el recurso para la producción de alimentos.</w:t>
      </w:r>
    </w:p>
    <w:p w14:paraId="4F4AB9A6" w14:textId="77777777" w:rsidR="00D86D7F" w:rsidRPr="00D86D7F" w:rsidRDefault="00D86D7F" w:rsidP="00D86D7F">
      <w:pPr>
        <w:suppressAutoHyphens/>
      </w:pPr>
      <w:r w:rsidRPr="00D86D7F">
        <w:t>Finalmente, el Ministerio para la Transición Ecológica y el Reto Demográfico (</w:t>
      </w:r>
      <w:proofErr w:type="spellStart"/>
      <w:r w:rsidRPr="00D86D7F">
        <w:t>Miteco</w:t>
      </w:r>
      <w:proofErr w:type="spellEnd"/>
      <w:r w:rsidRPr="00D86D7F">
        <w:t xml:space="preserve">) decidió, de común acuerdo con Portugal, reducir los desembalses previstos desde las presas hidroeléctricas de la cuenca del Duero hacia el tramo portugués del río, ante la evidencia de que no podría cumplir los caudales recogidos en el convenio de la </w:t>
      </w:r>
      <w:proofErr w:type="spellStart"/>
      <w:r w:rsidRPr="00D86D7F">
        <w:t>Albufeira</w:t>
      </w:r>
      <w:proofErr w:type="spellEnd"/>
      <w:r w:rsidRPr="00D86D7F">
        <w:t>.</w:t>
      </w:r>
    </w:p>
    <w:p w14:paraId="017B24FD" w14:textId="77777777" w:rsidR="00D81AB5" w:rsidRPr="00C6165A" w:rsidRDefault="00D81AB5" w:rsidP="00D5252F">
      <w:pPr>
        <w:suppressAutoHyphens/>
      </w:pPr>
    </w:p>
    <w:p w14:paraId="7BFD549D" w14:textId="77777777" w:rsidR="00D5252F" w:rsidRPr="00C6165A" w:rsidRDefault="00D5252F" w:rsidP="00D5252F">
      <w:pPr>
        <w:suppressAutoHyphens/>
        <w:rPr>
          <w:b/>
          <w:bCs/>
        </w:rPr>
      </w:pPr>
      <w:r w:rsidRPr="00C6165A">
        <w:rPr>
          <w:b/>
          <w:bCs/>
        </w:rPr>
        <w:t>Incendios.</w:t>
      </w:r>
    </w:p>
    <w:p w14:paraId="25520927" w14:textId="77777777" w:rsidR="00D86D7F" w:rsidRDefault="00D86D7F" w:rsidP="00D86D7F">
      <w:pPr>
        <w:suppressAutoHyphens/>
      </w:pPr>
      <w:r>
        <w:t>Un año excesivamente seco y unas olas de calor que no se conocían ha provocado graves incendios en nuestra Comunidad.</w:t>
      </w:r>
    </w:p>
    <w:p w14:paraId="5735EEB0" w14:textId="4B79BB31" w:rsidR="00D86D7F" w:rsidRDefault="00D86D7F" w:rsidP="00D86D7F">
      <w:pPr>
        <w:suppressAutoHyphens/>
      </w:pPr>
      <w:r>
        <w:t xml:space="preserve">En junio tuvo lugar un incendio devastador en la Sierra de la Culebra, uno de los peores incendios ocurridos en la historia de España que afectó a trece términos municipales y 24 localidades, al que se unió el de </w:t>
      </w:r>
      <w:proofErr w:type="spellStart"/>
      <w:r>
        <w:t>Losacio</w:t>
      </w:r>
      <w:proofErr w:type="spellEnd"/>
      <w:r w:rsidR="007460F3">
        <w:t>.</w:t>
      </w:r>
    </w:p>
    <w:p w14:paraId="4B12C7C1" w14:textId="77777777" w:rsidR="00D86D7F" w:rsidRDefault="00D86D7F" w:rsidP="00D86D7F">
      <w:pPr>
        <w:suppressAutoHyphens/>
      </w:pPr>
      <w:r>
        <w:t>Las más de 60.000 hectáreas calcinadas, en gran medida de pastos y forrajes, "eran la base de la alimentación y del manejo de las explotaciones ganaderas y apícolas de las zonas afectadas". Además, se evidenció el desplazamiento de fauna desde la zona afectada hacia términos colindantes o próximos en busca de alimentación y refugio, lo provocó aún mayores daños a los de años precedentes, sobre todo en los cultivos pendientes de cosecha, fundamentalmente los de regadío.</w:t>
      </w:r>
    </w:p>
    <w:p w14:paraId="33D1211A" w14:textId="77777777" w:rsidR="00442DF3" w:rsidRDefault="00D86D7F" w:rsidP="00D86D7F">
      <w:pPr>
        <w:suppressAutoHyphens/>
      </w:pPr>
      <w:r>
        <w:t xml:space="preserve">Además de estos incendios de la provincia de Zamora también se produjeron graves incendios en otras zonas de la Comunidad como el de </w:t>
      </w:r>
      <w:proofErr w:type="spellStart"/>
      <w:r>
        <w:t>Monsagro</w:t>
      </w:r>
      <w:proofErr w:type="spellEnd"/>
      <w:r>
        <w:t xml:space="preserve"> (Salamanca) con 8.600 ha; Cebrero (Ávila) con 4.700 y Quintanilla del Coco (Burgos) con 2.540 ha quemadas.</w:t>
      </w:r>
    </w:p>
    <w:p w14:paraId="7B21969D" w14:textId="77777777" w:rsidR="00455772" w:rsidRDefault="00455772" w:rsidP="00D86D7F">
      <w:pPr>
        <w:suppressAutoHyphens/>
      </w:pPr>
    </w:p>
    <w:p w14:paraId="73C3D821" w14:textId="32C2ED97" w:rsidR="00D86D7F" w:rsidRDefault="00442DF3" w:rsidP="00D86D7F">
      <w:pPr>
        <w:suppressAutoHyphens/>
      </w:pPr>
      <w:r>
        <w:t xml:space="preserve">ASAJA </w:t>
      </w:r>
      <w:r w:rsidR="00D86D7F">
        <w:t xml:space="preserve">exigió a la Consejería ayudas para </w:t>
      </w:r>
      <w:r>
        <w:t xml:space="preserve">los </w:t>
      </w:r>
      <w:r w:rsidR="00D86D7F">
        <w:t>agricultores y ganaderos</w:t>
      </w:r>
      <w:r>
        <w:t xml:space="preserve"> afectados</w:t>
      </w:r>
      <w:r w:rsidR="00D86D7F">
        <w:t xml:space="preserve"> por </w:t>
      </w:r>
      <w:r>
        <w:t xml:space="preserve">los </w:t>
      </w:r>
      <w:r w:rsidR="00D86D7F">
        <w:t>incendios.</w:t>
      </w:r>
      <w:r>
        <w:t xml:space="preserve"> </w:t>
      </w:r>
      <w:r w:rsidR="00D86D7F">
        <w:t>También pidió a la administración que procediera a la limpieza de los montes para evitar que se volvieran a producir situaciones como las de la Sierra de la Culebra.</w:t>
      </w:r>
    </w:p>
    <w:p w14:paraId="3B47635F" w14:textId="77777777" w:rsidR="00D86D7F" w:rsidRDefault="00D86D7F" w:rsidP="00D86D7F">
      <w:pPr>
        <w:suppressAutoHyphens/>
      </w:pPr>
      <w:r>
        <w:t>La Junta de Castilla y León anunció el 24 de noviembre, que el Consejo de Gobierno había aprobado la concesión directa de subvenciones por un montante total de 998.012€ con destino a los 730 titulares de explotaciones agrarias ubicadas en los municipios afectados por los incendios forestales de Castilla y León.</w:t>
      </w:r>
    </w:p>
    <w:p w14:paraId="3CBC173E" w14:textId="56C2496D" w:rsidR="00D86D7F" w:rsidRDefault="00D86D7F" w:rsidP="00D86D7F">
      <w:pPr>
        <w:suppressAutoHyphens/>
      </w:pPr>
      <w:r>
        <w:t xml:space="preserve">El sector agrícola y ganadero, siendo el mayor damnificado tras un incendio forestal, había sido olvidado e ignorado por la Junta de Castilla y León dejándole fuera de las ayudas convocadas por la Consejería de Economía y </w:t>
      </w:r>
      <w:r w:rsidR="00455772">
        <w:t>Hacienda para</w:t>
      </w:r>
      <w:r>
        <w:t xml:space="preserve"> compensar los costes económicos soportados por los autónomos y Pymes ubicadas en los municipios afectados por los incendios.</w:t>
      </w:r>
    </w:p>
    <w:p w14:paraId="16D4764D" w14:textId="65C67735" w:rsidR="00D86D7F" w:rsidRDefault="00D86D7F" w:rsidP="00D86D7F">
      <w:pPr>
        <w:suppressAutoHyphens/>
      </w:pPr>
      <w:r>
        <w:t>Fruto de la denuncia y presión ejercida por ASAJA, se obtuvo el compromiso de la Junta de Castilla y León de poner también fondos a disposición del sector agrario para este fin. Las ayudas directas convocadas en su día para todos los sectores económicos, y que excluían al sector agrario, eran de 5.000 euros por autónomo o Pyme., mientras que el importe medio por afectado en el sector agropecuario asciende a 1.367,14 euros a nivel regional, discriminación que ASAJA ha denunciado</w:t>
      </w:r>
    </w:p>
    <w:p w14:paraId="45C40F71" w14:textId="77777777" w:rsidR="00455772" w:rsidRDefault="00455772" w:rsidP="00D86D7F">
      <w:pPr>
        <w:suppressAutoHyphens/>
      </w:pPr>
    </w:p>
    <w:p w14:paraId="1A5CD95A" w14:textId="381F5641" w:rsidR="00D81AB5" w:rsidRPr="00C6165A" w:rsidRDefault="00D86D7F" w:rsidP="00D86D7F">
      <w:pPr>
        <w:suppressAutoHyphens/>
      </w:pPr>
      <w:r>
        <w:t xml:space="preserve">ASAJA </w:t>
      </w:r>
      <w:r w:rsidR="007460F3">
        <w:t xml:space="preserve">ha reclamado </w:t>
      </w:r>
      <w:r>
        <w:t xml:space="preserve">el levantamiento del acotado de los pastos afectados </w:t>
      </w:r>
      <w:r w:rsidR="007460F3">
        <w:t xml:space="preserve">por todos estos incendios, </w:t>
      </w:r>
      <w:r>
        <w:t xml:space="preserve">que permita a los ganaderos el cobro de las ayudas de la PAC, </w:t>
      </w:r>
      <w:proofErr w:type="gramStart"/>
      <w:r w:rsidR="00363CA0">
        <w:t>pero</w:t>
      </w:r>
      <w:proofErr w:type="gramEnd"/>
      <w:r w:rsidR="00363CA0">
        <w:t xml:space="preserve"> además, desde hace mucho tiempo, la organización </w:t>
      </w:r>
      <w:r w:rsidR="007460F3">
        <w:t>reclama</w:t>
      </w:r>
      <w:r>
        <w:t xml:space="preserve"> la modificación del artículo 92 de la Ley de Montes de Castilla y León, existiendo un compromiso </w:t>
      </w:r>
      <w:r w:rsidR="00363CA0">
        <w:t xml:space="preserve">firme </w:t>
      </w:r>
      <w:r>
        <w:t xml:space="preserve">por parte de los </w:t>
      </w:r>
      <w:r w:rsidR="00455772">
        <w:t>consejeros</w:t>
      </w:r>
      <w:r>
        <w:t xml:space="preserve"> de Agricultura y Medio Ambiente para modificar</w:t>
      </w:r>
      <w:r w:rsidR="00363CA0">
        <w:t>lo</w:t>
      </w:r>
      <w:r>
        <w:t xml:space="preserve"> en el caso de grandes incendios.</w:t>
      </w:r>
    </w:p>
    <w:p w14:paraId="22089A0C" w14:textId="253CDD52" w:rsidR="00D5252F" w:rsidRDefault="00D5252F" w:rsidP="00D5252F">
      <w:pPr>
        <w:suppressAutoHyphens/>
        <w:jc w:val="center"/>
      </w:pPr>
    </w:p>
    <w:p w14:paraId="2B03673C" w14:textId="77777777" w:rsidR="00363CA0" w:rsidRPr="00C6165A" w:rsidRDefault="00363CA0" w:rsidP="00D5252F">
      <w:pPr>
        <w:suppressAutoHyphens/>
        <w:jc w:val="center"/>
      </w:pPr>
    </w:p>
    <w:p w14:paraId="3F0A76A2" w14:textId="0D9145DC" w:rsidR="00D5252F" w:rsidRDefault="00D5252F" w:rsidP="00D5252F">
      <w:pPr>
        <w:suppressAutoHyphens/>
        <w:jc w:val="center"/>
        <w:rPr>
          <w:b/>
          <w:bCs/>
        </w:rPr>
      </w:pPr>
      <w:r w:rsidRPr="00C6165A">
        <w:rPr>
          <w:b/>
          <w:bCs/>
        </w:rPr>
        <w:t>SEGUROS AGRARIOS</w:t>
      </w:r>
    </w:p>
    <w:p w14:paraId="1931BA4D" w14:textId="77777777" w:rsidR="00455772" w:rsidRPr="00C6165A" w:rsidRDefault="00455772" w:rsidP="00D5252F">
      <w:pPr>
        <w:suppressAutoHyphens/>
        <w:jc w:val="center"/>
        <w:rPr>
          <w:b/>
          <w:bCs/>
        </w:rPr>
      </w:pPr>
    </w:p>
    <w:p w14:paraId="0F75E824" w14:textId="77777777" w:rsidR="00D5252F" w:rsidRPr="00C6165A" w:rsidRDefault="00D5252F" w:rsidP="00D5252F">
      <w:pPr>
        <w:suppressAutoHyphens/>
      </w:pPr>
      <w:r w:rsidRPr="00C6165A">
        <w:t xml:space="preserve">En lo relativo a los seguros agrarios, el año 2022 no pasará desapercibido ni mucho menos. </w:t>
      </w:r>
      <w:r w:rsidRPr="007460F3">
        <w:rPr>
          <w:b/>
          <w:bCs/>
        </w:rPr>
        <w:t>Tras diez años de recortes presupuestarios</w:t>
      </w:r>
      <w:r w:rsidRPr="00C6165A">
        <w:t xml:space="preserve">, originados por la crisis económica que tuvo lugar a inicio de la pasada década, parece que el compromiso de nuestros políticos vuelve a poner al seguro agrario español en el lugar que se merece. En el año 2012 se produjeron recortes en las subvenciones que a base de reivindicar en todas las mesas de negociación una y otra vez </w:t>
      </w:r>
      <w:r w:rsidRPr="007460F3">
        <w:rPr>
          <w:b/>
          <w:bCs/>
        </w:rPr>
        <w:t>hemos conseguido que vuelvan a aplicarse</w:t>
      </w:r>
      <w:r w:rsidRPr="00C6165A">
        <w:t>. En concreto, dicho año redujeron diez puntos porcentuales la subvención base de todas las líneas de seguro, lo que se tradujo en unos incrementos muy notables del importe abonado por agricultores y ganaderos en sus pólizas. También en aquellas líneas de seguro que incorporaban recargos y bonificaciones –sistema que funciona de forma similar al bonus-</w:t>
      </w:r>
      <w:proofErr w:type="spellStart"/>
      <w:r w:rsidRPr="00C6165A">
        <w:t>malus</w:t>
      </w:r>
      <w:proofErr w:type="spellEnd"/>
      <w:r w:rsidRPr="00C6165A">
        <w:t xml:space="preserve"> de los seguros de automóviles que todos conocemos- se eliminó la subvención a la parte correspondiente al recargo, haciendo esta medida que un asegurado que pasara a ser recargado se encontrara con el incremento de precio del propio recargo y al de la falta de subvención del mismo, en </w:t>
      </w:r>
      <w:proofErr w:type="gramStart"/>
      <w:r w:rsidRPr="00C6165A">
        <w:t>definitiva</w:t>
      </w:r>
      <w:proofErr w:type="gramEnd"/>
      <w:r w:rsidRPr="00C6165A">
        <w:t xml:space="preserve"> las subidas de precio fueron altísimas en estos casos. Por último, de la subvención que le correspondería a cada asegurado se eliminaron los primeros sesenta euros, algo que no siendo muy notorio también hace que aquellas personas con pólizas de bajo importe prácticamente se queden sin subvenciones.</w:t>
      </w:r>
    </w:p>
    <w:p w14:paraId="395764E7" w14:textId="630ED3EA" w:rsidR="00D5252F" w:rsidRPr="00C6165A" w:rsidRDefault="00D5252F" w:rsidP="00D5252F">
      <w:pPr>
        <w:suppressAutoHyphens/>
      </w:pPr>
      <w:r w:rsidRPr="00C6165A">
        <w:t xml:space="preserve">Pero eso ya es historia. La eliminación de los primeros sesenta euros de subvención </w:t>
      </w:r>
      <w:r w:rsidR="00455772" w:rsidRPr="00C6165A">
        <w:t>perdura,</w:t>
      </w:r>
      <w:r w:rsidRPr="00C6165A">
        <w:t xml:space="preserve"> pero hace dos años conseguimos que se volviera a subvencionar el recargo y este año se han vuelto a recuperar los diez puntos porcentuales que no hemos tenido durante una década. Realmente son once puntos porcentuales, porque el Ministerio había decretado una subida de un punto porcentual para este año inicialmente a los que se sumaron diez más posteriormente. Además, hay una subvención especial para los jóvenes agricultores de un 10% –ya desde el pasado año- y se han creado dos subvenciones nuevas, una de un 5% para las Titularidades Compartidas, figura legal promovida por el Gobierno para el sector agrario pero que no acaba de despegar, y otra de un 3% para los nuevos asegurados. Esto, que ya ha funcionado en la campaña de otoño de 2022 también se ha aprobado para todo el año 2023 y por nuestra parte trataremos de que se mantenga en el tiempo.</w:t>
      </w:r>
    </w:p>
    <w:p w14:paraId="3EE6F60E" w14:textId="77777777" w:rsidR="00455772" w:rsidRDefault="00455772" w:rsidP="00D5252F">
      <w:pPr>
        <w:suppressAutoHyphens/>
      </w:pPr>
    </w:p>
    <w:p w14:paraId="68C6B1C1" w14:textId="6C952E3B" w:rsidR="00D5252F" w:rsidRPr="00C6165A" w:rsidRDefault="00D5252F" w:rsidP="00D5252F">
      <w:pPr>
        <w:suppressAutoHyphens/>
      </w:pPr>
      <w:r w:rsidRPr="00C6165A">
        <w:t xml:space="preserve">Por parte de la Junta de Castilla y León también se está dando un apoyo decidido al seguro, el presupuesto continúa </w:t>
      </w:r>
      <w:r w:rsidR="00455772" w:rsidRPr="00C6165A">
        <w:t>aumentando,</w:t>
      </w:r>
      <w:r w:rsidRPr="00C6165A">
        <w:t xml:space="preserve"> aunque todavía faltan varios millones para alcanzar el punto álgido de apoyo de la Junta al seguro. En este caso sólo se ha apoyado de forma especial a los jóvenes, con otro 10%, algo que vendrá muy bien a todos aquellos que inician su actividad.</w:t>
      </w:r>
    </w:p>
    <w:p w14:paraId="64D0A6A6" w14:textId="77777777" w:rsidR="00455772" w:rsidRDefault="00455772" w:rsidP="00D5252F">
      <w:pPr>
        <w:suppressAutoHyphens/>
      </w:pPr>
    </w:p>
    <w:p w14:paraId="299E3007" w14:textId="321B852C" w:rsidR="00D5252F" w:rsidRPr="00C6165A" w:rsidRDefault="00D5252F" w:rsidP="00D5252F">
      <w:pPr>
        <w:suppressAutoHyphens/>
      </w:pPr>
      <w:r w:rsidRPr="00C6165A">
        <w:t>Si hay algo que destacar en lo negativo es el seguro de retirada de cadáveres de animales muertos en la explotación. En este caso el Ministerio subvenciona las pólizas en función del número de animales lo que hace que en práctica no se esté</w:t>
      </w:r>
      <w:r w:rsidR="00D81AB5" w:rsidRPr="00C6165A">
        <w:t xml:space="preserve"> </w:t>
      </w:r>
      <w:r w:rsidRPr="00C6165A">
        <w:t xml:space="preserve">subvencionando el posible recargo y que la subida de once puntos porcentuales no se haya llevado a cabo. Esto tiene que cambiar y realizarse como en el resto de </w:t>
      </w:r>
      <w:proofErr w:type="gramStart"/>
      <w:r w:rsidRPr="00C6165A">
        <w:t>líneas</w:t>
      </w:r>
      <w:proofErr w:type="gramEnd"/>
      <w:r w:rsidRPr="00C6165A">
        <w:t xml:space="preserve"> de seguro para que la ganadería no se vea perjudicada respecto al resto de sectores.</w:t>
      </w:r>
    </w:p>
    <w:p w14:paraId="2094C4A8" w14:textId="77777777" w:rsidR="00455772" w:rsidRDefault="00455772" w:rsidP="00D5252F">
      <w:pPr>
        <w:suppressAutoHyphens/>
      </w:pPr>
    </w:p>
    <w:p w14:paraId="34A53A23" w14:textId="01589426" w:rsidR="00D5252F" w:rsidRPr="00C6165A" w:rsidRDefault="00D5252F" w:rsidP="00D5252F">
      <w:pPr>
        <w:suppressAutoHyphens/>
      </w:pPr>
      <w:r w:rsidRPr="00C6165A">
        <w:t xml:space="preserve">Como todos los años, continúan existiendo Grupos de Trabajo en el seno de la Entidad Estatal de Seguros Agrarios, dependiente del Ministerio de Agricultura, Pesca y Alimentación, la cual es la garante del seguro agrario y piedra angular del mismo con permiso del Consorcio de Compensación de Seguros, pieza muchas veces olvidada del </w:t>
      </w:r>
      <w:proofErr w:type="spellStart"/>
      <w:r w:rsidRPr="00C6165A">
        <w:t>puzzle</w:t>
      </w:r>
      <w:proofErr w:type="spellEnd"/>
      <w:r w:rsidRPr="00C6165A">
        <w:t xml:space="preserve"> asegurador agrario español pero de grandísima importancia ya que, además de formar parte del coaseguro como si fuera una compañía de seguros más, es el reasegurador que permite al sistema tener un colchón de cientos de millones de euros aguardando la alta siniestralidad para entrar en juego y evitar que el sistema se rompa. En estos Grupos de Trabajo nacionales es donde se producen las tiras y aflojas del seguro agrario, en ellos participamos las organizaciones agrarias, cooperativas, Ministerio, </w:t>
      </w:r>
      <w:proofErr w:type="spellStart"/>
      <w:r w:rsidRPr="00C6165A">
        <w:t>Agroseguro</w:t>
      </w:r>
      <w:proofErr w:type="spellEnd"/>
      <w:r w:rsidRPr="00C6165A">
        <w:t xml:space="preserve">, Consorcio y Delegaciones del Gobierno. ASAJA siempre cuenta con un representante en todas aquellas reuniones que afectan a nuestra región y vela por los intereses de agricultores y ganaderos. Además de los Grupos de Trabajo nacionales, en Castilla y León está conformada la Comisión Territorial de Seguros Agrarios en la que participan los mismos </w:t>
      </w:r>
      <w:r w:rsidR="00363CA0" w:rsidRPr="00C6165A">
        <w:t>actores,</w:t>
      </w:r>
      <w:r w:rsidRPr="00C6165A">
        <w:t xml:space="preserve"> pero con ámbito regional.</w:t>
      </w:r>
    </w:p>
    <w:p w14:paraId="3CC9EF38" w14:textId="77777777" w:rsidR="00455772" w:rsidRDefault="00455772" w:rsidP="00D5252F">
      <w:pPr>
        <w:suppressAutoHyphens/>
      </w:pPr>
    </w:p>
    <w:p w14:paraId="41B41008" w14:textId="0649157C" w:rsidR="00D5252F" w:rsidRPr="00C6165A" w:rsidRDefault="00D5252F" w:rsidP="00D5252F">
      <w:pPr>
        <w:suppressAutoHyphens/>
      </w:pPr>
      <w:r w:rsidRPr="00C6165A">
        <w:t>La línea de seguros que tiene más aceptación año tras año es la de cultivos herbáceos extensivos, desde la sequía de 2017 el aseguramiento se ha visto aumentado y cada vez más agricultores profesionales no dejan la inversión de todo el año en manos de la climatología. Desgraciadamente, los malos resultados del sistema de seguros, por elevada siniestralidad frente a primas cobradas, han hecho que el ajuste llevado a cabo haya traído consigo unos incrementos muy elevados para algunos asegurados y esas subidas de precio son un lastre para conseguir lo que busca ASAJA, que es el pleno aseguramiento para que nadie pueda ver quebrado su futuro por el clima. A fecha 1 de diciembre, faltando veinte días para terminar la campaña de contratación, en Castilla y León hay un 18% menos pólizas que el año anterior. Este año se han contratado algo menos de 15.000 pólizas cuando el año anterior a la misma fecha se habían tramitado 18.000 pólizas.</w:t>
      </w:r>
    </w:p>
    <w:p w14:paraId="33D7C90A" w14:textId="77777777" w:rsidR="00D5252F" w:rsidRPr="00C6165A" w:rsidRDefault="00D5252F" w:rsidP="00D5252F">
      <w:pPr>
        <w:suppressAutoHyphens/>
      </w:pPr>
      <w:r w:rsidRPr="00C6165A">
        <w:t>Castilla y León es la región española con más implantación del seguro de cultivos herbáceos, superando el 80% de hectáreas aseguradas y, teniendo en cuenta la cobertura de sequía, superando el 50%.</w:t>
      </w:r>
    </w:p>
    <w:p w14:paraId="37A644C7" w14:textId="77777777" w:rsidR="00455772" w:rsidRDefault="00455772" w:rsidP="00D5252F">
      <w:pPr>
        <w:suppressAutoHyphens/>
      </w:pPr>
    </w:p>
    <w:p w14:paraId="78485F11" w14:textId="29EB0186" w:rsidR="00D5252F" w:rsidRPr="00C6165A" w:rsidRDefault="00D5252F" w:rsidP="00D5252F">
      <w:pPr>
        <w:suppressAutoHyphens/>
      </w:pPr>
      <w:r w:rsidRPr="00C6165A">
        <w:t>También hay otras líneas de seguro con alta implantación, como es el de uva de vinificación, forrajes y remolacha. En el seguro de uva se han contratado algo de más de 37.000 hectáreas, en el de forrajes unas 42.000 hectáreas y en el de remolacha rondan las 12.000 hectáreas.</w:t>
      </w:r>
    </w:p>
    <w:p w14:paraId="79A0CF23" w14:textId="77777777" w:rsidR="00455772" w:rsidRDefault="00455772" w:rsidP="00D5252F">
      <w:pPr>
        <w:suppressAutoHyphens/>
      </w:pPr>
    </w:p>
    <w:p w14:paraId="0B741899" w14:textId="28F2B1A4" w:rsidR="00D5252F" w:rsidRDefault="00D5252F" w:rsidP="00D5252F">
      <w:pPr>
        <w:suppressAutoHyphens/>
      </w:pPr>
      <w:r w:rsidRPr="00C6165A">
        <w:t xml:space="preserve">En cuanto a la parte pecuaria de la región, en el sector del vacuno de leche la implantación es bastante superior a la del vacuno de carne mientras que el ovino tiene una implantación muy reducida, no llegando al 10%. El caso del ovino es especial porque este año cuenta con un aumento en la subvención base de 21 puntos porcentuales –frente a los 11 p.p. del resto de líneas- lo que hace que en la mayoría de </w:t>
      </w:r>
      <w:r w:rsidR="00455772" w:rsidRPr="00C6165A">
        <w:t>las explotaciones</w:t>
      </w:r>
      <w:r w:rsidRPr="00C6165A">
        <w:t xml:space="preserve"> de ovino se pueda llegar al máximo de subvención legal posible, algo que debería hacer atractivo el seguro para estos ganaderos.</w:t>
      </w:r>
    </w:p>
    <w:p w14:paraId="27D1C383" w14:textId="01959D80" w:rsidR="006B328B" w:rsidRDefault="006B328B" w:rsidP="00D5252F">
      <w:pPr>
        <w:suppressAutoHyphens/>
      </w:pPr>
    </w:p>
    <w:p w14:paraId="63C7DE76" w14:textId="77777777" w:rsidR="00455772" w:rsidRDefault="00455772" w:rsidP="00D5252F">
      <w:pPr>
        <w:suppressAutoHyphens/>
      </w:pPr>
    </w:p>
    <w:p w14:paraId="067747ED" w14:textId="67BE7630" w:rsidR="00A71373" w:rsidRDefault="00A71373" w:rsidP="00A71373">
      <w:pPr>
        <w:suppressAutoHyphens/>
        <w:jc w:val="center"/>
        <w:rPr>
          <w:b/>
          <w:bCs/>
        </w:rPr>
      </w:pPr>
      <w:r w:rsidRPr="00A71373">
        <w:rPr>
          <w:b/>
          <w:bCs/>
        </w:rPr>
        <w:t>VARIOS</w:t>
      </w:r>
    </w:p>
    <w:p w14:paraId="10C904C7" w14:textId="77777777" w:rsidR="00A71373" w:rsidRPr="00A71373" w:rsidRDefault="00A71373" w:rsidP="00A71373">
      <w:pPr>
        <w:suppressAutoHyphens/>
        <w:jc w:val="center"/>
        <w:rPr>
          <w:b/>
          <w:bCs/>
        </w:rPr>
      </w:pPr>
    </w:p>
    <w:p w14:paraId="290F0D4A" w14:textId="77777777" w:rsidR="00A71373" w:rsidRPr="00A71373" w:rsidRDefault="00A71373" w:rsidP="00A71373">
      <w:pPr>
        <w:suppressAutoHyphens/>
        <w:rPr>
          <w:b/>
          <w:bCs/>
        </w:rPr>
      </w:pPr>
      <w:r w:rsidRPr="00A71373">
        <w:rPr>
          <w:b/>
          <w:bCs/>
        </w:rPr>
        <w:t>CES</w:t>
      </w:r>
    </w:p>
    <w:p w14:paraId="417DA095" w14:textId="77777777" w:rsidR="00A71373" w:rsidRPr="00A71373" w:rsidRDefault="00A71373" w:rsidP="00A71373">
      <w:pPr>
        <w:suppressAutoHyphens/>
      </w:pPr>
      <w:r w:rsidRPr="00A71373">
        <w:t>El Consejo Económico y Social de Castilla y León publicó en marzo de este año un informe donde se evidencia la gran importancia que tiene el sector agroalimentario en nuestra sociedad. En el informe se hacen propuestas de cambios y recomendaciones con el fin de lograr una transición del modelo que sea adecuada, logrando la necesaria rentabilidad y a la vez incorporando las circunstancias medioambientales actuales.</w:t>
      </w:r>
    </w:p>
    <w:p w14:paraId="0B863FA9" w14:textId="77777777" w:rsidR="00A71373" w:rsidRPr="00A71373" w:rsidRDefault="00A71373" w:rsidP="00A71373">
      <w:pPr>
        <w:suppressAutoHyphens/>
      </w:pPr>
      <w:r w:rsidRPr="00A71373">
        <w:t>ASAJA promovió la elaboración de este estudio para ver la interacción entre la regulación ambiental y la agricultura y se concluye que la agricultura es una actividad económica necesaria como pocas y que para su desarrollo y obtener alimentos tiene que intervenir necesariamente en la naturaleza. Esta interacción tan estrecha hace que la agricultura ejerza presiones tanto beneficiosas como perjudiciales sobre el medio ambiente y, por ello, puede producir impactos ambientales positivos y negativos que determinarán el estado general del medio ambiente.</w:t>
      </w:r>
    </w:p>
    <w:p w14:paraId="3844ED78" w14:textId="77777777" w:rsidR="00A71373" w:rsidRPr="00A71373" w:rsidRDefault="00A71373" w:rsidP="00A71373">
      <w:pPr>
        <w:suppressAutoHyphens/>
      </w:pPr>
      <w:r w:rsidRPr="00A71373">
        <w:t>Considera el informe que es necesario dar un paso adelante en dos sentidos:</w:t>
      </w:r>
    </w:p>
    <w:p w14:paraId="4756DB7A" w14:textId="77777777" w:rsidR="00A71373" w:rsidRPr="00A71373" w:rsidRDefault="00A71373" w:rsidP="00A71373">
      <w:pPr>
        <w:numPr>
          <w:ilvl w:val="0"/>
          <w:numId w:val="34"/>
        </w:numPr>
        <w:suppressAutoHyphens/>
      </w:pPr>
      <w:r w:rsidRPr="00A71373">
        <w:t>Por un lado, potenciar el valor de los servicios ecosistémicos vinculados al medio rural al promover la reducción de la contaminación y el sustento de la biodiversidad.</w:t>
      </w:r>
    </w:p>
    <w:p w14:paraId="6A2EAAB7" w14:textId="77777777" w:rsidR="00A71373" w:rsidRPr="00A71373" w:rsidRDefault="00A71373" w:rsidP="00A71373">
      <w:pPr>
        <w:numPr>
          <w:ilvl w:val="0"/>
          <w:numId w:val="34"/>
        </w:numPr>
        <w:suppressAutoHyphens/>
      </w:pPr>
      <w:r w:rsidRPr="00A71373">
        <w:t>Por otro, contribuir a reequilibrar la balanza entre los costes asumidos por el sector agroforestal y los beneficios percibidos por la sociedad en forma de servicios ecosistémicos.</w:t>
      </w:r>
    </w:p>
    <w:p w14:paraId="1B580EB1" w14:textId="77777777" w:rsidR="00A71373" w:rsidRPr="00A71373" w:rsidRDefault="00A71373" w:rsidP="00A71373">
      <w:pPr>
        <w:suppressAutoHyphens/>
      </w:pPr>
    </w:p>
    <w:p w14:paraId="1C385879" w14:textId="77777777" w:rsidR="00A71373" w:rsidRPr="00A71373" w:rsidRDefault="00A71373" w:rsidP="00A71373">
      <w:pPr>
        <w:suppressAutoHyphens/>
        <w:rPr>
          <w:b/>
          <w:bCs/>
        </w:rPr>
      </w:pPr>
      <w:r w:rsidRPr="00A71373">
        <w:rPr>
          <w:b/>
          <w:bCs/>
        </w:rPr>
        <w:t>ASAJA mujeres</w:t>
      </w:r>
    </w:p>
    <w:p w14:paraId="38A6C7F7" w14:textId="77777777" w:rsidR="00A71373" w:rsidRPr="00A71373" w:rsidRDefault="00A71373" w:rsidP="00A71373">
      <w:pPr>
        <w:suppressAutoHyphens/>
      </w:pPr>
      <w:r w:rsidRPr="00A71373">
        <w:t>En mayo se constituyó la nueva asociación que aglutina al colectivo de Mujeres que forman parte de ASAJA.</w:t>
      </w:r>
    </w:p>
    <w:p w14:paraId="7152166F" w14:textId="77777777" w:rsidR="00A71373" w:rsidRPr="00A71373" w:rsidRDefault="00A71373" w:rsidP="00A71373">
      <w:pPr>
        <w:suppressAutoHyphens/>
      </w:pPr>
      <w:r w:rsidRPr="00A71373">
        <w:t xml:space="preserve">La presidenta de la asociación es Blanca </w:t>
      </w:r>
      <w:proofErr w:type="spellStart"/>
      <w:r w:rsidRPr="00A71373">
        <w:t>Corroto</w:t>
      </w:r>
      <w:proofErr w:type="spellEnd"/>
      <w:r w:rsidRPr="00A71373">
        <w:t xml:space="preserve">, que a su vez es presidenta de ASAJA en Toledo desde hace 11 años. </w:t>
      </w:r>
    </w:p>
    <w:p w14:paraId="75339A01" w14:textId="77777777" w:rsidR="00A71373" w:rsidRPr="00A71373" w:rsidRDefault="00A71373" w:rsidP="00A71373">
      <w:pPr>
        <w:suppressAutoHyphens/>
      </w:pPr>
      <w:r w:rsidRPr="00A71373">
        <w:t xml:space="preserve">Esta asociación nace con varios retos que se pueden resumir en dos: </w:t>
      </w:r>
    </w:p>
    <w:p w14:paraId="57A817F7" w14:textId="77777777" w:rsidR="00A71373" w:rsidRPr="00A71373" w:rsidRDefault="00A71373" w:rsidP="00A71373">
      <w:pPr>
        <w:numPr>
          <w:ilvl w:val="0"/>
          <w:numId w:val="34"/>
        </w:numPr>
        <w:suppressAutoHyphens/>
        <w:rPr>
          <w:iCs/>
        </w:rPr>
      </w:pPr>
      <w:r w:rsidRPr="00A71373">
        <w:rPr>
          <w:iCs/>
        </w:rPr>
        <w:t>Apoyar a las mujeres que viven en el medio rural, acercándoles la información y formación que precisen.</w:t>
      </w:r>
    </w:p>
    <w:p w14:paraId="66AC4575" w14:textId="77777777" w:rsidR="00A71373" w:rsidRPr="00A71373" w:rsidRDefault="00A71373" w:rsidP="00A71373">
      <w:pPr>
        <w:numPr>
          <w:ilvl w:val="0"/>
          <w:numId w:val="34"/>
        </w:numPr>
        <w:suppressAutoHyphens/>
        <w:rPr>
          <w:iCs/>
        </w:rPr>
      </w:pPr>
      <w:r w:rsidRPr="00A71373">
        <w:rPr>
          <w:iCs/>
        </w:rPr>
        <w:t>Motivar a la población rural femenina a asumir más responsabilidades fuera del hogar, a que se hagan más presentes en los puestos de dirección y gestión de asociaciones, cooperativas y empresas.</w:t>
      </w:r>
    </w:p>
    <w:p w14:paraId="79F17477" w14:textId="77777777" w:rsidR="00A71373" w:rsidRPr="00A71373" w:rsidRDefault="00A71373" w:rsidP="00A71373">
      <w:pPr>
        <w:suppressAutoHyphens/>
        <w:rPr>
          <w:iCs/>
        </w:rPr>
      </w:pPr>
    </w:p>
    <w:p w14:paraId="3F0DE6B3" w14:textId="77777777" w:rsidR="00A71373" w:rsidRPr="00A71373" w:rsidRDefault="00A71373" w:rsidP="00A71373">
      <w:pPr>
        <w:suppressAutoHyphens/>
        <w:rPr>
          <w:b/>
          <w:bCs/>
          <w:iCs/>
        </w:rPr>
      </w:pPr>
      <w:r w:rsidRPr="00A71373">
        <w:rPr>
          <w:b/>
          <w:bCs/>
          <w:iCs/>
        </w:rPr>
        <w:t>Erasmus agrario de Castilla y León</w:t>
      </w:r>
    </w:p>
    <w:p w14:paraId="13584968" w14:textId="77777777" w:rsidR="00A71373" w:rsidRPr="00A71373" w:rsidRDefault="00A71373" w:rsidP="00A71373">
      <w:pPr>
        <w:suppressAutoHyphens/>
        <w:rPr>
          <w:iCs/>
        </w:rPr>
      </w:pPr>
      <w:r w:rsidRPr="00A71373">
        <w:rPr>
          <w:iCs/>
        </w:rPr>
        <w:t>ASAJA, en colaboración con la Junta de Castilla y León, ha puesto en marcha durante el 2022 el programa de movilidad en el sector agrario, conocido como “Erasmus agrario”, con el objetivo de que los nuevos profesionales agrarios y ganaderos puedan adquirir y consolidar conocimientos útiles para aplicar en su actividad.</w:t>
      </w:r>
    </w:p>
    <w:p w14:paraId="3D04CF3B" w14:textId="77777777" w:rsidR="00A71373" w:rsidRPr="00A71373" w:rsidRDefault="00A71373" w:rsidP="00A71373">
      <w:pPr>
        <w:suppressAutoHyphens/>
      </w:pPr>
      <w:r w:rsidRPr="00A71373">
        <w:t>El programa está enfocado a capacitar prioritariamente a los jóvenes que van a incorporarse o recién incorporados a la actividad agraria, para que puedan afrontar propuestas de innovación y tecnificación y mejorar así la eficiencia y competitividad de las explotaciones. Unos conocimientos y experiencias que se adquirirán mediante estancias y experiencias prácticas en explotaciones de referencia.</w:t>
      </w:r>
    </w:p>
    <w:p w14:paraId="7C8EE9F7" w14:textId="716F9809" w:rsidR="00A71373" w:rsidRDefault="00A71373" w:rsidP="00A71373">
      <w:pPr>
        <w:suppressAutoHyphens/>
      </w:pPr>
      <w:r w:rsidRPr="00A71373">
        <w:t>Las estancias son gratuitas y tendrán una duración de entre 5 y 15 días laborables, con siete horas de experiencia práctica diaria.</w:t>
      </w:r>
    </w:p>
    <w:p w14:paraId="61287286" w14:textId="77777777" w:rsidR="00A71373" w:rsidRPr="00A71373" w:rsidRDefault="00A71373" w:rsidP="00A71373">
      <w:pPr>
        <w:suppressAutoHyphens/>
      </w:pPr>
    </w:p>
    <w:p w14:paraId="6351349A" w14:textId="77777777" w:rsidR="006B328B" w:rsidRPr="00C6165A" w:rsidRDefault="006B328B" w:rsidP="00D5252F">
      <w:pPr>
        <w:suppressAutoHyphens/>
      </w:pPr>
    </w:p>
    <w:sectPr w:rsidR="006B328B" w:rsidRPr="00C6165A" w:rsidSect="00E75BC5">
      <w:headerReference w:type="even" r:id="rId36"/>
      <w:headerReference w:type="default" r:id="rId37"/>
      <w:footerReference w:type="default" r:id="rId38"/>
      <w:headerReference w:type="first" r:id="rId39"/>
      <w:pgSz w:w="11906" w:h="16838" w:code="9"/>
      <w:pgMar w:top="1702" w:right="1701" w:bottom="1418"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39A5D" w14:textId="77777777" w:rsidR="006D56AA" w:rsidRDefault="006D56AA">
      <w:r>
        <w:separator/>
      </w:r>
    </w:p>
  </w:endnote>
  <w:endnote w:type="continuationSeparator" w:id="0">
    <w:p w14:paraId="5BC1191D" w14:textId="77777777" w:rsidR="006D56AA" w:rsidRDefault="006D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CD26" w14:textId="6C02C5AA" w:rsidR="00817D9D" w:rsidRDefault="00817D9D" w:rsidP="00D73457">
    <w:pPr>
      <w:pStyle w:val="Piedepgina"/>
      <w:framePr w:wrap="around"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0020CD">
      <w:rPr>
        <w:rStyle w:val="Nmerodepgina"/>
        <w:rFonts w:cs="Arial"/>
        <w:noProof/>
      </w:rPr>
      <w:t>1</w:t>
    </w:r>
    <w:r>
      <w:rPr>
        <w:rStyle w:val="Nmerodepgina"/>
        <w:rFonts w:cs="Arial"/>
      </w:rPr>
      <w:fldChar w:fldCharType="end"/>
    </w:r>
  </w:p>
  <w:p w14:paraId="3C62F5F5" w14:textId="77777777" w:rsidR="00817D9D" w:rsidRDefault="00817D9D" w:rsidP="009B643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F0DB" w14:textId="77777777" w:rsidR="00817D9D" w:rsidRDefault="00817D9D">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3C95" w14:textId="22444EF8" w:rsidR="00817D9D" w:rsidRPr="00EF6B74" w:rsidRDefault="00817D9D" w:rsidP="00EF6B74">
    <w:pPr>
      <w:pStyle w:val="Piedepgina"/>
      <w:jc w:val="center"/>
      <w:rPr>
        <w:bCs/>
        <w:sz w:val="20"/>
        <w:szCs w:val="20"/>
      </w:rPr>
    </w:pPr>
    <w:r w:rsidRPr="00EF6B74">
      <w:rPr>
        <w:bCs/>
        <w:sz w:val="20"/>
        <w:szCs w:val="20"/>
      </w:rPr>
      <w:t xml:space="preserve">Balance de la agricultura y ganadería de Castilla y León en el año </w:t>
    </w:r>
    <w:r>
      <w:rPr>
        <w:bCs/>
        <w:sz w:val="20"/>
        <w:szCs w:val="20"/>
      </w:rPr>
      <w:t>202</w:t>
    </w:r>
    <w:r w:rsidR="000020CD">
      <w:rPr>
        <w:bCs/>
        <w:sz w:val="20"/>
        <w:szCs w:val="20"/>
      </w:rPr>
      <w:t>2</w:t>
    </w:r>
    <w:r w:rsidRPr="00EF6B74">
      <w:rPr>
        <w:bCs/>
        <w:sz w:val="20"/>
        <w:szCs w:val="20"/>
      </w:rPr>
      <w:tab/>
    </w:r>
    <w:r w:rsidRPr="00EF6B74">
      <w:rPr>
        <w:bCs/>
        <w:sz w:val="20"/>
        <w:szCs w:val="20"/>
      </w:rPr>
      <w:fldChar w:fldCharType="begin"/>
    </w:r>
    <w:r w:rsidRPr="00EF6B74">
      <w:rPr>
        <w:bCs/>
        <w:sz w:val="20"/>
        <w:szCs w:val="20"/>
      </w:rPr>
      <w:instrText>PAGE   \* MERGEFORMAT</w:instrText>
    </w:r>
    <w:r w:rsidRPr="00EF6B74">
      <w:rPr>
        <w:bCs/>
        <w:sz w:val="20"/>
        <w:szCs w:val="20"/>
      </w:rPr>
      <w:fldChar w:fldCharType="separate"/>
    </w:r>
    <w:r w:rsidRPr="00EF6B74">
      <w:rPr>
        <w:bCs/>
        <w:sz w:val="20"/>
        <w:szCs w:val="20"/>
      </w:rPr>
      <w:t>1</w:t>
    </w:r>
    <w:r w:rsidRPr="00EF6B74">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08DF1" w14:textId="77777777" w:rsidR="006D56AA" w:rsidRDefault="006D56AA">
      <w:r>
        <w:separator/>
      </w:r>
    </w:p>
  </w:footnote>
  <w:footnote w:type="continuationSeparator" w:id="0">
    <w:p w14:paraId="6A1371AC" w14:textId="77777777" w:rsidR="006D56AA" w:rsidRDefault="006D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8F7D1" w14:textId="77777777" w:rsidR="00817D9D" w:rsidRDefault="00817D9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F40F" w14:textId="77777777" w:rsidR="00E75BC5" w:rsidRDefault="00E75BC5">
    <w:pPr>
      <w:pStyle w:val="Encabezado"/>
    </w:pPr>
  </w:p>
  <w:p w14:paraId="5050AC4F" w14:textId="6EBFB99F" w:rsidR="00817D9D" w:rsidRDefault="00E75BC5" w:rsidP="00E75BC5">
    <w:pPr>
      <w:pStyle w:val="Encabezado"/>
      <w:jc w:val="left"/>
    </w:pPr>
    <w:r>
      <w:rPr>
        <w:noProof/>
      </w:rPr>
      <w:drawing>
        <wp:inline distT="0" distB="0" distL="0" distR="0" wp14:anchorId="3AFE5B7D" wp14:editId="5A80D68C">
          <wp:extent cx="1352550" cy="422910"/>
          <wp:effectExtent l="0" t="0" r="0" b="0"/>
          <wp:docPr id="26" name="Imagen 2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4239" cy="43907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90915" w14:textId="77777777" w:rsidR="00817D9D" w:rsidRDefault="00817D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62F4"/>
    <w:multiLevelType w:val="hybridMultilevel"/>
    <w:tmpl w:val="762AC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D24C89"/>
    <w:multiLevelType w:val="multilevel"/>
    <w:tmpl w:val="ADEA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D194C"/>
    <w:multiLevelType w:val="hybridMultilevel"/>
    <w:tmpl w:val="C19ACE74"/>
    <w:lvl w:ilvl="0" w:tplc="57746CFE">
      <w:start w:val="10"/>
      <w:numFmt w:val="bullet"/>
      <w:lvlText w:val="-"/>
      <w:lvlJc w:val="left"/>
      <w:pPr>
        <w:ind w:left="720" w:hanging="360"/>
      </w:pPr>
      <w:rPr>
        <w:rFonts w:ascii="Arial" w:eastAsia="Times New Roman" w:hAnsi="Aria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 w15:restartNumberingAfterBreak="0">
    <w:nsid w:val="09257D59"/>
    <w:multiLevelType w:val="hybridMultilevel"/>
    <w:tmpl w:val="1346AA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F782C46"/>
    <w:multiLevelType w:val="hybridMultilevel"/>
    <w:tmpl w:val="522AAC4A"/>
    <w:lvl w:ilvl="0" w:tplc="35C4FC08">
      <w:start w:val="1"/>
      <w:numFmt w:val="bullet"/>
      <w:lvlText w:val=""/>
      <w:lvlJc w:val="left"/>
      <w:pPr>
        <w:ind w:left="720" w:hanging="360"/>
      </w:pPr>
      <w:rPr>
        <w:rFonts w:ascii="Symbol" w:hAnsi="Symbol"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F9B673D"/>
    <w:multiLevelType w:val="multilevel"/>
    <w:tmpl w:val="CCB6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26C53"/>
    <w:multiLevelType w:val="hybridMultilevel"/>
    <w:tmpl w:val="973C68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72768A9"/>
    <w:multiLevelType w:val="hybridMultilevel"/>
    <w:tmpl w:val="DEA026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8DF4A5A"/>
    <w:multiLevelType w:val="hybridMultilevel"/>
    <w:tmpl w:val="3A0C3E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45D2C08"/>
    <w:multiLevelType w:val="hybridMultilevel"/>
    <w:tmpl w:val="C5FA9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4C43C3"/>
    <w:multiLevelType w:val="hybridMultilevel"/>
    <w:tmpl w:val="9B02416E"/>
    <w:lvl w:ilvl="0" w:tplc="B1104342">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93922EF"/>
    <w:multiLevelType w:val="hybridMultilevel"/>
    <w:tmpl w:val="87B46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9B79CF"/>
    <w:multiLevelType w:val="hybridMultilevel"/>
    <w:tmpl w:val="31DAC2B0"/>
    <w:lvl w:ilvl="0" w:tplc="ECC24DE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411439"/>
    <w:multiLevelType w:val="hybridMultilevel"/>
    <w:tmpl w:val="0D06FF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373944EF"/>
    <w:multiLevelType w:val="hybridMultilevel"/>
    <w:tmpl w:val="E31AD7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3A3511"/>
    <w:multiLevelType w:val="hybridMultilevel"/>
    <w:tmpl w:val="F54267BA"/>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6" w15:restartNumberingAfterBreak="0">
    <w:nsid w:val="3D5A76F4"/>
    <w:multiLevelType w:val="hybridMultilevel"/>
    <w:tmpl w:val="654A54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4E724062"/>
    <w:multiLevelType w:val="multilevel"/>
    <w:tmpl w:val="7100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2F5DD0"/>
    <w:multiLevelType w:val="hybridMultilevel"/>
    <w:tmpl w:val="74D6D048"/>
    <w:lvl w:ilvl="0" w:tplc="1776619C">
      <w:start w:val="1"/>
      <w:numFmt w:val="bullet"/>
      <w:lvlText w:val=""/>
      <w:lvlJc w:val="left"/>
      <w:pPr>
        <w:ind w:left="720" w:hanging="360"/>
      </w:pPr>
      <w:rPr>
        <w:rFonts w:ascii="Wingdings" w:hAnsi="Wingdings" w:hint="default"/>
        <w:sz w:val="20"/>
        <w:szCs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5A942B81"/>
    <w:multiLevelType w:val="hybridMultilevel"/>
    <w:tmpl w:val="3FDE87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AD43D05"/>
    <w:multiLevelType w:val="hybridMultilevel"/>
    <w:tmpl w:val="62D279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5BA878F8"/>
    <w:multiLevelType w:val="hybridMultilevel"/>
    <w:tmpl w:val="0BD2C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BEC32CE"/>
    <w:multiLevelType w:val="hybridMultilevel"/>
    <w:tmpl w:val="8E524A4C"/>
    <w:lvl w:ilvl="0" w:tplc="412CA70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D543601"/>
    <w:multiLevelType w:val="hybridMultilevel"/>
    <w:tmpl w:val="4F2E00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AA1A0C"/>
    <w:multiLevelType w:val="hybridMultilevel"/>
    <w:tmpl w:val="DF72B5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FD6DEB"/>
    <w:multiLevelType w:val="hybridMultilevel"/>
    <w:tmpl w:val="3D6EF306"/>
    <w:lvl w:ilvl="0" w:tplc="AFE6A3D2">
      <w:start w:val="1"/>
      <w:numFmt w:val="decimal"/>
      <w:lvlText w:val="%1.-"/>
      <w:lvlJc w:val="center"/>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5E670B0"/>
    <w:multiLevelType w:val="hybridMultilevel"/>
    <w:tmpl w:val="9B7427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6A84215D"/>
    <w:multiLevelType w:val="hybridMultilevel"/>
    <w:tmpl w:val="39B64B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70177DCE"/>
    <w:multiLevelType w:val="hybridMultilevel"/>
    <w:tmpl w:val="36FCAF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72B55445"/>
    <w:multiLevelType w:val="hybridMultilevel"/>
    <w:tmpl w:val="268C2D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43F57C8"/>
    <w:multiLevelType w:val="hybridMultilevel"/>
    <w:tmpl w:val="3D6EF306"/>
    <w:lvl w:ilvl="0" w:tplc="AFE6A3D2">
      <w:start w:val="1"/>
      <w:numFmt w:val="decimal"/>
      <w:lvlText w:val="%1.-"/>
      <w:lvlJc w:val="center"/>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563174F"/>
    <w:multiLevelType w:val="hybridMultilevel"/>
    <w:tmpl w:val="DBA6FC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79237B36"/>
    <w:multiLevelType w:val="multilevel"/>
    <w:tmpl w:val="20C0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8A74E8"/>
    <w:multiLevelType w:val="hybridMultilevel"/>
    <w:tmpl w:val="5E4603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7BA25166"/>
    <w:multiLevelType w:val="hybridMultilevel"/>
    <w:tmpl w:val="1CB231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8"/>
  </w:num>
  <w:num w:numId="5">
    <w:abstractNumId w:val="17"/>
  </w:num>
  <w:num w:numId="6">
    <w:abstractNumId w:val="12"/>
  </w:num>
  <w:num w:numId="7">
    <w:abstractNumId w:val="14"/>
  </w:num>
  <w:num w:numId="8">
    <w:abstractNumId w:val="2"/>
  </w:num>
  <w:num w:numId="9">
    <w:abstractNumId w:val="21"/>
  </w:num>
  <w:num w:numId="10">
    <w:abstractNumId w:val="10"/>
  </w:num>
  <w:num w:numId="11">
    <w:abstractNumId w:val="25"/>
  </w:num>
  <w:num w:numId="12">
    <w:abstractNumId w:val="30"/>
  </w:num>
  <w:num w:numId="13">
    <w:abstractNumId w:val="6"/>
  </w:num>
  <w:num w:numId="14">
    <w:abstractNumId w:val="27"/>
  </w:num>
  <w:num w:numId="15">
    <w:abstractNumId w:val="23"/>
  </w:num>
  <w:num w:numId="16">
    <w:abstractNumId w:val="34"/>
  </w:num>
  <w:num w:numId="17">
    <w:abstractNumId w:val="19"/>
  </w:num>
  <w:num w:numId="18">
    <w:abstractNumId w:val="3"/>
  </w:num>
  <w:num w:numId="19">
    <w:abstractNumId w:val="28"/>
  </w:num>
  <w:num w:numId="20">
    <w:abstractNumId w:val="13"/>
  </w:num>
  <w:num w:numId="21">
    <w:abstractNumId w:val="24"/>
  </w:num>
  <w:num w:numId="22">
    <w:abstractNumId w:val="20"/>
  </w:num>
  <w:num w:numId="23">
    <w:abstractNumId w:val="33"/>
  </w:num>
  <w:num w:numId="24">
    <w:abstractNumId w:val="8"/>
  </w:num>
  <w:num w:numId="25">
    <w:abstractNumId w:val="7"/>
  </w:num>
  <w:num w:numId="26">
    <w:abstractNumId w:val="31"/>
  </w:num>
  <w:num w:numId="27">
    <w:abstractNumId w:val="29"/>
  </w:num>
  <w:num w:numId="28">
    <w:abstractNumId w:val="11"/>
  </w:num>
  <w:num w:numId="29">
    <w:abstractNumId w:val="0"/>
  </w:num>
  <w:num w:numId="30">
    <w:abstractNumId w:val="1"/>
  </w:num>
  <w:num w:numId="31">
    <w:abstractNumId w:val="5"/>
  </w:num>
  <w:num w:numId="32">
    <w:abstractNumId w:val="32"/>
  </w:num>
  <w:num w:numId="33">
    <w:abstractNumId w:val="4"/>
  </w:num>
  <w:num w:numId="34">
    <w:abstractNumId w:val="22"/>
  </w:num>
  <w:num w:numId="35">
    <w:abstractNumId w:val="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8A"/>
    <w:rsid w:val="000016EB"/>
    <w:rsid w:val="00001831"/>
    <w:rsid w:val="00001DE7"/>
    <w:rsid w:val="000020CD"/>
    <w:rsid w:val="00002B16"/>
    <w:rsid w:val="00002BF0"/>
    <w:rsid w:val="00003882"/>
    <w:rsid w:val="000048DE"/>
    <w:rsid w:val="00004E30"/>
    <w:rsid w:val="00005B4D"/>
    <w:rsid w:val="0000631C"/>
    <w:rsid w:val="00010951"/>
    <w:rsid w:val="00014828"/>
    <w:rsid w:val="0001598A"/>
    <w:rsid w:val="00016329"/>
    <w:rsid w:val="00017912"/>
    <w:rsid w:val="00021096"/>
    <w:rsid w:val="000215A2"/>
    <w:rsid w:val="000219E5"/>
    <w:rsid w:val="00022027"/>
    <w:rsid w:val="00022CD6"/>
    <w:rsid w:val="00024586"/>
    <w:rsid w:val="00026848"/>
    <w:rsid w:val="00026A4E"/>
    <w:rsid w:val="00030A64"/>
    <w:rsid w:val="0003105D"/>
    <w:rsid w:val="000313AE"/>
    <w:rsid w:val="00034F7E"/>
    <w:rsid w:val="00036003"/>
    <w:rsid w:val="00036B35"/>
    <w:rsid w:val="00040281"/>
    <w:rsid w:val="00043090"/>
    <w:rsid w:val="00046041"/>
    <w:rsid w:val="000505D2"/>
    <w:rsid w:val="000512E3"/>
    <w:rsid w:val="00051E62"/>
    <w:rsid w:val="000530A5"/>
    <w:rsid w:val="00054A1B"/>
    <w:rsid w:val="00055044"/>
    <w:rsid w:val="00055098"/>
    <w:rsid w:val="00055AEA"/>
    <w:rsid w:val="000561DD"/>
    <w:rsid w:val="0006140C"/>
    <w:rsid w:val="00061DC4"/>
    <w:rsid w:val="00061F76"/>
    <w:rsid w:val="00062AC5"/>
    <w:rsid w:val="0006397C"/>
    <w:rsid w:val="00064488"/>
    <w:rsid w:val="00066FD5"/>
    <w:rsid w:val="0006744C"/>
    <w:rsid w:val="00073B18"/>
    <w:rsid w:val="00076250"/>
    <w:rsid w:val="000775F2"/>
    <w:rsid w:val="0008006C"/>
    <w:rsid w:val="00080DEB"/>
    <w:rsid w:val="000816CF"/>
    <w:rsid w:val="00083699"/>
    <w:rsid w:val="000855C3"/>
    <w:rsid w:val="00086B28"/>
    <w:rsid w:val="00086EBC"/>
    <w:rsid w:val="000920B1"/>
    <w:rsid w:val="00093128"/>
    <w:rsid w:val="00095F2F"/>
    <w:rsid w:val="00096D58"/>
    <w:rsid w:val="00097131"/>
    <w:rsid w:val="000A0A9A"/>
    <w:rsid w:val="000A1362"/>
    <w:rsid w:val="000A4F70"/>
    <w:rsid w:val="000A5AF8"/>
    <w:rsid w:val="000A7769"/>
    <w:rsid w:val="000B1DCD"/>
    <w:rsid w:val="000B3671"/>
    <w:rsid w:val="000B3849"/>
    <w:rsid w:val="000B4BB9"/>
    <w:rsid w:val="000B4EEF"/>
    <w:rsid w:val="000B6D22"/>
    <w:rsid w:val="000C0A26"/>
    <w:rsid w:val="000C31F8"/>
    <w:rsid w:val="000C3227"/>
    <w:rsid w:val="000C3918"/>
    <w:rsid w:val="000C393B"/>
    <w:rsid w:val="000C3D97"/>
    <w:rsid w:val="000C5A39"/>
    <w:rsid w:val="000D27F9"/>
    <w:rsid w:val="000D688A"/>
    <w:rsid w:val="000E0106"/>
    <w:rsid w:val="000E463B"/>
    <w:rsid w:val="000E52AF"/>
    <w:rsid w:val="000F009D"/>
    <w:rsid w:val="000F0303"/>
    <w:rsid w:val="000F0CD0"/>
    <w:rsid w:val="000F12A9"/>
    <w:rsid w:val="000F1733"/>
    <w:rsid w:val="000F3BD1"/>
    <w:rsid w:val="000F3D28"/>
    <w:rsid w:val="000F784E"/>
    <w:rsid w:val="000F79AA"/>
    <w:rsid w:val="001019E6"/>
    <w:rsid w:val="00101AF0"/>
    <w:rsid w:val="00104E60"/>
    <w:rsid w:val="0010537D"/>
    <w:rsid w:val="0010595C"/>
    <w:rsid w:val="00106678"/>
    <w:rsid w:val="001066CA"/>
    <w:rsid w:val="00106A7C"/>
    <w:rsid w:val="00106EF7"/>
    <w:rsid w:val="001075E7"/>
    <w:rsid w:val="00110BBF"/>
    <w:rsid w:val="001112EE"/>
    <w:rsid w:val="0011367F"/>
    <w:rsid w:val="0011427B"/>
    <w:rsid w:val="00115905"/>
    <w:rsid w:val="00115A5C"/>
    <w:rsid w:val="0011607D"/>
    <w:rsid w:val="00117963"/>
    <w:rsid w:val="0012217D"/>
    <w:rsid w:val="00124AA7"/>
    <w:rsid w:val="00125F40"/>
    <w:rsid w:val="001265D1"/>
    <w:rsid w:val="00126615"/>
    <w:rsid w:val="00127228"/>
    <w:rsid w:val="0013033D"/>
    <w:rsid w:val="00131435"/>
    <w:rsid w:val="001314AC"/>
    <w:rsid w:val="00131A92"/>
    <w:rsid w:val="001326AF"/>
    <w:rsid w:val="00133AE0"/>
    <w:rsid w:val="00137049"/>
    <w:rsid w:val="001406E9"/>
    <w:rsid w:val="00141450"/>
    <w:rsid w:val="001418A2"/>
    <w:rsid w:val="00143D38"/>
    <w:rsid w:val="00145A0A"/>
    <w:rsid w:val="001461F0"/>
    <w:rsid w:val="001512D8"/>
    <w:rsid w:val="00151ED4"/>
    <w:rsid w:val="001535DD"/>
    <w:rsid w:val="00154C4C"/>
    <w:rsid w:val="001551DC"/>
    <w:rsid w:val="001574DC"/>
    <w:rsid w:val="00164581"/>
    <w:rsid w:val="0016668E"/>
    <w:rsid w:val="00167602"/>
    <w:rsid w:val="00170C9B"/>
    <w:rsid w:val="00171FDF"/>
    <w:rsid w:val="001730EA"/>
    <w:rsid w:val="00175E73"/>
    <w:rsid w:val="00175EB1"/>
    <w:rsid w:val="00175F24"/>
    <w:rsid w:val="00176B0B"/>
    <w:rsid w:val="001777CB"/>
    <w:rsid w:val="00181390"/>
    <w:rsid w:val="00185929"/>
    <w:rsid w:val="00186A9C"/>
    <w:rsid w:val="001875FC"/>
    <w:rsid w:val="00187F1F"/>
    <w:rsid w:val="001907FA"/>
    <w:rsid w:val="001910CB"/>
    <w:rsid w:val="001912E6"/>
    <w:rsid w:val="0019130B"/>
    <w:rsid w:val="00191781"/>
    <w:rsid w:val="0019246F"/>
    <w:rsid w:val="001929E8"/>
    <w:rsid w:val="00196075"/>
    <w:rsid w:val="001A041C"/>
    <w:rsid w:val="001A19B0"/>
    <w:rsid w:val="001A3C56"/>
    <w:rsid w:val="001A4AD4"/>
    <w:rsid w:val="001A4E26"/>
    <w:rsid w:val="001A4FB0"/>
    <w:rsid w:val="001B690A"/>
    <w:rsid w:val="001C0DCB"/>
    <w:rsid w:val="001C1698"/>
    <w:rsid w:val="001C3AEF"/>
    <w:rsid w:val="001C5158"/>
    <w:rsid w:val="001C5740"/>
    <w:rsid w:val="001C5F15"/>
    <w:rsid w:val="001C634D"/>
    <w:rsid w:val="001D6B3A"/>
    <w:rsid w:val="001D6FE2"/>
    <w:rsid w:val="001E01D3"/>
    <w:rsid w:val="001E01F6"/>
    <w:rsid w:val="001E23CD"/>
    <w:rsid w:val="001E3647"/>
    <w:rsid w:val="001E5AAF"/>
    <w:rsid w:val="001E75F3"/>
    <w:rsid w:val="001E7D5B"/>
    <w:rsid w:val="001F16DD"/>
    <w:rsid w:val="001F2261"/>
    <w:rsid w:val="001F2979"/>
    <w:rsid w:val="001F2E59"/>
    <w:rsid w:val="001F629C"/>
    <w:rsid w:val="001F6322"/>
    <w:rsid w:val="001F7C21"/>
    <w:rsid w:val="00201897"/>
    <w:rsid w:val="00203689"/>
    <w:rsid w:val="00204786"/>
    <w:rsid w:val="00206D45"/>
    <w:rsid w:val="00211168"/>
    <w:rsid w:val="00214CAD"/>
    <w:rsid w:val="002175FA"/>
    <w:rsid w:val="00217EF1"/>
    <w:rsid w:val="00220B64"/>
    <w:rsid w:val="002211F4"/>
    <w:rsid w:val="00221AA0"/>
    <w:rsid w:val="002220A0"/>
    <w:rsid w:val="00222965"/>
    <w:rsid w:val="00223AAE"/>
    <w:rsid w:val="0022467B"/>
    <w:rsid w:val="0022556B"/>
    <w:rsid w:val="00227966"/>
    <w:rsid w:val="00230054"/>
    <w:rsid w:val="00231B87"/>
    <w:rsid w:val="002323BB"/>
    <w:rsid w:val="002324C6"/>
    <w:rsid w:val="00234DAE"/>
    <w:rsid w:val="00235096"/>
    <w:rsid w:val="00235803"/>
    <w:rsid w:val="00236D14"/>
    <w:rsid w:val="00236D16"/>
    <w:rsid w:val="00241606"/>
    <w:rsid w:val="00241E51"/>
    <w:rsid w:val="0024327B"/>
    <w:rsid w:val="00244615"/>
    <w:rsid w:val="002449DD"/>
    <w:rsid w:val="00244FC3"/>
    <w:rsid w:val="00246885"/>
    <w:rsid w:val="00247F78"/>
    <w:rsid w:val="00253891"/>
    <w:rsid w:val="00253D4F"/>
    <w:rsid w:val="00254FB0"/>
    <w:rsid w:val="0025521F"/>
    <w:rsid w:val="00256CD7"/>
    <w:rsid w:val="0025790C"/>
    <w:rsid w:val="00260108"/>
    <w:rsid w:val="002623F8"/>
    <w:rsid w:val="002626D1"/>
    <w:rsid w:val="002631C9"/>
    <w:rsid w:val="00264374"/>
    <w:rsid w:val="00265C21"/>
    <w:rsid w:val="00267027"/>
    <w:rsid w:val="0027173B"/>
    <w:rsid w:val="00272981"/>
    <w:rsid w:val="00272F7D"/>
    <w:rsid w:val="00273EFA"/>
    <w:rsid w:val="00274FBB"/>
    <w:rsid w:val="00276019"/>
    <w:rsid w:val="00276B54"/>
    <w:rsid w:val="0027793A"/>
    <w:rsid w:val="002812F2"/>
    <w:rsid w:val="00281E13"/>
    <w:rsid w:val="0028222D"/>
    <w:rsid w:val="0028378F"/>
    <w:rsid w:val="002842E1"/>
    <w:rsid w:val="00284A4A"/>
    <w:rsid w:val="0028618D"/>
    <w:rsid w:val="00287375"/>
    <w:rsid w:val="00290D33"/>
    <w:rsid w:val="002A07E2"/>
    <w:rsid w:val="002A1B72"/>
    <w:rsid w:val="002A1F94"/>
    <w:rsid w:val="002A2CD9"/>
    <w:rsid w:val="002A4689"/>
    <w:rsid w:val="002A4A51"/>
    <w:rsid w:val="002A6333"/>
    <w:rsid w:val="002A6504"/>
    <w:rsid w:val="002A6798"/>
    <w:rsid w:val="002A6C08"/>
    <w:rsid w:val="002A7128"/>
    <w:rsid w:val="002B1021"/>
    <w:rsid w:val="002B1C5A"/>
    <w:rsid w:val="002B3588"/>
    <w:rsid w:val="002B552C"/>
    <w:rsid w:val="002B634C"/>
    <w:rsid w:val="002B64D7"/>
    <w:rsid w:val="002C1177"/>
    <w:rsid w:val="002C1646"/>
    <w:rsid w:val="002C1E0B"/>
    <w:rsid w:val="002C44C9"/>
    <w:rsid w:val="002C60B7"/>
    <w:rsid w:val="002C6A7F"/>
    <w:rsid w:val="002C6C2B"/>
    <w:rsid w:val="002D0AFC"/>
    <w:rsid w:val="002D4778"/>
    <w:rsid w:val="002D590B"/>
    <w:rsid w:val="002D65E7"/>
    <w:rsid w:val="002D7673"/>
    <w:rsid w:val="002E11B2"/>
    <w:rsid w:val="002E13B1"/>
    <w:rsid w:val="002E15D0"/>
    <w:rsid w:val="002E2A60"/>
    <w:rsid w:val="002E5137"/>
    <w:rsid w:val="002E74AC"/>
    <w:rsid w:val="002F0A7D"/>
    <w:rsid w:val="002F214E"/>
    <w:rsid w:val="002F27CB"/>
    <w:rsid w:val="002F5AB4"/>
    <w:rsid w:val="00305FA1"/>
    <w:rsid w:val="003070FA"/>
    <w:rsid w:val="0030742D"/>
    <w:rsid w:val="003103D6"/>
    <w:rsid w:val="003119C8"/>
    <w:rsid w:val="00311FDC"/>
    <w:rsid w:val="0031307E"/>
    <w:rsid w:val="0031353B"/>
    <w:rsid w:val="003149E7"/>
    <w:rsid w:val="00314ACD"/>
    <w:rsid w:val="00315C87"/>
    <w:rsid w:val="00315E3B"/>
    <w:rsid w:val="00321C10"/>
    <w:rsid w:val="00322B0B"/>
    <w:rsid w:val="00322C71"/>
    <w:rsid w:val="00322E32"/>
    <w:rsid w:val="0032315C"/>
    <w:rsid w:val="00324739"/>
    <w:rsid w:val="00331ED7"/>
    <w:rsid w:val="00331EF4"/>
    <w:rsid w:val="003320FE"/>
    <w:rsid w:val="00332E80"/>
    <w:rsid w:val="0033343C"/>
    <w:rsid w:val="00335FA9"/>
    <w:rsid w:val="00337BDC"/>
    <w:rsid w:val="00340F63"/>
    <w:rsid w:val="0034138D"/>
    <w:rsid w:val="00341A73"/>
    <w:rsid w:val="00341CC3"/>
    <w:rsid w:val="003444BF"/>
    <w:rsid w:val="003466FC"/>
    <w:rsid w:val="00347F4C"/>
    <w:rsid w:val="003512F2"/>
    <w:rsid w:val="00351C6D"/>
    <w:rsid w:val="00361D76"/>
    <w:rsid w:val="0036277E"/>
    <w:rsid w:val="00363CA0"/>
    <w:rsid w:val="0036468E"/>
    <w:rsid w:val="00367D97"/>
    <w:rsid w:val="003709C7"/>
    <w:rsid w:val="00372478"/>
    <w:rsid w:val="00372637"/>
    <w:rsid w:val="00373484"/>
    <w:rsid w:val="00373617"/>
    <w:rsid w:val="00373F25"/>
    <w:rsid w:val="00374EA3"/>
    <w:rsid w:val="0037566C"/>
    <w:rsid w:val="0037588D"/>
    <w:rsid w:val="00375DC0"/>
    <w:rsid w:val="00380B49"/>
    <w:rsid w:val="00384CC8"/>
    <w:rsid w:val="00386C52"/>
    <w:rsid w:val="00390829"/>
    <w:rsid w:val="00391ADE"/>
    <w:rsid w:val="00392228"/>
    <w:rsid w:val="00393D1A"/>
    <w:rsid w:val="00394D1D"/>
    <w:rsid w:val="00395A35"/>
    <w:rsid w:val="003A3528"/>
    <w:rsid w:val="003A4D94"/>
    <w:rsid w:val="003A4DBC"/>
    <w:rsid w:val="003B1499"/>
    <w:rsid w:val="003B1905"/>
    <w:rsid w:val="003B3872"/>
    <w:rsid w:val="003B719E"/>
    <w:rsid w:val="003C00FC"/>
    <w:rsid w:val="003C04FC"/>
    <w:rsid w:val="003C1028"/>
    <w:rsid w:val="003C4789"/>
    <w:rsid w:val="003C508B"/>
    <w:rsid w:val="003C6EF6"/>
    <w:rsid w:val="003C7D3F"/>
    <w:rsid w:val="003D1C41"/>
    <w:rsid w:val="003D2EA7"/>
    <w:rsid w:val="003D5409"/>
    <w:rsid w:val="003E342F"/>
    <w:rsid w:val="003E5561"/>
    <w:rsid w:val="003E56A2"/>
    <w:rsid w:val="003E5F20"/>
    <w:rsid w:val="003E61AB"/>
    <w:rsid w:val="003F0141"/>
    <w:rsid w:val="003F1855"/>
    <w:rsid w:val="003F2D88"/>
    <w:rsid w:val="003F3084"/>
    <w:rsid w:val="003F411F"/>
    <w:rsid w:val="003F415B"/>
    <w:rsid w:val="003F4BAF"/>
    <w:rsid w:val="003F50F5"/>
    <w:rsid w:val="003F6DD9"/>
    <w:rsid w:val="003F7D0B"/>
    <w:rsid w:val="00400470"/>
    <w:rsid w:val="0040047E"/>
    <w:rsid w:val="0040157F"/>
    <w:rsid w:val="004025F3"/>
    <w:rsid w:val="00407511"/>
    <w:rsid w:val="00410E5A"/>
    <w:rsid w:val="00411277"/>
    <w:rsid w:val="00411751"/>
    <w:rsid w:val="00412F6E"/>
    <w:rsid w:val="0041438B"/>
    <w:rsid w:val="00415275"/>
    <w:rsid w:val="004157FC"/>
    <w:rsid w:val="0042030E"/>
    <w:rsid w:val="00420FFA"/>
    <w:rsid w:val="00430335"/>
    <w:rsid w:val="004334C6"/>
    <w:rsid w:val="0043424B"/>
    <w:rsid w:val="00437CAB"/>
    <w:rsid w:val="004404B2"/>
    <w:rsid w:val="0044081F"/>
    <w:rsid w:val="0044144F"/>
    <w:rsid w:val="00441B52"/>
    <w:rsid w:val="00442DF3"/>
    <w:rsid w:val="0044553D"/>
    <w:rsid w:val="00446BDB"/>
    <w:rsid w:val="0044761E"/>
    <w:rsid w:val="004512FC"/>
    <w:rsid w:val="00455772"/>
    <w:rsid w:val="00457966"/>
    <w:rsid w:val="00457E0B"/>
    <w:rsid w:val="00464FC6"/>
    <w:rsid w:val="004659C7"/>
    <w:rsid w:val="00466FD7"/>
    <w:rsid w:val="00467974"/>
    <w:rsid w:val="00471471"/>
    <w:rsid w:val="00472855"/>
    <w:rsid w:val="00476D23"/>
    <w:rsid w:val="004772FC"/>
    <w:rsid w:val="00477397"/>
    <w:rsid w:val="00477452"/>
    <w:rsid w:val="00477526"/>
    <w:rsid w:val="004821F9"/>
    <w:rsid w:val="00482C37"/>
    <w:rsid w:val="00482F2E"/>
    <w:rsid w:val="00483CF2"/>
    <w:rsid w:val="00484B1E"/>
    <w:rsid w:val="004874C3"/>
    <w:rsid w:val="004904FD"/>
    <w:rsid w:val="00494CC7"/>
    <w:rsid w:val="00495B7B"/>
    <w:rsid w:val="004960D1"/>
    <w:rsid w:val="00496B35"/>
    <w:rsid w:val="004A0640"/>
    <w:rsid w:val="004A103B"/>
    <w:rsid w:val="004A38CC"/>
    <w:rsid w:val="004A3D3B"/>
    <w:rsid w:val="004A460A"/>
    <w:rsid w:val="004B14EB"/>
    <w:rsid w:val="004B1860"/>
    <w:rsid w:val="004B4C03"/>
    <w:rsid w:val="004B58B4"/>
    <w:rsid w:val="004B5A97"/>
    <w:rsid w:val="004B65E5"/>
    <w:rsid w:val="004B6F9F"/>
    <w:rsid w:val="004B7019"/>
    <w:rsid w:val="004B76B4"/>
    <w:rsid w:val="004C08BA"/>
    <w:rsid w:val="004C0F10"/>
    <w:rsid w:val="004C3306"/>
    <w:rsid w:val="004C38FE"/>
    <w:rsid w:val="004C4A9A"/>
    <w:rsid w:val="004C592E"/>
    <w:rsid w:val="004C7F47"/>
    <w:rsid w:val="004D02EB"/>
    <w:rsid w:val="004D5191"/>
    <w:rsid w:val="004E1445"/>
    <w:rsid w:val="004E24EA"/>
    <w:rsid w:val="004E3FA0"/>
    <w:rsid w:val="004E5216"/>
    <w:rsid w:val="004E5EC2"/>
    <w:rsid w:val="004F0C6D"/>
    <w:rsid w:val="004F1961"/>
    <w:rsid w:val="004F2040"/>
    <w:rsid w:val="004F317F"/>
    <w:rsid w:val="00501EB0"/>
    <w:rsid w:val="00505D27"/>
    <w:rsid w:val="00506D9B"/>
    <w:rsid w:val="005072B6"/>
    <w:rsid w:val="0051012D"/>
    <w:rsid w:val="005101ED"/>
    <w:rsid w:val="00510693"/>
    <w:rsid w:val="0051098E"/>
    <w:rsid w:val="00511215"/>
    <w:rsid w:val="0051199F"/>
    <w:rsid w:val="00511D45"/>
    <w:rsid w:val="00512A2B"/>
    <w:rsid w:val="005133D0"/>
    <w:rsid w:val="005133ED"/>
    <w:rsid w:val="005158D2"/>
    <w:rsid w:val="00515B36"/>
    <w:rsid w:val="00516581"/>
    <w:rsid w:val="00517BCB"/>
    <w:rsid w:val="005246D8"/>
    <w:rsid w:val="005259A3"/>
    <w:rsid w:val="00525E70"/>
    <w:rsid w:val="005270F4"/>
    <w:rsid w:val="00527101"/>
    <w:rsid w:val="005301A2"/>
    <w:rsid w:val="0053334E"/>
    <w:rsid w:val="00533E2C"/>
    <w:rsid w:val="00534577"/>
    <w:rsid w:val="00534B21"/>
    <w:rsid w:val="00536649"/>
    <w:rsid w:val="005414EA"/>
    <w:rsid w:val="00553A5C"/>
    <w:rsid w:val="0055578A"/>
    <w:rsid w:val="00555F6F"/>
    <w:rsid w:val="0055619F"/>
    <w:rsid w:val="00557121"/>
    <w:rsid w:val="00560508"/>
    <w:rsid w:val="005626E7"/>
    <w:rsid w:val="00562FC9"/>
    <w:rsid w:val="0056444B"/>
    <w:rsid w:val="00564984"/>
    <w:rsid w:val="00566F65"/>
    <w:rsid w:val="005712BA"/>
    <w:rsid w:val="005714A4"/>
    <w:rsid w:val="005801BC"/>
    <w:rsid w:val="005822B6"/>
    <w:rsid w:val="0058350E"/>
    <w:rsid w:val="0058390C"/>
    <w:rsid w:val="00585BF7"/>
    <w:rsid w:val="005863D3"/>
    <w:rsid w:val="00591CD3"/>
    <w:rsid w:val="00592FD1"/>
    <w:rsid w:val="00594B72"/>
    <w:rsid w:val="00595E58"/>
    <w:rsid w:val="00596137"/>
    <w:rsid w:val="005964EB"/>
    <w:rsid w:val="00597371"/>
    <w:rsid w:val="005973BE"/>
    <w:rsid w:val="005A047A"/>
    <w:rsid w:val="005A0909"/>
    <w:rsid w:val="005A0D98"/>
    <w:rsid w:val="005A3C58"/>
    <w:rsid w:val="005A3CBF"/>
    <w:rsid w:val="005A3DCC"/>
    <w:rsid w:val="005A41D8"/>
    <w:rsid w:val="005A4D35"/>
    <w:rsid w:val="005A546C"/>
    <w:rsid w:val="005A5726"/>
    <w:rsid w:val="005A5ECC"/>
    <w:rsid w:val="005B0191"/>
    <w:rsid w:val="005B059E"/>
    <w:rsid w:val="005B0C86"/>
    <w:rsid w:val="005B0E11"/>
    <w:rsid w:val="005C0F69"/>
    <w:rsid w:val="005C1380"/>
    <w:rsid w:val="005C2B52"/>
    <w:rsid w:val="005C3228"/>
    <w:rsid w:val="005C392B"/>
    <w:rsid w:val="005C4331"/>
    <w:rsid w:val="005C5BB7"/>
    <w:rsid w:val="005C7F03"/>
    <w:rsid w:val="005D0431"/>
    <w:rsid w:val="005D2B57"/>
    <w:rsid w:val="005D3703"/>
    <w:rsid w:val="005D3846"/>
    <w:rsid w:val="005D75BE"/>
    <w:rsid w:val="005D7794"/>
    <w:rsid w:val="005E165D"/>
    <w:rsid w:val="005E20FE"/>
    <w:rsid w:val="005E5C7B"/>
    <w:rsid w:val="005E76BE"/>
    <w:rsid w:val="005F04B3"/>
    <w:rsid w:val="005F0803"/>
    <w:rsid w:val="005F17E5"/>
    <w:rsid w:val="005F36E5"/>
    <w:rsid w:val="005F6FA9"/>
    <w:rsid w:val="00600973"/>
    <w:rsid w:val="00601ADA"/>
    <w:rsid w:val="006102D6"/>
    <w:rsid w:val="0061062C"/>
    <w:rsid w:val="00611E0E"/>
    <w:rsid w:val="0061219E"/>
    <w:rsid w:val="006134D9"/>
    <w:rsid w:val="00613F46"/>
    <w:rsid w:val="00615E9C"/>
    <w:rsid w:val="00616AB6"/>
    <w:rsid w:val="0062153A"/>
    <w:rsid w:val="00622650"/>
    <w:rsid w:val="00623023"/>
    <w:rsid w:val="00630748"/>
    <w:rsid w:val="00630829"/>
    <w:rsid w:val="00630F14"/>
    <w:rsid w:val="006346DA"/>
    <w:rsid w:val="00634E42"/>
    <w:rsid w:val="00642AB5"/>
    <w:rsid w:val="00642DDD"/>
    <w:rsid w:val="00643C38"/>
    <w:rsid w:val="00643E24"/>
    <w:rsid w:val="00643FEF"/>
    <w:rsid w:val="00646130"/>
    <w:rsid w:val="0065356B"/>
    <w:rsid w:val="00654595"/>
    <w:rsid w:val="0066477F"/>
    <w:rsid w:val="00671BA3"/>
    <w:rsid w:val="00671BD4"/>
    <w:rsid w:val="006721AB"/>
    <w:rsid w:val="00673374"/>
    <w:rsid w:val="0067429C"/>
    <w:rsid w:val="0067471C"/>
    <w:rsid w:val="00674B78"/>
    <w:rsid w:val="006756FC"/>
    <w:rsid w:val="0067790D"/>
    <w:rsid w:val="0068303F"/>
    <w:rsid w:val="00683870"/>
    <w:rsid w:val="00684565"/>
    <w:rsid w:val="00684E67"/>
    <w:rsid w:val="00685DC2"/>
    <w:rsid w:val="00691148"/>
    <w:rsid w:val="006927D9"/>
    <w:rsid w:val="00692E2A"/>
    <w:rsid w:val="00694246"/>
    <w:rsid w:val="006946C0"/>
    <w:rsid w:val="00695091"/>
    <w:rsid w:val="0069541E"/>
    <w:rsid w:val="00696A50"/>
    <w:rsid w:val="00696DC9"/>
    <w:rsid w:val="006A112E"/>
    <w:rsid w:val="006A6E6D"/>
    <w:rsid w:val="006A7572"/>
    <w:rsid w:val="006B07BE"/>
    <w:rsid w:val="006B1B1D"/>
    <w:rsid w:val="006B328B"/>
    <w:rsid w:val="006B3695"/>
    <w:rsid w:val="006B3B99"/>
    <w:rsid w:val="006B624E"/>
    <w:rsid w:val="006B653E"/>
    <w:rsid w:val="006B6B74"/>
    <w:rsid w:val="006B6CD6"/>
    <w:rsid w:val="006B7426"/>
    <w:rsid w:val="006B77B3"/>
    <w:rsid w:val="006B7CB9"/>
    <w:rsid w:val="006C0251"/>
    <w:rsid w:val="006C03DC"/>
    <w:rsid w:val="006C0E08"/>
    <w:rsid w:val="006C2B49"/>
    <w:rsid w:val="006C327D"/>
    <w:rsid w:val="006C4387"/>
    <w:rsid w:val="006C4D17"/>
    <w:rsid w:val="006C5743"/>
    <w:rsid w:val="006C60C4"/>
    <w:rsid w:val="006C65B7"/>
    <w:rsid w:val="006C7B22"/>
    <w:rsid w:val="006D0214"/>
    <w:rsid w:val="006D1C2C"/>
    <w:rsid w:val="006D4209"/>
    <w:rsid w:val="006D48F2"/>
    <w:rsid w:val="006D4BB3"/>
    <w:rsid w:val="006D56AA"/>
    <w:rsid w:val="006D5F62"/>
    <w:rsid w:val="006D6D24"/>
    <w:rsid w:val="006D78D9"/>
    <w:rsid w:val="006E1EA0"/>
    <w:rsid w:val="006E3240"/>
    <w:rsid w:val="006E4139"/>
    <w:rsid w:val="006E46E3"/>
    <w:rsid w:val="006E53BA"/>
    <w:rsid w:val="006E5A87"/>
    <w:rsid w:val="006E659E"/>
    <w:rsid w:val="006E7721"/>
    <w:rsid w:val="006F0A19"/>
    <w:rsid w:val="006F369E"/>
    <w:rsid w:val="006F4F8C"/>
    <w:rsid w:val="006F62AE"/>
    <w:rsid w:val="006F6701"/>
    <w:rsid w:val="006F7EE4"/>
    <w:rsid w:val="00700272"/>
    <w:rsid w:val="00700CE9"/>
    <w:rsid w:val="00700FA0"/>
    <w:rsid w:val="00706446"/>
    <w:rsid w:val="00706A46"/>
    <w:rsid w:val="00707198"/>
    <w:rsid w:val="00711CED"/>
    <w:rsid w:val="00712B20"/>
    <w:rsid w:val="00712D9B"/>
    <w:rsid w:val="00712F41"/>
    <w:rsid w:val="00716BCE"/>
    <w:rsid w:val="0072162C"/>
    <w:rsid w:val="00721EE9"/>
    <w:rsid w:val="00723606"/>
    <w:rsid w:val="007242A7"/>
    <w:rsid w:val="00724D15"/>
    <w:rsid w:val="00724EE3"/>
    <w:rsid w:val="00725EED"/>
    <w:rsid w:val="00727F37"/>
    <w:rsid w:val="007305B6"/>
    <w:rsid w:val="00731393"/>
    <w:rsid w:val="00735571"/>
    <w:rsid w:val="00737BE7"/>
    <w:rsid w:val="00740DEF"/>
    <w:rsid w:val="007427C4"/>
    <w:rsid w:val="007430E1"/>
    <w:rsid w:val="007460F3"/>
    <w:rsid w:val="007468A4"/>
    <w:rsid w:val="00746D20"/>
    <w:rsid w:val="00750816"/>
    <w:rsid w:val="00751244"/>
    <w:rsid w:val="00751694"/>
    <w:rsid w:val="00753CD1"/>
    <w:rsid w:val="0075547C"/>
    <w:rsid w:val="0075715B"/>
    <w:rsid w:val="00757BEC"/>
    <w:rsid w:val="00760788"/>
    <w:rsid w:val="0076458B"/>
    <w:rsid w:val="00765A84"/>
    <w:rsid w:val="00765FB2"/>
    <w:rsid w:val="007700C6"/>
    <w:rsid w:val="007707EF"/>
    <w:rsid w:val="00772BD1"/>
    <w:rsid w:val="00773B90"/>
    <w:rsid w:val="00774610"/>
    <w:rsid w:val="007747E0"/>
    <w:rsid w:val="00774C24"/>
    <w:rsid w:val="00776478"/>
    <w:rsid w:val="00776D54"/>
    <w:rsid w:val="00777C67"/>
    <w:rsid w:val="00780B86"/>
    <w:rsid w:val="00782CFE"/>
    <w:rsid w:val="00782DF1"/>
    <w:rsid w:val="00784599"/>
    <w:rsid w:val="00785B0B"/>
    <w:rsid w:val="007864E1"/>
    <w:rsid w:val="00786C82"/>
    <w:rsid w:val="00787AF8"/>
    <w:rsid w:val="00787DAA"/>
    <w:rsid w:val="007917AC"/>
    <w:rsid w:val="007917DD"/>
    <w:rsid w:val="00795D32"/>
    <w:rsid w:val="00797AE1"/>
    <w:rsid w:val="007A005F"/>
    <w:rsid w:val="007A1DBB"/>
    <w:rsid w:val="007A29AD"/>
    <w:rsid w:val="007A517A"/>
    <w:rsid w:val="007A6E69"/>
    <w:rsid w:val="007B052C"/>
    <w:rsid w:val="007B07ED"/>
    <w:rsid w:val="007B13D7"/>
    <w:rsid w:val="007B173F"/>
    <w:rsid w:val="007B3440"/>
    <w:rsid w:val="007B4409"/>
    <w:rsid w:val="007B5126"/>
    <w:rsid w:val="007B5212"/>
    <w:rsid w:val="007B5ECC"/>
    <w:rsid w:val="007B79A7"/>
    <w:rsid w:val="007C01EF"/>
    <w:rsid w:val="007C15D0"/>
    <w:rsid w:val="007C40D3"/>
    <w:rsid w:val="007C53F7"/>
    <w:rsid w:val="007C552E"/>
    <w:rsid w:val="007C59C6"/>
    <w:rsid w:val="007D133C"/>
    <w:rsid w:val="007D2426"/>
    <w:rsid w:val="007D2B2C"/>
    <w:rsid w:val="007D2FEE"/>
    <w:rsid w:val="007D3347"/>
    <w:rsid w:val="007D3789"/>
    <w:rsid w:val="007D3E31"/>
    <w:rsid w:val="007D589F"/>
    <w:rsid w:val="007D5B4F"/>
    <w:rsid w:val="007D5E7A"/>
    <w:rsid w:val="007E053A"/>
    <w:rsid w:val="007E128B"/>
    <w:rsid w:val="007E38DC"/>
    <w:rsid w:val="007E49D8"/>
    <w:rsid w:val="007E5501"/>
    <w:rsid w:val="007E798A"/>
    <w:rsid w:val="007F0BE6"/>
    <w:rsid w:val="007F3624"/>
    <w:rsid w:val="007F6B88"/>
    <w:rsid w:val="007F730B"/>
    <w:rsid w:val="007F7EE9"/>
    <w:rsid w:val="008008B6"/>
    <w:rsid w:val="00803A4A"/>
    <w:rsid w:val="00805C85"/>
    <w:rsid w:val="00810A87"/>
    <w:rsid w:val="00813999"/>
    <w:rsid w:val="008152E1"/>
    <w:rsid w:val="008160AA"/>
    <w:rsid w:val="00816B07"/>
    <w:rsid w:val="00817D9D"/>
    <w:rsid w:val="00817EBE"/>
    <w:rsid w:val="00821DD6"/>
    <w:rsid w:val="008221B9"/>
    <w:rsid w:val="0082241B"/>
    <w:rsid w:val="00823537"/>
    <w:rsid w:val="0082397A"/>
    <w:rsid w:val="008245CC"/>
    <w:rsid w:val="008245D5"/>
    <w:rsid w:val="008247A0"/>
    <w:rsid w:val="00826C9F"/>
    <w:rsid w:val="00835451"/>
    <w:rsid w:val="008359A0"/>
    <w:rsid w:val="008370B5"/>
    <w:rsid w:val="00837A19"/>
    <w:rsid w:val="00840077"/>
    <w:rsid w:val="008403F6"/>
    <w:rsid w:val="00842CD3"/>
    <w:rsid w:val="00842DE8"/>
    <w:rsid w:val="00844D11"/>
    <w:rsid w:val="00845604"/>
    <w:rsid w:val="00847D5E"/>
    <w:rsid w:val="008504A7"/>
    <w:rsid w:val="00852818"/>
    <w:rsid w:val="00857959"/>
    <w:rsid w:val="00857B29"/>
    <w:rsid w:val="00860E95"/>
    <w:rsid w:val="008649EA"/>
    <w:rsid w:val="00865A5A"/>
    <w:rsid w:val="00866574"/>
    <w:rsid w:val="00867D3A"/>
    <w:rsid w:val="00870CFE"/>
    <w:rsid w:val="00871200"/>
    <w:rsid w:val="00871A91"/>
    <w:rsid w:val="0087661B"/>
    <w:rsid w:val="00877767"/>
    <w:rsid w:val="008801B0"/>
    <w:rsid w:val="008809FF"/>
    <w:rsid w:val="008820C9"/>
    <w:rsid w:val="0088217F"/>
    <w:rsid w:val="00883155"/>
    <w:rsid w:val="008854FD"/>
    <w:rsid w:val="0088606C"/>
    <w:rsid w:val="00887000"/>
    <w:rsid w:val="008874AC"/>
    <w:rsid w:val="008953BE"/>
    <w:rsid w:val="00897B8A"/>
    <w:rsid w:val="008A255B"/>
    <w:rsid w:val="008A6002"/>
    <w:rsid w:val="008A66D3"/>
    <w:rsid w:val="008A75C3"/>
    <w:rsid w:val="008C02DE"/>
    <w:rsid w:val="008C0656"/>
    <w:rsid w:val="008C1F54"/>
    <w:rsid w:val="008C3AEE"/>
    <w:rsid w:val="008C3DC5"/>
    <w:rsid w:val="008C3FE6"/>
    <w:rsid w:val="008D0C02"/>
    <w:rsid w:val="008D2E58"/>
    <w:rsid w:val="008D2EF4"/>
    <w:rsid w:val="008D3F8C"/>
    <w:rsid w:val="008D4179"/>
    <w:rsid w:val="008D4B47"/>
    <w:rsid w:val="008D563A"/>
    <w:rsid w:val="008E0B1C"/>
    <w:rsid w:val="008E513C"/>
    <w:rsid w:val="008E561A"/>
    <w:rsid w:val="008E5BB1"/>
    <w:rsid w:val="008E71AF"/>
    <w:rsid w:val="008E75A9"/>
    <w:rsid w:val="008F2BD8"/>
    <w:rsid w:val="008F2D1B"/>
    <w:rsid w:val="008F49A5"/>
    <w:rsid w:val="008F4BD9"/>
    <w:rsid w:val="008F5EC3"/>
    <w:rsid w:val="008F642E"/>
    <w:rsid w:val="008F7822"/>
    <w:rsid w:val="009005AD"/>
    <w:rsid w:val="00900D14"/>
    <w:rsid w:val="00901246"/>
    <w:rsid w:val="009013BD"/>
    <w:rsid w:val="0090281F"/>
    <w:rsid w:val="00903709"/>
    <w:rsid w:val="00903815"/>
    <w:rsid w:val="00903FA6"/>
    <w:rsid w:val="0090536F"/>
    <w:rsid w:val="00905852"/>
    <w:rsid w:val="00906B97"/>
    <w:rsid w:val="00907636"/>
    <w:rsid w:val="009103CA"/>
    <w:rsid w:val="00913817"/>
    <w:rsid w:val="0091568F"/>
    <w:rsid w:val="00915AF0"/>
    <w:rsid w:val="0092005F"/>
    <w:rsid w:val="0092232A"/>
    <w:rsid w:val="00922543"/>
    <w:rsid w:val="00922994"/>
    <w:rsid w:val="00922BF7"/>
    <w:rsid w:val="00924270"/>
    <w:rsid w:val="00924BC1"/>
    <w:rsid w:val="00924CA5"/>
    <w:rsid w:val="0092546F"/>
    <w:rsid w:val="009267AE"/>
    <w:rsid w:val="00927B96"/>
    <w:rsid w:val="00927C32"/>
    <w:rsid w:val="00927DF8"/>
    <w:rsid w:val="009339C9"/>
    <w:rsid w:val="00944750"/>
    <w:rsid w:val="00944A04"/>
    <w:rsid w:val="00952208"/>
    <w:rsid w:val="009539CF"/>
    <w:rsid w:val="00953AFC"/>
    <w:rsid w:val="00953DCF"/>
    <w:rsid w:val="00954AC2"/>
    <w:rsid w:val="00955304"/>
    <w:rsid w:val="00956A31"/>
    <w:rsid w:val="009601D2"/>
    <w:rsid w:val="00960AAB"/>
    <w:rsid w:val="0096684C"/>
    <w:rsid w:val="00972263"/>
    <w:rsid w:val="00972AF9"/>
    <w:rsid w:val="00976114"/>
    <w:rsid w:val="009770CB"/>
    <w:rsid w:val="009825B5"/>
    <w:rsid w:val="00984FC0"/>
    <w:rsid w:val="00985FCA"/>
    <w:rsid w:val="0098666E"/>
    <w:rsid w:val="00991C90"/>
    <w:rsid w:val="00991E59"/>
    <w:rsid w:val="00993E5E"/>
    <w:rsid w:val="00994E1B"/>
    <w:rsid w:val="009966A9"/>
    <w:rsid w:val="00997892"/>
    <w:rsid w:val="00997C20"/>
    <w:rsid w:val="00997F50"/>
    <w:rsid w:val="009A00DE"/>
    <w:rsid w:val="009A02B5"/>
    <w:rsid w:val="009A0BA6"/>
    <w:rsid w:val="009A1404"/>
    <w:rsid w:val="009A1D78"/>
    <w:rsid w:val="009A3083"/>
    <w:rsid w:val="009A323B"/>
    <w:rsid w:val="009A36C7"/>
    <w:rsid w:val="009A49C7"/>
    <w:rsid w:val="009A4A45"/>
    <w:rsid w:val="009A52B3"/>
    <w:rsid w:val="009A6172"/>
    <w:rsid w:val="009A6892"/>
    <w:rsid w:val="009A7F44"/>
    <w:rsid w:val="009B19FA"/>
    <w:rsid w:val="009B2B74"/>
    <w:rsid w:val="009B4D40"/>
    <w:rsid w:val="009B4E85"/>
    <w:rsid w:val="009B5500"/>
    <w:rsid w:val="009B6439"/>
    <w:rsid w:val="009B68F1"/>
    <w:rsid w:val="009B7299"/>
    <w:rsid w:val="009C0CAF"/>
    <w:rsid w:val="009C285B"/>
    <w:rsid w:val="009C305D"/>
    <w:rsid w:val="009C4117"/>
    <w:rsid w:val="009C44CB"/>
    <w:rsid w:val="009C51B3"/>
    <w:rsid w:val="009C59C4"/>
    <w:rsid w:val="009C6594"/>
    <w:rsid w:val="009C65D2"/>
    <w:rsid w:val="009C6933"/>
    <w:rsid w:val="009C6B7B"/>
    <w:rsid w:val="009C6D18"/>
    <w:rsid w:val="009C7B8C"/>
    <w:rsid w:val="009C7E21"/>
    <w:rsid w:val="009D0D84"/>
    <w:rsid w:val="009D1C71"/>
    <w:rsid w:val="009D22F7"/>
    <w:rsid w:val="009D3FA1"/>
    <w:rsid w:val="009D6C93"/>
    <w:rsid w:val="009E29B2"/>
    <w:rsid w:val="009E5192"/>
    <w:rsid w:val="009E6005"/>
    <w:rsid w:val="009E61F1"/>
    <w:rsid w:val="009E646D"/>
    <w:rsid w:val="009E6DF9"/>
    <w:rsid w:val="009E7C73"/>
    <w:rsid w:val="009F157C"/>
    <w:rsid w:val="009F1660"/>
    <w:rsid w:val="009F34C2"/>
    <w:rsid w:val="009F4587"/>
    <w:rsid w:val="009F50AA"/>
    <w:rsid w:val="00A00517"/>
    <w:rsid w:val="00A0186A"/>
    <w:rsid w:val="00A0448E"/>
    <w:rsid w:val="00A0494A"/>
    <w:rsid w:val="00A05D17"/>
    <w:rsid w:val="00A07EAD"/>
    <w:rsid w:val="00A07FE6"/>
    <w:rsid w:val="00A10BD3"/>
    <w:rsid w:val="00A145BF"/>
    <w:rsid w:val="00A166D1"/>
    <w:rsid w:val="00A17493"/>
    <w:rsid w:val="00A20ACA"/>
    <w:rsid w:val="00A211E1"/>
    <w:rsid w:val="00A216A9"/>
    <w:rsid w:val="00A21AB4"/>
    <w:rsid w:val="00A257C2"/>
    <w:rsid w:val="00A306F2"/>
    <w:rsid w:val="00A30736"/>
    <w:rsid w:val="00A31794"/>
    <w:rsid w:val="00A32B52"/>
    <w:rsid w:val="00A335C2"/>
    <w:rsid w:val="00A33C08"/>
    <w:rsid w:val="00A35A55"/>
    <w:rsid w:val="00A36891"/>
    <w:rsid w:val="00A4138B"/>
    <w:rsid w:val="00A429B7"/>
    <w:rsid w:val="00A42F42"/>
    <w:rsid w:val="00A43FD2"/>
    <w:rsid w:val="00A44DCB"/>
    <w:rsid w:val="00A46E4D"/>
    <w:rsid w:val="00A475B2"/>
    <w:rsid w:val="00A500FC"/>
    <w:rsid w:val="00A5276D"/>
    <w:rsid w:val="00A53B0B"/>
    <w:rsid w:val="00A54547"/>
    <w:rsid w:val="00A55D7A"/>
    <w:rsid w:val="00A566E6"/>
    <w:rsid w:val="00A5688B"/>
    <w:rsid w:val="00A56DED"/>
    <w:rsid w:val="00A571B3"/>
    <w:rsid w:val="00A57AD5"/>
    <w:rsid w:val="00A60C01"/>
    <w:rsid w:val="00A6140B"/>
    <w:rsid w:val="00A673A6"/>
    <w:rsid w:val="00A67C47"/>
    <w:rsid w:val="00A71373"/>
    <w:rsid w:val="00A71655"/>
    <w:rsid w:val="00A7290C"/>
    <w:rsid w:val="00A7336C"/>
    <w:rsid w:val="00A73A3E"/>
    <w:rsid w:val="00A73C75"/>
    <w:rsid w:val="00A7445B"/>
    <w:rsid w:val="00A757C4"/>
    <w:rsid w:val="00A759C1"/>
    <w:rsid w:val="00A75BC7"/>
    <w:rsid w:val="00A76B23"/>
    <w:rsid w:val="00A81964"/>
    <w:rsid w:val="00A81C5C"/>
    <w:rsid w:val="00A82A6E"/>
    <w:rsid w:val="00A8576B"/>
    <w:rsid w:val="00A87D1E"/>
    <w:rsid w:val="00A90186"/>
    <w:rsid w:val="00A91316"/>
    <w:rsid w:val="00A94A77"/>
    <w:rsid w:val="00A94F8C"/>
    <w:rsid w:val="00A95292"/>
    <w:rsid w:val="00A95E83"/>
    <w:rsid w:val="00AA074C"/>
    <w:rsid w:val="00AA2E80"/>
    <w:rsid w:val="00AA49C3"/>
    <w:rsid w:val="00AA6418"/>
    <w:rsid w:val="00AA676B"/>
    <w:rsid w:val="00AA6B3B"/>
    <w:rsid w:val="00AA7418"/>
    <w:rsid w:val="00AA76F6"/>
    <w:rsid w:val="00AB0A37"/>
    <w:rsid w:val="00AB1E66"/>
    <w:rsid w:val="00AB2547"/>
    <w:rsid w:val="00AB6BF1"/>
    <w:rsid w:val="00AC02FA"/>
    <w:rsid w:val="00AC4267"/>
    <w:rsid w:val="00AC47B2"/>
    <w:rsid w:val="00AC5A6B"/>
    <w:rsid w:val="00AC6336"/>
    <w:rsid w:val="00AC6557"/>
    <w:rsid w:val="00AD0EEC"/>
    <w:rsid w:val="00AD1117"/>
    <w:rsid w:val="00AD2BBB"/>
    <w:rsid w:val="00AD402B"/>
    <w:rsid w:val="00AE0D2F"/>
    <w:rsid w:val="00AE0EF3"/>
    <w:rsid w:val="00AE2CDA"/>
    <w:rsid w:val="00AE5E34"/>
    <w:rsid w:val="00AE6316"/>
    <w:rsid w:val="00AE788D"/>
    <w:rsid w:val="00AF004B"/>
    <w:rsid w:val="00AF0D98"/>
    <w:rsid w:val="00AF2209"/>
    <w:rsid w:val="00AF35DA"/>
    <w:rsid w:val="00AF38EF"/>
    <w:rsid w:val="00AF6A7B"/>
    <w:rsid w:val="00B02777"/>
    <w:rsid w:val="00B06680"/>
    <w:rsid w:val="00B06AE4"/>
    <w:rsid w:val="00B07383"/>
    <w:rsid w:val="00B100FA"/>
    <w:rsid w:val="00B11AB9"/>
    <w:rsid w:val="00B1536A"/>
    <w:rsid w:val="00B157E0"/>
    <w:rsid w:val="00B16317"/>
    <w:rsid w:val="00B211DB"/>
    <w:rsid w:val="00B2370C"/>
    <w:rsid w:val="00B273A9"/>
    <w:rsid w:val="00B2757C"/>
    <w:rsid w:val="00B339C0"/>
    <w:rsid w:val="00B3455C"/>
    <w:rsid w:val="00B346B4"/>
    <w:rsid w:val="00B3557E"/>
    <w:rsid w:val="00B36E0C"/>
    <w:rsid w:val="00B37FC2"/>
    <w:rsid w:val="00B41C4F"/>
    <w:rsid w:val="00B42A3B"/>
    <w:rsid w:val="00B43989"/>
    <w:rsid w:val="00B4420D"/>
    <w:rsid w:val="00B45214"/>
    <w:rsid w:val="00B472AF"/>
    <w:rsid w:val="00B5059A"/>
    <w:rsid w:val="00B5317A"/>
    <w:rsid w:val="00B53592"/>
    <w:rsid w:val="00B5398F"/>
    <w:rsid w:val="00B55B78"/>
    <w:rsid w:val="00B566CB"/>
    <w:rsid w:val="00B61259"/>
    <w:rsid w:val="00B6230A"/>
    <w:rsid w:val="00B6238E"/>
    <w:rsid w:val="00B63548"/>
    <w:rsid w:val="00B642D2"/>
    <w:rsid w:val="00B654DD"/>
    <w:rsid w:val="00B66267"/>
    <w:rsid w:val="00B677AA"/>
    <w:rsid w:val="00B742F2"/>
    <w:rsid w:val="00B74891"/>
    <w:rsid w:val="00B753A4"/>
    <w:rsid w:val="00B7633C"/>
    <w:rsid w:val="00B764D0"/>
    <w:rsid w:val="00B80B8F"/>
    <w:rsid w:val="00B81602"/>
    <w:rsid w:val="00B82C2B"/>
    <w:rsid w:val="00B84B51"/>
    <w:rsid w:val="00B85F54"/>
    <w:rsid w:val="00B86350"/>
    <w:rsid w:val="00B87545"/>
    <w:rsid w:val="00B878F3"/>
    <w:rsid w:val="00B879A3"/>
    <w:rsid w:val="00B93F1F"/>
    <w:rsid w:val="00B943CC"/>
    <w:rsid w:val="00B97243"/>
    <w:rsid w:val="00B97D70"/>
    <w:rsid w:val="00BA0EB3"/>
    <w:rsid w:val="00BA224A"/>
    <w:rsid w:val="00BA3008"/>
    <w:rsid w:val="00BA3CB9"/>
    <w:rsid w:val="00BA4673"/>
    <w:rsid w:val="00BA4B1D"/>
    <w:rsid w:val="00BA718F"/>
    <w:rsid w:val="00BA7E8B"/>
    <w:rsid w:val="00BB0917"/>
    <w:rsid w:val="00BB0CCC"/>
    <w:rsid w:val="00BB1442"/>
    <w:rsid w:val="00BB24A4"/>
    <w:rsid w:val="00BB2ED7"/>
    <w:rsid w:val="00BB3DA5"/>
    <w:rsid w:val="00BB4173"/>
    <w:rsid w:val="00BB440F"/>
    <w:rsid w:val="00BB5067"/>
    <w:rsid w:val="00BB7C91"/>
    <w:rsid w:val="00BC093A"/>
    <w:rsid w:val="00BC23DB"/>
    <w:rsid w:val="00BC386E"/>
    <w:rsid w:val="00BC5F2C"/>
    <w:rsid w:val="00BC68F0"/>
    <w:rsid w:val="00BC6954"/>
    <w:rsid w:val="00BC735A"/>
    <w:rsid w:val="00BD0667"/>
    <w:rsid w:val="00BD0E5A"/>
    <w:rsid w:val="00BD44DC"/>
    <w:rsid w:val="00BD624B"/>
    <w:rsid w:val="00BD654C"/>
    <w:rsid w:val="00BD6DAB"/>
    <w:rsid w:val="00BE14EB"/>
    <w:rsid w:val="00BE1639"/>
    <w:rsid w:val="00BE5515"/>
    <w:rsid w:val="00BE622E"/>
    <w:rsid w:val="00BE677F"/>
    <w:rsid w:val="00BE741E"/>
    <w:rsid w:val="00BF1F29"/>
    <w:rsid w:val="00BF23F2"/>
    <w:rsid w:val="00BF3A88"/>
    <w:rsid w:val="00BF5D90"/>
    <w:rsid w:val="00BF66C5"/>
    <w:rsid w:val="00BF7EF9"/>
    <w:rsid w:val="00C00067"/>
    <w:rsid w:val="00C01CFC"/>
    <w:rsid w:val="00C02ED4"/>
    <w:rsid w:val="00C037A5"/>
    <w:rsid w:val="00C0581F"/>
    <w:rsid w:val="00C070DA"/>
    <w:rsid w:val="00C1088A"/>
    <w:rsid w:val="00C1099E"/>
    <w:rsid w:val="00C12643"/>
    <w:rsid w:val="00C12A4D"/>
    <w:rsid w:val="00C14326"/>
    <w:rsid w:val="00C1453F"/>
    <w:rsid w:val="00C1646F"/>
    <w:rsid w:val="00C20E7C"/>
    <w:rsid w:val="00C22590"/>
    <w:rsid w:val="00C22BE5"/>
    <w:rsid w:val="00C249FE"/>
    <w:rsid w:val="00C26A1C"/>
    <w:rsid w:val="00C26DB6"/>
    <w:rsid w:val="00C27DE9"/>
    <w:rsid w:val="00C32CEB"/>
    <w:rsid w:val="00C33968"/>
    <w:rsid w:val="00C34CA7"/>
    <w:rsid w:val="00C3652C"/>
    <w:rsid w:val="00C36CE1"/>
    <w:rsid w:val="00C37D09"/>
    <w:rsid w:val="00C41EF7"/>
    <w:rsid w:val="00C453B7"/>
    <w:rsid w:val="00C52560"/>
    <w:rsid w:val="00C52CB1"/>
    <w:rsid w:val="00C53AC7"/>
    <w:rsid w:val="00C57979"/>
    <w:rsid w:val="00C57B07"/>
    <w:rsid w:val="00C60044"/>
    <w:rsid w:val="00C607D0"/>
    <w:rsid w:val="00C6165A"/>
    <w:rsid w:val="00C63416"/>
    <w:rsid w:val="00C67FCC"/>
    <w:rsid w:val="00C67FF1"/>
    <w:rsid w:val="00C72D59"/>
    <w:rsid w:val="00C74F02"/>
    <w:rsid w:val="00C7543E"/>
    <w:rsid w:val="00C76795"/>
    <w:rsid w:val="00C77DDD"/>
    <w:rsid w:val="00C826C9"/>
    <w:rsid w:val="00C832F6"/>
    <w:rsid w:val="00C83FFC"/>
    <w:rsid w:val="00C85054"/>
    <w:rsid w:val="00C876D7"/>
    <w:rsid w:val="00C93673"/>
    <w:rsid w:val="00C94897"/>
    <w:rsid w:val="00C94FCA"/>
    <w:rsid w:val="00C960D7"/>
    <w:rsid w:val="00C97E3B"/>
    <w:rsid w:val="00CA6943"/>
    <w:rsid w:val="00CA6FB1"/>
    <w:rsid w:val="00CA7851"/>
    <w:rsid w:val="00CB34D8"/>
    <w:rsid w:val="00CB34EC"/>
    <w:rsid w:val="00CB4672"/>
    <w:rsid w:val="00CB5589"/>
    <w:rsid w:val="00CB5999"/>
    <w:rsid w:val="00CB6C8D"/>
    <w:rsid w:val="00CC20F3"/>
    <w:rsid w:val="00CC2FC0"/>
    <w:rsid w:val="00CC71EC"/>
    <w:rsid w:val="00CC72F9"/>
    <w:rsid w:val="00CC7FA4"/>
    <w:rsid w:val="00CD0832"/>
    <w:rsid w:val="00CD2BAB"/>
    <w:rsid w:val="00CD3102"/>
    <w:rsid w:val="00CD3CFD"/>
    <w:rsid w:val="00CD3ECD"/>
    <w:rsid w:val="00CD3F52"/>
    <w:rsid w:val="00CD4559"/>
    <w:rsid w:val="00CD503D"/>
    <w:rsid w:val="00CD667C"/>
    <w:rsid w:val="00CD6ED3"/>
    <w:rsid w:val="00CD726F"/>
    <w:rsid w:val="00CD7857"/>
    <w:rsid w:val="00CE01C2"/>
    <w:rsid w:val="00CE0F74"/>
    <w:rsid w:val="00CE35CB"/>
    <w:rsid w:val="00CE38C7"/>
    <w:rsid w:val="00CE60C0"/>
    <w:rsid w:val="00CE70FF"/>
    <w:rsid w:val="00CE732C"/>
    <w:rsid w:val="00CF2172"/>
    <w:rsid w:val="00CF2378"/>
    <w:rsid w:val="00CF270B"/>
    <w:rsid w:val="00CF6AA5"/>
    <w:rsid w:val="00D00A44"/>
    <w:rsid w:val="00D01282"/>
    <w:rsid w:val="00D01A2C"/>
    <w:rsid w:val="00D032A1"/>
    <w:rsid w:val="00D032A5"/>
    <w:rsid w:val="00D03316"/>
    <w:rsid w:val="00D04B2B"/>
    <w:rsid w:val="00D12EF1"/>
    <w:rsid w:val="00D1413B"/>
    <w:rsid w:val="00D14B50"/>
    <w:rsid w:val="00D1679C"/>
    <w:rsid w:val="00D20939"/>
    <w:rsid w:val="00D234E7"/>
    <w:rsid w:val="00D24541"/>
    <w:rsid w:val="00D31110"/>
    <w:rsid w:val="00D3252A"/>
    <w:rsid w:val="00D374FA"/>
    <w:rsid w:val="00D37CE3"/>
    <w:rsid w:val="00D40E25"/>
    <w:rsid w:val="00D42952"/>
    <w:rsid w:val="00D432F9"/>
    <w:rsid w:val="00D45577"/>
    <w:rsid w:val="00D45FFB"/>
    <w:rsid w:val="00D472BE"/>
    <w:rsid w:val="00D50086"/>
    <w:rsid w:val="00D5252F"/>
    <w:rsid w:val="00D52620"/>
    <w:rsid w:val="00D52EEE"/>
    <w:rsid w:val="00D5378E"/>
    <w:rsid w:val="00D545D0"/>
    <w:rsid w:val="00D55C9E"/>
    <w:rsid w:val="00D5748F"/>
    <w:rsid w:val="00D57B4F"/>
    <w:rsid w:val="00D6012B"/>
    <w:rsid w:val="00D63C33"/>
    <w:rsid w:val="00D6516C"/>
    <w:rsid w:val="00D6594F"/>
    <w:rsid w:val="00D65E86"/>
    <w:rsid w:val="00D65FEB"/>
    <w:rsid w:val="00D70680"/>
    <w:rsid w:val="00D72132"/>
    <w:rsid w:val="00D72B02"/>
    <w:rsid w:val="00D73457"/>
    <w:rsid w:val="00D75407"/>
    <w:rsid w:val="00D76DE8"/>
    <w:rsid w:val="00D8003C"/>
    <w:rsid w:val="00D80154"/>
    <w:rsid w:val="00D81AB5"/>
    <w:rsid w:val="00D83EFA"/>
    <w:rsid w:val="00D85EC3"/>
    <w:rsid w:val="00D86D7F"/>
    <w:rsid w:val="00D8739E"/>
    <w:rsid w:val="00D92E70"/>
    <w:rsid w:val="00D930E2"/>
    <w:rsid w:val="00D9333F"/>
    <w:rsid w:val="00DA00ED"/>
    <w:rsid w:val="00DA1FE8"/>
    <w:rsid w:val="00DA4264"/>
    <w:rsid w:val="00DA5C0C"/>
    <w:rsid w:val="00DA6FA8"/>
    <w:rsid w:val="00DA7E72"/>
    <w:rsid w:val="00DB0CEB"/>
    <w:rsid w:val="00DB1954"/>
    <w:rsid w:val="00DB233B"/>
    <w:rsid w:val="00DB4D49"/>
    <w:rsid w:val="00DB5835"/>
    <w:rsid w:val="00DB5DC1"/>
    <w:rsid w:val="00DC1044"/>
    <w:rsid w:val="00DC23E3"/>
    <w:rsid w:val="00DC462F"/>
    <w:rsid w:val="00DC4F14"/>
    <w:rsid w:val="00DC5E7E"/>
    <w:rsid w:val="00DC6989"/>
    <w:rsid w:val="00DC7088"/>
    <w:rsid w:val="00DD0AF5"/>
    <w:rsid w:val="00DD32E8"/>
    <w:rsid w:val="00DD3729"/>
    <w:rsid w:val="00DD4D06"/>
    <w:rsid w:val="00DD5272"/>
    <w:rsid w:val="00DD5745"/>
    <w:rsid w:val="00DE189B"/>
    <w:rsid w:val="00DE4085"/>
    <w:rsid w:val="00DE5AF0"/>
    <w:rsid w:val="00DF0D3E"/>
    <w:rsid w:val="00DF5678"/>
    <w:rsid w:val="00DF6761"/>
    <w:rsid w:val="00E00196"/>
    <w:rsid w:val="00E001D3"/>
    <w:rsid w:val="00E0272E"/>
    <w:rsid w:val="00E06034"/>
    <w:rsid w:val="00E060AD"/>
    <w:rsid w:val="00E0646D"/>
    <w:rsid w:val="00E11D5C"/>
    <w:rsid w:val="00E12DF2"/>
    <w:rsid w:val="00E138A2"/>
    <w:rsid w:val="00E15AED"/>
    <w:rsid w:val="00E15FD9"/>
    <w:rsid w:val="00E218B2"/>
    <w:rsid w:val="00E22578"/>
    <w:rsid w:val="00E23FE8"/>
    <w:rsid w:val="00E252F8"/>
    <w:rsid w:val="00E266E7"/>
    <w:rsid w:val="00E266FA"/>
    <w:rsid w:val="00E269F2"/>
    <w:rsid w:val="00E26FC9"/>
    <w:rsid w:val="00E3073F"/>
    <w:rsid w:val="00E31C2F"/>
    <w:rsid w:val="00E3324A"/>
    <w:rsid w:val="00E3407F"/>
    <w:rsid w:val="00E34161"/>
    <w:rsid w:val="00E34226"/>
    <w:rsid w:val="00E3649B"/>
    <w:rsid w:val="00E4015D"/>
    <w:rsid w:val="00E41B00"/>
    <w:rsid w:val="00E42F74"/>
    <w:rsid w:val="00E430D2"/>
    <w:rsid w:val="00E447D7"/>
    <w:rsid w:val="00E44907"/>
    <w:rsid w:val="00E44C16"/>
    <w:rsid w:val="00E468A6"/>
    <w:rsid w:val="00E473E0"/>
    <w:rsid w:val="00E50CF7"/>
    <w:rsid w:val="00E526E8"/>
    <w:rsid w:val="00E5393D"/>
    <w:rsid w:val="00E5534D"/>
    <w:rsid w:val="00E558D3"/>
    <w:rsid w:val="00E56540"/>
    <w:rsid w:val="00E60335"/>
    <w:rsid w:val="00E60660"/>
    <w:rsid w:val="00E62629"/>
    <w:rsid w:val="00E629CD"/>
    <w:rsid w:val="00E62F89"/>
    <w:rsid w:val="00E65B4F"/>
    <w:rsid w:val="00E65EA6"/>
    <w:rsid w:val="00E6626C"/>
    <w:rsid w:val="00E667F6"/>
    <w:rsid w:val="00E714DD"/>
    <w:rsid w:val="00E71E2F"/>
    <w:rsid w:val="00E725CB"/>
    <w:rsid w:val="00E73F06"/>
    <w:rsid w:val="00E75AD0"/>
    <w:rsid w:val="00E75BC5"/>
    <w:rsid w:val="00E75F56"/>
    <w:rsid w:val="00E76B06"/>
    <w:rsid w:val="00E771D1"/>
    <w:rsid w:val="00E77654"/>
    <w:rsid w:val="00E77CFF"/>
    <w:rsid w:val="00E8260C"/>
    <w:rsid w:val="00E82650"/>
    <w:rsid w:val="00E82B4C"/>
    <w:rsid w:val="00E83513"/>
    <w:rsid w:val="00E8352B"/>
    <w:rsid w:val="00E91845"/>
    <w:rsid w:val="00E921CC"/>
    <w:rsid w:val="00E93FFC"/>
    <w:rsid w:val="00E95569"/>
    <w:rsid w:val="00EA068D"/>
    <w:rsid w:val="00EA1F94"/>
    <w:rsid w:val="00EA23FF"/>
    <w:rsid w:val="00EA4C3D"/>
    <w:rsid w:val="00EA6C1C"/>
    <w:rsid w:val="00EA71AC"/>
    <w:rsid w:val="00EB2389"/>
    <w:rsid w:val="00EB63F6"/>
    <w:rsid w:val="00EB65CC"/>
    <w:rsid w:val="00EC011F"/>
    <w:rsid w:val="00EC081D"/>
    <w:rsid w:val="00EC109B"/>
    <w:rsid w:val="00EC460E"/>
    <w:rsid w:val="00EC47E6"/>
    <w:rsid w:val="00EC47EC"/>
    <w:rsid w:val="00EC59E0"/>
    <w:rsid w:val="00ED0AAB"/>
    <w:rsid w:val="00ED1190"/>
    <w:rsid w:val="00ED1B84"/>
    <w:rsid w:val="00ED21D7"/>
    <w:rsid w:val="00ED2E96"/>
    <w:rsid w:val="00ED39B2"/>
    <w:rsid w:val="00ED7159"/>
    <w:rsid w:val="00EE0179"/>
    <w:rsid w:val="00EE21AD"/>
    <w:rsid w:val="00EE240B"/>
    <w:rsid w:val="00EE399C"/>
    <w:rsid w:val="00EE4C2F"/>
    <w:rsid w:val="00EE4F44"/>
    <w:rsid w:val="00EE6089"/>
    <w:rsid w:val="00EE6D0E"/>
    <w:rsid w:val="00EF013B"/>
    <w:rsid w:val="00EF082D"/>
    <w:rsid w:val="00EF4CBC"/>
    <w:rsid w:val="00EF5087"/>
    <w:rsid w:val="00EF5592"/>
    <w:rsid w:val="00EF6B74"/>
    <w:rsid w:val="00F00832"/>
    <w:rsid w:val="00F03BE3"/>
    <w:rsid w:val="00F043E7"/>
    <w:rsid w:val="00F05D87"/>
    <w:rsid w:val="00F07809"/>
    <w:rsid w:val="00F145F3"/>
    <w:rsid w:val="00F14BB3"/>
    <w:rsid w:val="00F151DA"/>
    <w:rsid w:val="00F16EE8"/>
    <w:rsid w:val="00F231AA"/>
    <w:rsid w:val="00F24797"/>
    <w:rsid w:val="00F247A7"/>
    <w:rsid w:val="00F2486C"/>
    <w:rsid w:val="00F265D0"/>
    <w:rsid w:val="00F26702"/>
    <w:rsid w:val="00F31295"/>
    <w:rsid w:val="00F31E96"/>
    <w:rsid w:val="00F3220F"/>
    <w:rsid w:val="00F335DE"/>
    <w:rsid w:val="00F33923"/>
    <w:rsid w:val="00F33C54"/>
    <w:rsid w:val="00F35677"/>
    <w:rsid w:val="00F35933"/>
    <w:rsid w:val="00F37DD2"/>
    <w:rsid w:val="00F404FF"/>
    <w:rsid w:val="00F41574"/>
    <w:rsid w:val="00F44A2B"/>
    <w:rsid w:val="00F44BDD"/>
    <w:rsid w:val="00F4754D"/>
    <w:rsid w:val="00F53C0D"/>
    <w:rsid w:val="00F63F63"/>
    <w:rsid w:val="00F71815"/>
    <w:rsid w:val="00F729A4"/>
    <w:rsid w:val="00F72D29"/>
    <w:rsid w:val="00F73082"/>
    <w:rsid w:val="00F735BE"/>
    <w:rsid w:val="00F75921"/>
    <w:rsid w:val="00F7724F"/>
    <w:rsid w:val="00F808E9"/>
    <w:rsid w:val="00F83B0E"/>
    <w:rsid w:val="00F83E59"/>
    <w:rsid w:val="00F84776"/>
    <w:rsid w:val="00F84FF7"/>
    <w:rsid w:val="00F85670"/>
    <w:rsid w:val="00F92A9C"/>
    <w:rsid w:val="00F93B39"/>
    <w:rsid w:val="00F93DB3"/>
    <w:rsid w:val="00FA019D"/>
    <w:rsid w:val="00FA08A4"/>
    <w:rsid w:val="00FA14AF"/>
    <w:rsid w:val="00FA3327"/>
    <w:rsid w:val="00FA3B2D"/>
    <w:rsid w:val="00FA7E90"/>
    <w:rsid w:val="00FB01EA"/>
    <w:rsid w:val="00FB48A8"/>
    <w:rsid w:val="00FB5D6C"/>
    <w:rsid w:val="00FB6597"/>
    <w:rsid w:val="00FB6B81"/>
    <w:rsid w:val="00FB7EC8"/>
    <w:rsid w:val="00FC0A10"/>
    <w:rsid w:val="00FC532E"/>
    <w:rsid w:val="00FC5EDD"/>
    <w:rsid w:val="00FD08E7"/>
    <w:rsid w:val="00FD1AAA"/>
    <w:rsid w:val="00FD2ED4"/>
    <w:rsid w:val="00FD45D9"/>
    <w:rsid w:val="00FD6754"/>
    <w:rsid w:val="00FE124E"/>
    <w:rsid w:val="00FE1415"/>
    <w:rsid w:val="00FE2544"/>
    <w:rsid w:val="00FE5831"/>
    <w:rsid w:val="00FE5FBF"/>
    <w:rsid w:val="00FF0FDC"/>
    <w:rsid w:val="00FF2A1F"/>
    <w:rsid w:val="00FF4940"/>
    <w:rsid w:val="00FF6D36"/>
    <w:rsid w:val="00FF7CFE"/>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547965"/>
  <w15:docId w15:val="{5FD8ABFC-9DA4-4043-A4AF-B69445F8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6A2"/>
    <w:pPr>
      <w:jc w:val="both"/>
    </w:pPr>
    <w:rPr>
      <w:rFonts w:eastAsia="Times New Roman"/>
      <w:sz w:val="24"/>
      <w:szCs w:val="24"/>
      <w:lang w:eastAsia="en-US"/>
    </w:rPr>
  </w:style>
  <w:style w:type="paragraph" w:styleId="Ttulo1">
    <w:name w:val="heading 1"/>
    <w:basedOn w:val="Normal"/>
    <w:next w:val="Normal"/>
    <w:link w:val="Ttulo1Car"/>
    <w:qFormat/>
    <w:locked/>
    <w:rsid w:val="00692E2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semiHidden/>
    <w:unhideWhenUsed/>
    <w:qFormat/>
    <w:locked/>
    <w:rsid w:val="004152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9"/>
    <w:qFormat/>
    <w:locked/>
    <w:rsid w:val="009B6439"/>
    <w:pPr>
      <w:spacing w:before="100" w:beforeAutospacing="1" w:after="100" w:afterAutospacing="1"/>
      <w:jc w:val="left"/>
      <w:outlineLvl w:val="2"/>
    </w:pPr>
    <w:rPr>
      <w:rFonts w:ascii="Cambria" w:hAnsi="Cambria" w:cs="Times New Roman"/>
      <w:b/>
      <w:bCs/>
      <w:sz w:val="26"/>
      <w:szCs w:val="26"/>
    </w:rPr>
  </w:style>
  <w:style w:type="paragraph" w:styleId="Ttulo4">
    <w:name w:val="heading 4"/>
    <w:basedOn w:val="Normal"/>
    <w:next w:val="Normal"/>
    <w:link w:val="Ttulo4Car"/>
    <w:semiHidden/>
    <w:unhideWhenUsed/>
    <w:qFormat/>
    <w:locked/>
    <w:rsid w:val="00ED39B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ED39B2"/>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765A84"/>
    <w:rPr>
      <w:rFonts w:ascii="Cambria" w:hAnsi="Cambria" w:cs="Times New Roman"/>
      <w:b/>
      <w:sz w:val="26"/>
      <w:lang w:eastAsia="en-US"/>
    </w:rPr>
  </w:style>
  <w:style w:type="paragraph" w:styleId="Ttulo">
    <w:name w:val="Title"/>
    <w:basedOn w:val="Normal"/>
    <w:next w:val="Subttulo"/>
    <w:link w:val="TtuloCar"/>
    <w:qFormat/>
    <w:rsid w:val="00F83E59"/>
    <w:pPr>
      <w:suppressAutoHyphens/>
      <w:jc w:val="center"/>
    </w:pPr>
    <w:rPr>
      <w:b/>
      <w:i/>
      <w:kern w:val="1"/>
      <w:sz w:val="20"/>
      <w:szCs w:val="20"/>
      <w:lang w:eastAsia="ar-SA"/>
    </w:rPr>
  </w:style>
  <w:style w:type="character" w:customStyle="1" w:styleId="TtuloCar">
    <w:name w:val="Título Car"/>
    <w:basedOn w:val="Fuentedeprrafopredeter"/>
    <w:link w:val="Ttulo"/>
    <w:uiPriority w:val="99"/>
    <w:locked/>
    <w:rsid w:val="00F83E59"/>
    <w:rPr>
      <w:rFonts w:eastAsia="Times New Roman" w:cs="Times New Roman"/>
      <w:b/>
      <w:i/>
      <w:kern w:val="1"/>
      <w:sz w:val="20"/>
      <w:lang w:eastAsia="ar-SA" w:bidi="ar-SA"/>
    </w:rPr>
  </w:style>
  <w:style w:type="paragraph" w:styleId="Subttulo">
    <w:name w:val="Subtitle"/>
    <w:basedOn w:val="Normal"/>
    <w:next w:val="Normal"/>
    <w:link w:val="SubttuloCar"/>
    <w:uiPriority w:val="99"/>
    <w:qFormat/>
    <w:rsid w:val="00F83E59"/>
    <w:pPr>
      <w:numPr>
        <w:ilvl w:val="1"/>
      </w:numPr>
    </w:pPr>
    <w:rPr>
      <w:rFonts w:ascii="Cambria" w:eastAsia="Calibri" w:hAnsi="Cambria" w:cs="Times New Roman"/>
      <w:i/>
      <w:color w:val="4F81BD"/>
      <w:spacing w:val="15"/>
      <w:sz w:val="20"/>
      <w:szCs w:val="20"/>
      <w:lang w:eastAsia="es-ES"/>
    </w:rPr>
  </w:style>
  <w:style w:type="character" w:customStyle="1" w:styleId="SubttuloCar">
    <w:name w:val="Subtítulo Car"/>
    <w:basedOn w:val="Fuentedeprrafopredeter"/>
    <w:link w:val="Subttulo"/>
    <w:uiPriority w:val="99"/>
    <w:locked/>
    <w:rsid w:val="00F83E59"/>
    <w:rPr>
      <w:rFonts w:ascii="Cambria" w:hAnsi="Cambria" w:cs="Times New Roman"/>
      <w:i/>
      <w:color w:val="4F81BD"/>
      <w:spacing w:val="15"/>
    </w:rPr>
  </w:style>
  <w:style w:type="paragraph" w:styleId="Textoindependiente">
    <w:name w:val="Body Text"/>
    <w:basedOn w:val="Normal"/>
    <w:link w:val="TextoindependienteCar"/>
    <w:uiPriority w:val="99"/>
    <w:rsid w:val="00533E2C"/>
    <w:pPr>
      <w:suppressAutoHyphens/>
      <w:spacing w:after="120"/>
    </w:pPr>
    <w:rPr>
      <w:rFonts w:eastAsia="SimSun"/>
      <w:kern w:val="1"/>
      <w:sz w:val="20"/>
      <w:szCs w:val="20"/>
      <w:lang w:eastAsia="ar-SA"/>
    </w:rPr>
  </w:style>
  <w:style w:type="character" w:customStyle="1" w:styleId="TextoindependienteCar">
    <w:name w:val="Texto independiente Car"/>
    <w:basedOn w:val="Fuentedeprrafopredeter"/>
    <w:link w:val="Textoindependiente"/>
    <w:uiPriority w:val="99"/>
    <w:locked/>
    <w:rsid w:val="00533E2C"/>
    <w:rPr>
      <w:rFonts w:eastAsia="SimSun" w:cs="Times New Roman"/>
      <w:kern w:val="1"/>
      <w:lang w:eastAsia="ar-SA" w:bidi="ar-SA"/>
    </w:rPr>
  </w:style>
  <w:style w:type="paragraph" w:styleId="Textodeglobo">
    <w:name w:val="Balloon Text"/>
    <w:basedOn w:val="Normal"/>
    <w:link w:val="TextodegloboCar"/>
    <w:uiPriority w:val="99"/>
    <w:semiHidden/>
    <w:rsid w:val="00284A4A"/>
    <w:rPr>
      <w:rFonts w:ascii="Tahoma" w:eastAsia="Calibri" w:hAnsi="Tahoma" w:cs="Times New Roman"/>
      <w:sz w:val="16"/>
      <w:szCs w:val="20"/>
      <w:lang w:eastAsia="es-ES"/>
    </w:rPr>
  </w:style>
  <w:style w:type="character" w:customStyle="1" w:styleId="TextodegloboCar">
    <w:name w:val="Texto de globo Car"/>
    <w:basedOn w:val="Fuentedeprrafopredeter"/>
    <w:link w:val="Textodeglobo"/>
    <w:uiPriority w:val="99"/>
    <w:semiHidden/>
    <w:locked/>
    <w:rsid w:val="00284A4A"/>
    <w:rPr>
      <w:rFonts w:ascii="Tahoma" w:hAnsi="Tahoma" w:cs="Times New Roman"/>
      <w:sz w:val="16"/>
    </w:rPr>
  </w:style>
  <w:style w:type="paragraph" w:styleId="Piedepgina">
    <w:name w:val="footer"/>
    <w:basedOn w:val="Normal"/>
    <w:link w:val="PiedepginaCar"/>
    <w:uiPriority w:val="99"/>
    <w:rsid w:val="009B6439"/>
    <w:pPr>
      <w:tabs>
        <w:tab w:val="center" w:pos="4252"/>
        <w:tab w:val="right" w:pos="8504"/>
      </w:tabs>
    </w:pPr>
    <w:rPr>
      <w:rFonts w:cs="Times New Roman"/>
    </w:rPr>
  </w:style>
  <w:style w:type="character" w:customStyle="1" w:styleId="PiedepginaCar">
    <w:name w:val="Pie de página Car"/>
    <w:basedOn w:val="Fuentedeprrafopredeter"/>
    <w:link w:val="Piedepgina"/>
    <w:uiPriority w:val="99"/>
    <w:locked/>
    <w:rsid w:val="00765A84"/>
    <w:rPr>
      <w:rFonts w:eastAsia="Times New Roman" w:cs="Times New Roman"/>
      <w:sz w:val="24"/>
      <w:lang w:eastAsia="en-US"/>
    </w:rPr>
  </w:style>
  <w:style w:type="character" w:styleId="Nmerodepgina">
    <w:name w:val="page number"/>
    <w:basedOn w:val="Fuentedeprrafopredeter"/>
    <w:uiPriority w:val="99"/>
    <w:rsid w:val="009B6439"/>
    <w:rPr>
      <w:rFonts w:cs="Times New Roman"/>
    </w:rPr>
  </w:style>
  <w:style w:type="character" w:customStyle="1" w:styleId="td-post-datetd-post-date-no-dot">
    <w:name w:val="td-post-date td-post-date-no-dot"/>
    <w:uiPriority w:val="99"/>
    <w:rsid w:val="009B6439"/>
  </w:style>
  <w:style w:type="paragraph" w:styleId="NormalWeb">
    <w:name w:val="Normal (Web)"/>
    <w:basedOn w:val="Normal"/>
    <w:uiPriority w:val="99"/>
    <w:rsid w:val="00EC59E0"/>
    <w:pPr>
      <w:spacing w:before="100" w:beforeAutospacing="1" w:after="100" w:afterAutospacing="1"/>
      <w:jc w:val="left"/>
    </w:pPr>
    <w:rPr>
      <w:rFonts w:ascii="Times New Roman" w:eastAsia="Calibri" w:hAnsi="Times New Roman" w:cs="Times New Roman"/>
      <w:lang w:eastAsia="es-ES"/>
    </w:rPr>
  </w:style>
  <w:style w:type="table" w:styleId="Tablaconcuadrcula">
    <w:name w:val="Table Grid"/>
    <w:basedOn w:val="Tablanormal"/>
    <w:unhideWhenUsed/>
    <w:locked/>
    <w:rsid w:val="00646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468A4"/>
    <w:rPr>
      <w:color w:val="0000FF" w:themeColor="hyperlink"/>
      <w:u w:val="single"/>
    </w:rPr>
  </w:style>
  <w:style w:type="character" w:styleId="Mencinsinresolver">
    <w:name w:val="Unresolved Mention"/>
    <w:basedOn w:val="Fuentedeprrafopredeter"/>
    <w:uiPriority w:val="99"/>
    <w:semiHidden/>
    <w:unhideWhenUsed/>
    <w:rsid w:val="007468A4"/>
    <w:rPr>
      <w:color w:val="605E5C"/>
      <w:shd w:val="clear" w:color="auto" w:fill="E1DFDD"/>
    </w:rPr>
  </w:style>
  <w:style w:type="paragraph" w:styleId="Prrafodelista">
    <w:name w:val="List Paragraph"/>
    <w:basedOn w:val="Normal"/>
    <w:uiPriority w:val="34"/>
    <w:qFormat/>
    <w:rsid w:val="00EA71AC"/>
    <w:pPr>
      <w:ind w:left="720"/>
      <w:contextualSpacing/>
    </w:pPr>
  </w:style>
  <w:style w:type="character" w:customStyle="1" w:styleId="Ttulo2Car">
    <w:name w:val="Título 2 Car"/>
    <w:basedOn w:val="Fuentedeprrafopredeter"/>
    <w:link w:val="Ttulo2"/>
    <w:semiHidden/>
    <w:rsid w:val="00415275"/>
    <w:rPr>
      <w:rFonts w:asciiTheme="majorHAnsi" w:eastAsiaTheme="majorEastAsia" w:hAnsiTheme="majorHAnsi" w:cstheme="majorBidi"/>
      <w:color w:val="365F91" w:themeColor="accent1" w:themeShade="BF"/>
      <w:sz w:val="26"/>
      <w:szCs w:val="26"/>
      <w:lang w:eastAsia="en-US"/>
    </w:rPr>
  </w:style>
  <w:style w:type="paragraph" w:styleId="Encabezado">
    <w:name w:val="header"/>
    <w:basedOn w:val="Normal"/>
    <w:link w:val="EncabezadoCar"/>
    <w:uiPriority w:val="99"/>
    <w:unhideWhenUsed/>
    <w:rsid w:val="000F009D"/>
    <w:pPr>
      <w:tabs>
        <w:tab w:val="center" w:pos="4252"/>
        <w:tab w:val="right" w:pos="8504"/>
      </w:tabs>
    </w:pPr>
  </w:style>
  <w:style w:type="character" w:customStyle="1" w:styleId="EncabezadoCar">
    <w:name w:val="Encabezado Car"/>
    <w:basedOn w:val="Fuentedeprrafopredeter"/>
    <w:link w:val="Encabezado"/>
    <w:uiPriority w:val="99"/>
    <w:rsid w:val="000F009D"/>
    <w:rPr>
      <w:rFonts w:eastAsia="Times New Roman"/>
      <w:sz w:val="24"/>
      <w:szCs w:val="24"/>
      <w:lang w:eastAsia="en-US"/>
    </w:rPr>
  </w:style>
  <w:style w:type="character" w:styleId="Refdecomentario">
    <w:name w:val="annotation reference"/>
    <w:basedOn w:val="Fuentedeprrafopredeter"/>
    <w:uiPriority w:val="99"/>
    <w:semiHidden/>
    <w:unhideWhenUsed/>
    <w:rsid w:val="009A1404"/>
    <w:rPr>
      <w:sz w:val="16"/>
      <w:szCs w:val="16"/>
    </w:rPr>
  </w:style>
  <w:style w:type="paragraph" w:styleId="Textocomentario">
    <w:name w:val="annotation text"/>
    <w:basedOn w:val="Normal"/>
    <w:link w:val="TextocomentarioCar"/>
    <w:uiPriority w:val="99"/>
    <w:semiHidden/>
    <w:unhideWhenUsed/>
    <w:rsid w:val="009A1404"/>
    <w:rPr>
      <w:sz w:val="20"/>
      <w:szCs w:val="20"/>
    </w:rPr>
  </w:style>
  <w:style w:type="character" w:customStyle="1" w:styleId="TextocomentarioCar">
    <w:name w:val="Texto comentario Car"/>
    <w:basedOn w:val="Fuentedeprrafopredeter"/>
    <w:link w:val="Textocomentario"/>
    <w:uiPriority w:val="99"/>
    <w:semiHidden/>
    <w:rsid w:val="009A1404"/>
    <w:rPr>
      <w:rFonts w:eastAsia="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9A1404"/>
    <w:rPr>
      <w:b/>
      <w:bCs/>
    </w:rPr>
  </w:style>
  <w:style w:type="character" w:customStyle="1" w:styleId="AsuntodelcomentarioCar">
    <w:name w:val="Asunto del comentario Car"/>
    <w:basedOn w:val="TextocomentarioCar"/>
    <w:link w:val="Asuntodelcomentario"/>
    <w:uiPriority w:val="99"/>
    <w:semiHidden/>
    <w:rsid w:val="009A1404"/>
    <w:rPr>
      <w:rFonts w:eastAsia="Times New Roman"/>
      <w:b/>
      <w:bCs/>
      <w:sz w:val="20"/>
      <w:szCs w:val="20"/>
      <w:lang w:eastAsia="en-US"/>
    </w:rPr>
  </w:style>
  <w:style w:type="character" w:customStyle="1" w:styleId="Ttulo1Car">
    <w:name w:val="Título 1 Car"/>
    <w:basedOn w:val="Fuentedeprrafopredeter"/>
    <w:link w:val="Ttulo1"/>
    <w:rsid w:val="00692E2A"/>
    <w:rPr>
      <w:rFonts w:asciiTheme="majorHAnsi" w:eastAsiaTheme="majorEastAsia" w:hAnsiTheme="majorHAnsi" w:cstheme="majorBidi"/>
      <w:color w:val="365F91" w:themeColor="accent1" w:themeShade="BF"/>
      <w:sz w:val="32"/>
      <w:szCs w:val="32"/>
      <w:lang w:eastAsia="en-US"/>
    </w:rPr>
  </w:style>
  <w:style w:type="character" w:styleId="Hipervnculovisitado">
    <w:name w:val="FollowedHyperlink"/>
    <w:basedOn w:val="Fuentedeprrafopredeter"/>
    <w:uiPriority w:val="99"/>
    <w:semiHidden/>
    <w:unhideWhenUsed/>
    <w:rsid w:val="001418A2"/>
    <w:rPr>
      <w:color w:val="800080" w:themeColor="followedHyperlink"/>
      <w:u w:val="single"/>
    </w:rPr>
  </w:style>
  <w:style w:type="character" w:customStyle="1" w:styleId="Ttulo5Car">
    <w:name w:val="Título 5 Car"/>
    <w:basedOn w:val="Fuentedeprrafopredeter"/>
    <w:link w:val="Ttulo5"/>
    <w:semiHidden/>
    <w:rsid w:val="00ED39B2"/>
    <w:rPr>
      <w:rFonts w:asciiTheme="majorHAnsi" w:eastAsiaTheme="majorEastAsia" w:hAnsiTheme="majorHAnsi" w:cstheme="majorBidi"/>
      <w:color w:val="365F91" w:themeColor="accent1" w:themeShade="BF"/>
      <w:sz w:val="24"/>
      <w:szCs w:val="24"/>
      <w:lang w:eastAsia="en-US"/>
    </w:rPr>
  </w:style>
  <w:style w:type="character" w:customStyle="1" w:styleId="Ttulo4Car">
    <w:name w:val="Título 4 Car"/>
    <w:basedOn w:val="Fuentedeprrafopredeter"/>
    <w:link w:val="Ttulo4"/>
    <w:semiHidden/>
    <w:rsid w:val="00ED39B2"/>
    <w:rPr>
      <w:rFonts w:asciiTheme="majorHAnsi" w:eastAsiaTheme="majorEastAsia" w:hAnsiTheme="majorHAnsi" w:cstheme="majorBidi"/>
      <w:i/>
      <w:iCs/>
      <w:color w:val="365F9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519">
      <w:bodyDiv w:val="1"/>
      <w:marLeft w:val="0"/>
      <w:marRight w:val="0"/>
      <w:marTop w:val="0"/>
      <w:marBottom w:val="0"/>
      <w:divBdr>
        <w:top w:val="none" w:sz="0" w:space="0" w:color="auto"/>
        <w:left w:val="none" w:sz="0" w:space="0" w:color="auto"/>
        <w:bottom w:val="none" w:sz="0" w:space="0" w:color="auto"/>
        <w:right w:val="none" w:sz="0" w:space="0" w:color="auto"/>
      </w:divBdr>
    </w:div>
    <w:div w:id="13581811">
      <w:bodyDiv w:val="1"/>
      <w:marLeft w:val="0"/>
      <w:marRight w:val="0"/>
      <w:marTop w:val="0"/>
      <w:marBottom w:val="0"/>
      <w:divBdr>
        <w:top w:val="none" w:sz="0" w:space="0" w:color="auto"/>
        <w:left w:val="none" w:sz="0" w:space="0" w:color="auto"/>
        <w:bottom w:val="none" w:sz="0" w:space="0" w:color="auto"/>
        <w:right w:val="none" w:sz="0" w:space="0" w:color="auto"/>
      </w:divBdr>
    </w:div>
    <w:div w:id="24261463">
      <w:bodyDiv w:val="1"/>
      <w:marLeft w:val="0"/>
      <w:marRight w:val="0"/>
      <w:marTop w:val="0"/>
      <w:marBottom w:val="0"/>
      <w:divBdr>
        <w:top w:val="none" w:sz="0" w:space="0" w:color="auto"/>
        <w:left w:val="none" w:sz="0" w:space="0" w:color="auto"/>
        <w:bottom w:val="none" w:sz="0" w:space="0" w:color="auto"/>
        <w:right w:val="none" w:sz="0" w:space="0" w:color="auto"/>
      </w:divBdr>
    </w:div>
    <w:div w:id="39938777">
      <w:bodyDiv w:val="1"/>
      <w:marLeft w:val="0"/>
      <w:marRight w:val="0"/>
      <w:marTop w:val="0"/>
      <w:marBottom w:val="0"/>
      <w:divBdr>
        <w:top w:val="none" w:sz="0" w:space="0" w:color="auto"/>
        <w:left w:val="none" w:sz="0" w:space="0" w:color="auto"/>
        <w:bottom w:val="none" w:sz="0" w:space="0" w:color="auto"/>
        <w:right w:val="none" w:sz="0" w:space="0" w:color="auto"/>
      </w:divBdr>
    </w:div>
    <w:div w:id="40830785">
      <w:bodyDiv w:val="1"/>
      <w:marLeft w:val="0"/>
      <w:marRight w:val="0"/>
      <w:marTop w:val="0"/>
      <w:marBottom w:val="0"/>
      <w:divBdr>
        <w:top w:val="none" w:sz="0" w:space="0" w:color="auto"/>
        <w:left w:val="none" w:sz="0" w:space="0" w:color="auto"/>
        <w:bottom w:val="none" w:sz="0" w:space="0" w:color="auto"/>
        <w:right w:val="none" w:sz="0" w:space="0" w:color="auto"/>
      </w:divBdr>
    </w:div>
    <w:div w:id="41681500">
      <w:bodyDiv w:val="1"/>
      <w:marLeft w:val="0"/>
      <w:marRight w:val="0"/>
      <w:marTop w:val="0"/>
      <w:marBottom w:val="0"/>
      <w:divBdr>
        <w:top w:val="none" w:sz="0" w:space="0" w:color="auto"/>
        <w:left w:val="none" w:sz="0" w:space="0" w:color="auto"/>
        <w:bottom w:val="none" w:sz="0" w:space="0" w:color="auto"/>
        <w:right w:val="none" w:sz="0" w:space="0" w:color="auto"/>
      </w:divBdr>
    </w:div>
    <w:div w:id="55705870">
      <w:bodyDiv w:val="1"/>
      <w:marLeft w:val="0"/>
      <w:marRight w:val="0"/>
      <w:marTop w:val="0"/>
      <w:marBottom w:val="0"/>
      <w:divBdr>
        <w:top w:val="none" w:sz="0" w:space="0" w:color="auto"/>
        <w:left w:val="none" w:sz="0" w:space="0" w:color="auto"/>
        <w:bottom w:val="none" w:sz="0" w:space="0" w:color="auto"/>
        <w:right w:val="none" w:sz="0" w:space="0" w:color="auto"/>
      </w:divBdr>
    </w:div>
    <w:div w:id="61756154">
      <w:bodyDiv w:val="1"/>
      <w:marLeft w:val="0"/>
      <w:marRight w:val="0"/>
      <w:marTop w:val="0"/>
      <w:marBottom w:val="0"/>
      <w:divBdr>
        <w:top w:val="none" w:sz="0" w:space="0" w:color="auto"/>
        <w:left w:val="none" w:sz="0" w:space="0" w:color="auto"/>
        <w:bottom w:val="none" w:sz="0" w:space="0" w:color="auto"/>
        <w:right w:val="none" w:sz="0" w:space="0" w:color="auto"/>
      </w:divBdr>
    </w:div>
    <w:div w:id="65032470">
      <w:bodyDiv w:val="1"/>
      <w:marLeft w:val="0"/>
      <w:marRight w:val="0"/>
      <w:marTop w:val="0"/>
      <w:marBottom w:val="0"/>
      <w:divBdr>
        <w:top w:val="none" w:sz="0" w:space="0" w:color="auto"/>
        <w:left w:val="none" w:sz="0" w:space="0" w:color="auto"/>
        <w:bottom w:val="none" w:sz="0" w:space="0" w:color="auto"/>
        <w:right w:val="none" w:sz="0" w:space="0" w:color="auto"/>
      </w:divBdr>
    </w:div>
    <w:div w:id="70784828">
      <w:bodyDiv w:val="1"/>
      <w:marLeft w:val="0"/>
      <w:marRight w:val="0"/>
      <w:marTop w:val="0"/>
      <w:marBottom w:val="0"/>
      <w:divBdr>
        <w:top w:val="none" w:sz="0" w:space="0" w:color="auto"/>
        <w:left w:val="none" w:sz="0" w:space="0" w:color="auto"/>
        <w:bottom w:val="none" w:sz="0" w:space="0" w:color="auto"/>
        <w:right w:val="none" w:sz="0" w:space="0" w:color="auto"/>
      </w:divBdr>
    </w:div>
    <w:div w:id="106893080">
      <w:bodyDiv w:val="1"/>
      <w:marLeft w:val="0"/>
      <w:marRight w:val="0"/>
      <w:marTop w:val="0"/>
      <w:marBottom w:val="0"/>
      <w:divBdr>
        <w:top w:val="none" w:sz="0" w:space="0" w:color="auto"/>
        <w:left w:val="none" w:sz="0" w:space="0" w:color="auto"/>
        <w:bottom w:val="none" w:sz="0" w:space="0" w:color="auto"/>
        <w:right w:val="none" w:sz="0" w:space="0" w:color="auto"/>
      </w:divBdr>
    </w:div>
    <w:div w:id="134376052">
      <w:bodyDiv w:val="1"/>
      <w:marLeft w:val="0"/>
      <w:marRight w:val="0"/>
      <w:marTop w:val="0"/>
      <w:marBottom w:val="0"/>
      <w:divBdr>
        <w:top w:val="none" w:sz="0" w:space="0" w:color="auto"/>
        <w:left w:val="none" w:sz="0" w:space="0" w:color="auto"/>
        <w:bottom w:val="none" w:sz="0" w:space="0" w:color="auto"/>
        <w:right w:val="none" w:sz="0" w:space="0" w:color="auto"/>
      </w:divBdr>
    </w:div>
    <w:div w:id="160437712">
      <w:bodyDiv w:val="1"/>
      <w:marLeft w:val="0"/>
      <w:marRight w:val="0"/>
      <w:marTop w:val="0"/>
      <w:marBottom w:val="0"/>
      <w:divBdr>
        <w:top w:val="none" w:sz="0" w:space="0" w:color="auto"/>
        <w:left w:val="none" w:sz="0" w:space="0" w:color="auto"/>
        <w:bottom w:val="none" w:sz="0" w:space="0" w:color="auto"/>
        <w:right w:val="none" w:sz="0" w:space="0" w:color="auto"/>
      </w:divBdr>
    </w:div>
    <w:div w:id="168376005">
      <w:bodyDiv w:val="1"/>
      <w:marLeft w:val="0"/>
      <w:marRight w:val="0"/>
      <w:marTop w:val="0"/>
      <w:marBottom w:val="0"/>
      <w:divBdr>
        <w:top w:val="none" w:sz="0" w:space="0" w:color="auto"/>
        <w:left w:val="none" w:sz="0" w:space="0" w:color="auto"/>
        <w:bottom w:val="none" w:sz="0" w:space="0" w:color="auto"/>
        <w:right w:val="none" w:sz="0" w:space="0" w:color="auto"/>
      </w:divBdr>
    </w:div>
    <w:div w:id="224535244">
      <w:bodyDiv w:val="1"/>
      <w:marLeft w:val="0"/>
      <w:marRight w:val="0"/>
      <w:marTop w:val="0"/>
      <w:marBottom w:val="0"/>
      <w:divBdr>
        <w:top w:val="none" w:sz="0" w:space="0" w:color="auto"/>
        <w:left w:val="none" w:sz="0" w:space="0" w:color="auto"/>
        <w:bottom w:val="none" w:sz="0" w:space="0" w:color="auto"/>
        <w:right w:val="none" w:sz="0" w:space="0" w:color="auto"/>
      </w:divBdr>
    </w:div>
    <w:div w:id="228003913">
      <w:bodyDiv w:val="1"/>
      <w:marLeft w:val="0"/>
      <w:marRight w:val="0"/>
      <w:marTop w:val="0"/>
      <w:marBottom w:val="0"/>
      <w:divBdr>
        <w:top w:val="none" w:sz="0" w:space="0" w:color="auto"/>
        <w:left w:val="none" w:sz="0" w:space="0" w:color="auto"/>
        <w:bottom w:val="none" w:sz="0" w:space="0" w:color="auto"/>
        <w:right w:val="none" w:sz="0" w:space="0" w:color="auto"/>
      </w:divBdr>
    </w:div>
    <w:div w:id="237634560">
      <w:bodyDiv w:val="1"/>
      <w:marLeft w:val="0"/>
      <w:marRight w:val="0"/>
      <w:marTop w:val="0"/>
      <w:marBottom w:val="0"/>
      <w:divBdr>
        <w:top w:val="none" w:sz="0" w:space="0" w:color="auto"/>
        <w:left w:val="none" w:sz="0" w:space="0" w:color="auto"/>
        <w:bottom w:val="none" w:sz="0" w:space="0" w:color="auto"/>
        <w:right w:val="none" w:sz="0" w:space="0" w:color="auto"/>
      </w:divBdr>
    </w:div>
    <w:div w:id="248736259">
      <w:bodyDiv w:val="1"/>
      <w:marLeft w:val="0"/>
      <w:marRight w:val="0"/>
      <w:marTop w:val="0"/>
      <w:marBottom w:val="0"/>
      <w:divBdr>
        <w:top w:val="none" w:sz="0" w:space="0" w:color="auto"/>
        <w:left w:val="none" w:sz="0" w:space="0" w:color="auto"/>
        <w:bottom w:val="none" w:sz="0" w:space="0" w:color="auto"/>
        <w:right w:val="none" w:sz="0" w:space="0" w:color="auto"/>
      </w:divBdr>
    </w:div>
    <w:div w:id="250087234">
      <w:bodyDiv w:val="1"/>
      <w:marLeft w:val="0"/>
      <w:marRight w:val="0"/>
      <w:marTop w:val="0"/>
      <w:marBottom w:val="0"/>
      <w:divBdr>
        <w:top w:val="none" w:sz="0" w:space="0" w:color="auto"/>
        <w:left w:val="none" w:sz="0" w:space="0" w:color="auto"/>
        <w:bottom w:val="none" w:sz="0" w:space="0" w:color="auto"/>
        <w:right w:val="none" w:sz="0" w:space="0" w:color="auto"/>
      </w:divBdr>
    </w:div>
    <w:div w:id="276790961">
      <w:bodyDiv w:val="1"/>
      <w:marLeft w:val="0"/>
      <w:marRight w:val="0"/>
      <w:marTop w:val="0"/>
      <w:marBottom w:val="0"/>
      <w:divBdr>
        <w:top w:val="none" w:sz="0" w:space="0" w:color="auto"/>
        <w:left w:val="none" w:sz="0" w:space="0" w:color="auto"/>
        <w:bottom w:val="none" w:sz="0" w:space="0" w:color="auto"/>
        <w:right w:val="none" w:sz="0" w:space="0" w:color="auto"/>
      </w:divBdr>
    </w:div>
    <w:div w:id="284971823">
      <w:bodyDiv w:val="1"/>
      <w:marLeft w:val="0"/>
      <w:marRight w:val="0"/>
      <w:marTop w:val="0"/>
      <w:marBottom w:val="0"/>
      <w:divBdr>
        <w:top w:val="none" w:sz="0" w:space="0" w:color="auto"/>
        <w:left w:val="none" w:sz="0" w:space="0" w:color="auto"/>
        <w:bottom w:val="none" w:sz="0" w:space="0" w:color="auto"/>
        <w:right w:val="none" w:sz="0" w:space="0" w:color="auto"/>
      </w:divBdr>
    </w:div>
    <w:div w:id="286741368">
      <w:bodyDiv w:val="1"/>
      <w:marLeft w:val="0"/>
      <w:marRight w:val="0"/>
      <w:marTop w:val="0"/>
      <w:marBottom w:val="0"/>
      <w:divBdr>
        <w:top w:val="none" w:sz="0" w:space="0" w:color="auto"/>
        <w:left w:val="none" w:sz="0" w:space="0" w:color="auto"/>
        <w:bottom w:val="none" w:sz="0" w:space="0" w:color="auto"/>
        <w:right w:val="none" w:sz="0" w:space="0" w:color="auto"/>
      </w:divBdr>
    </w:div>
    <w:div w:id="302808242">
      <w:bodyDiv w:val="1"/>
      <w:marLeft w:val="0"/>
      <w:marRight w:val="0"/>
      <w:marTop w:val="0"/>
      <w:marBottom w:val="0"/>
      <w:divBdr>
        <w:top w:val="none" w:sz="0" w:space="0" w:color="auto"/>
        <w:left w:val="none" w:sz="0" w:space="0" w:color="auto"/>
        <w:bottom w:val="none" w:sz="0" w:space="0" w:color="auto"/>
        <w:right w:val="none" w:sz="0" w:space="0" w:color="auto"/>
      </w:divBdr>
    </w:div>
    <w:div w:id="319695710">
      <w:bodyDiv w:val="1"/>
      <w:marLeft w:val="0"/>
      <w:marRight w:val="0"/>
      <w:marTop w:val="0"/>
      <w:marBottom w:val="0"/>
      <w:divBdr>
        <w:top w:val="none" w:sz="0" w:space="0" w:color="auto"/>
        <w:left w:val="none" w:sz="0" w:space="0" w:color="auto"/>
        <w:bottom w:val="none" w:sz="0" w:space="0" w:color="auto"/>
        <w:right w:val="none" w:sz="0" w:space="0" w:color="auto"/>
      </w:divBdr>
    </w:div>
    <w:div w:id="319846402">
      <w:bodyDiv w:val="1"/>
      <w:marLeft w:val="0"/>
      <w:marRight w:val="0"/>
      <w:marTop w:val="0"/>
      <w:marBottom w:val="0"/>
      <w:divBdr>
        <w:top w:val="none" w:sz="0" w:space="0" w:color="auto"/>
        <w:left w:val="none" w:sz="0" w:space="0" w:color="auto"/>
        <w:bottom w:val="none" w:sz="0" w:space="0" w:color="auto"/>
        <w:right w:val="none" w:sz="0" w:space="0" w:color="auto"/>
      </w:divBdr>
    </w:div>
    <w:div w:id="328020727">
      <w:bodyDiv w:val="1"/>
      <w:marLeft w:val="0"/>
      <w:marRight w:val="0"/>
      <w:marTop w:val="0"/>
      <w:marBottom w:val="0"/>
      <w:divBdr>
        <w:top w:val="none" w:sz="0" w:space="0" w:color="auto"/>
        <w:left w:val="none" w:sz="0" w:space="0" w:color="auto"/>
        <w:bottom w:val="none" w:sz="0" w:space="0" w:color="auto"/>
        <w:right w:val="none" w:sz="0" w:space="0" w:color="auto"/>
      </w:divBdr>
    </w:div>
    <w:div w:id="331377479">
      <w:bodyDiv w:val="1"/>
      <w:marLeft w:val="0"/>
      <w:marRight w:val="0"/>
      <w:marTop w:val="0"/>
      <w:marBottom w:val="0"/>
      <w:divBdr>
        <w:top w:val="none" w:sz="0" w:space="0" w:color="auto"/>
        <w:left w:val="none" w:sz="0" w:space="0" w:color="auto"/>
        <w:bottom w:val="none" w:sz="0" w:space="0" w:color="auto"/>
        <w:right w:val="none" w:sz="0" w:space="0" w:color="auto"/>
      </w:divBdr>
    </w:div>
    <w:div w:id="348068724">
      <w:bodyDiv w:val="1"/>
      <w:marLeft w:val="0"/>
      <w:marRight w:val="0"/>
      <w:marTop w:val="0"/>
      <w:marBottom w:val="0"/>
      <w:divBdr>
        <w:top w:val="none" w:sz="0" w:space="0" w:color="auto"/>
        <w:left w:val="none" w:sz="0" w:space="0" w:color="auto"/>
        <w:bottom w:val="none" w:sz="0" w:space="0" w:color="auto"/>
        <w:right w:val="none" w:sz="0" w:space="0" w:color="auto"/>
      </w:divBdr>
    </w:div>
    <w:div w:id="351150120">
      <w:bodyDiv w:val="1"/>
      <w:marLeft w:val="0"/>
      <w:marRight w:val="0"/>
      <w:marTop w:val="0"/>
      <w:marBottom w:val="0"/>
      <w:divBdr>
        <w:top w:val="none" w:sz="0" w:space="0" w:color="auto"/>
        <w:left w:val="none" w:sz="0" w:space="0" w:color="auto"/>
        <w:bottom w:val="none" w:sz="0" w:space="0" w:color="auto"/>
        <w:right w:val="none" w:sz="0" w:space="0" w:color="auto"/>
      </w:divBdr>
      <w:divsChild>
        <w:div w:id="1186363835">
          <w:marLeft w:val="0"/>
          <w:marRight w:val="0"/>
          <w:marTop w:val="0"/>
          <w:marBottom w:val="0"/>
          <w:divBdr>
            <w:top w:val="none" w:sz="0" w:space="0" w:color="auto"/>
            <w:left w:val="none" w:sz="0" w:space="0" w:color="auto"/>
            <w:bottom w:val="none" w:sz="0" w:space="0" w:color="auto"/>
            <w:right w:val="none" w:sz="0" w:space="0" w:color="auto"/>
          </w:divBdr>
        </w:div>
      </w:divsChild>
    </w:div>
    <w:div w:id="355664637">
      <w:bodyDiv w:val="1"/>
      <w:marLeft w:val="0"/>
      <w:marRight w:val="0"/>
      <w:marTop w:val="0"/>
      <w:marBottom w:val="0"/>
      <w:divBdr>
        <w:top w:val="none" w:sz="0" w:space="0" w:color="auto"/>
        <w:left w:val="none" w:sz="0" w:space="0" w:color="auto"/>
        <w:bottom w:val="none" w:sz="0" w:space="0" w:color="auto"/>
        <w:right w:val="none" w:sz="0" w:space="0" w:color="auto"/>
      </w:divBdr>
    </w:div>
    <w:div w:id="373581969">
      <w:bodyDiv w:val="1"/>
      <w:marLeft w:val="0"/>
      <w:marRight w:val="0"/>
      <w:marTop w:val="0"/>
      <w:marBottom w:val="0"/>
      <w:divBdr>
        <w:top w:val="none" w:sz="0" w:space="0" w:color="auto"/>
        <w:left w:val="none" w:sz="0" w:space="0" w:color="auto"/>
        <w:bottom w:val="none" w:sz="0" w:space="0" w:color="auto"/>
        <w:right w:val="none" w:sz="0" w:space="0" w:color="auto"/>
      </w:divBdr>
    </w:div>
    <w:div w:id="374627057">
      <w:bodyDiv w:val="1"/>
      <w:marLeft w:val="0"/>
      <w:marRight w:val="0"/>
      <w:marTop w:val="0"/>
      <w:marBottom w:val="0"/>
      <w:divBdr>
        <w:top w:val="none" w:sz="0" w:space="0" w:color="auto"/>
        <w:left w:val="none" w:sz="0" w:space="0" w:color="auto"/>
        <w:bottom w:val="none" w:sz="0" w:space="0" w:color="auto"/>
        <w:right w:val="none" w:sz="0" w:space="0" w:color="auto"/>
      </w:divBdr>
    </w:div>
    <w:div w:id="383024326">
      <w:bodyDiv w:val="1"/>
      <w:marLeft w:val="0"/>
      <w:marRight w:val="0"/>
      <w:marTop w:val="0"/>
      <w:marBottom w:val="0"/>
      <w:divBdr>
        <w:top w:val="none" w:sz="0" w:space="0" w:color="auto"/>
        <w:left w:val="none" w:sz="0" w:space="0" w:color="auto"/>
        <w:bottom w:val="none" w:sz="0" w:space="0" w:color="auto"/>
        <w:right w:val="none" w:sz="0" w:space="0" w:color="auto"/>
      </w:divBdr>
    </w:div>
    <w:div w:id="386492981">
      <w:bodyDiv w:val="1"/>
      <w:marLeft w:val="0"/>
      <w:marRight w:val="0"/>
      <w:marTop w:val="0"/>
      <w:marBottom w:val="0"/>
      <w:divBdr>
        <w:top w:val="none" w:sz="0" w:space="0" w:color="auto"/>
        <w:left w:val="none" w:sz="0" w:space="0" w:color="auto"/>
        <w:bottom w:val="none" w:sz="0" w:space="0" w:color="auto"/>
        <w:right w:val="none" w:sz="0" w:space="0" w:color="auto"/>
      </w:divBdr>
    </w:div>
    <w:div w:id="430054382">
      <w:bodyDiv w:val="1"/>
      <w:marLeft w:val="0"/>
      <w:marRight w:val="0"/>
      <w:marTop w:val="0"/>
      <w:marBottom w:val="0"/>
      <w:divBdr>
        <w:top w:val="none" w:sz="0" w:space="0" w:color="auto"/>
        <w:left w:val="none" w:sz="0" w:space="0" w:color="auto"/>
        <w:bottom w:val="none" w:sz="0" w:space="0" w:color="auto"/>
        <w:right w:val="none" w:sz="0" w:space="0" w:color="auto"/>
      </w:divBdr>
    </w:div>
    <w:div w:id="460727064">
      <w:bodyDiv w:val="1"/>
      <w:marLeft w:val="0"/>
      <w:marRight w:val="0"/>
      <w:marTop w:val="0"/>
      <w:marBottom w:val="0"/>
      <w:divBdr>
        <w:top w:val="none" w:sz="0" w:space="0" w:color="auto"/>
        <w:left w:val="none" w:sz="0" w:space="0" w:color="auto"/>
        <w:bottom w:val="none" w:sz="0" w:space="0" w:color="auto"/>
        <w:right w:val="none" w:sz="0" w:space="0" w:color="auto"/>
      </w:divBdr>
    </w:div>
    <w:div w:id="473910039">
      <w:marLeft w:val="0"/>
      <w:marRight w:val="0"/>
      <w:marTop w:val="0"/>
      <w:marBottom w:val="0"/>
      <w:divBdr>
        <w:top w:val="none" w:sz="0" w:space="0" w:color="auto"/>
        <w:left w:val="none" w:sz="0" w:space="0" w:color="auto"/>
        <w:bottom w:val="none" w:sz="0" w:space="0" w:color="auto"/>
        <w:right w:val="none" w:sz="0" w:space="0" w:color="auto"/>
      </w:divBdr>
    </w:div>
    <w:div w:id="473910040">
      <w:marLeft w:val="0"/>
      <w:marRight w:val="0"/>
      <w:marTop w:val="0"/>
      <w:marBottom w:val="0"/>
      <w:divBdr>
        <w:top w:val="none" w:sz="0" w:space="0" w:color="auto"/>
        <w:left w:val="none" w:sz="0" w:space="0" w:color="auto"/>
        <w:bottom w:val="none" w:sz="0" w:space="0" w:color="auto"/>
        <w:right w:val="none" w:sz="0" w:space="0" w:color="auto"/>
      </w:divBdr>
    </w:div>
    <w:div w:id="473910041">
      <w:marLeft w:val="0"/>
      <w:marRight w:val="0"/>
      <w:marTop w:val="0"/>
      <w:marBottom w:val="0"/>
      <w:divBdr>
        <w:top w:val="none" w:sz="0" w:space="0" w:color="auto"/>
        <w:left w:val="none" w:sz="0" w:space="0" w:color="auto"/>
        <w:bottom w:val="none" w:sz="0" w:space="0" w:color="auto"/>
        <w:right w:val="none" w:sz="0" w:space="0" w:color="auto"/>
      </w:divBdr>
    </w:div>
    <w:div w:id="473910042">
      <w:marLeft w:val="0"/>
      <w:marRight w:val="0"/>
      <w:marTop w:val="0"/>
      <w:marBottom w:val="0"/>
      <w:divBdr>
        <w:top w:val="none" w:sz="0" w:space="0" w:color="auto"/>
        <w:left w:val="none" w:sz="0" w:space="0" w:color="auto"/>
        <w:bottom w:val="none" w:sz="0" w:space="0" w:color="auto"/>
        <w:right w:val="none" w:sz="0" w:space="0" w:color="auto"/>
      </w:divBdr>
    </w:div>
    <w:div w:id="473910043">
      <w:marLeft w:val="0"/>
      <w:marRight w:val="0"/>
      <w:marTop w:val="0"/>
      <w:marBottom w:val="0"/>
      <w:divBdr>
        <w:top w:val="none" w:sz="0" w:space="0" w:color="auto"/>
        <w:left w:val="none" w:sz="0" w:space="0" w:color="auto"/>
        <w:bottom w:val="none" w:sz="0" w:space="0" w:color="auto"/>
        <w:right w:val="none" w:sz="0" w:space="0" w:color="auto"/>
      </w:divBdr>
    </w:div>
    <w:div w:id="473910044">
      <w:marLeft w:val="0"/>
      <w:marRight w:val="0"/>
      <w:marTop w:val="0"/>
      <w:marBottom w:val="0"/>
      <w:divBdr>
        <w:top w:val="none" w:sz="0" w:space="0" w:color="auto"/>
        <w:left w:val="none" w:sz="0" w:space="0" w:color="auto"/>
        <w:bottom w:val="none" w:sz="0" w:space="0" w:color="auto"/>
        <w:right w:val="none" w:sz="0" w:space="0" w:color="auto"/>
      </w:divBdr>
    </w:div>
    <w:div w:id="473910045">
      <w:marLeft w:val="0"/>
      <w:marRight w:val="0"/>
      <w:marTop w:val="0"/>
      <w:marBottom w:val="0"/>
      <w:divBdr>
        <w:top w:val="none" w:sz="0" w:space="0" w:color="auto"/>
        <w:left w:val="none" w:sz="0" w:space="0" w:color="auto"/>
        <w:bottom w:val="none" w:sz="0" w:space="0" w:color="auto"/>
        <w:right w:val="none" w:sz="0" w:space="0" w:color="auto"/>
      </w:divBdr>
    </w:div>
    <w:div w:id="473910046">
      <w:marLeft w:val="0"/>
      <w:marRight w:val="0"/>
      <w:marTop w:val="0"/>
      <w:marBottom w:val="0"/>
      <w:divBdr>
        <w:top w:val="none" w:sz="0" w:space="0" w:color="auto"/>
        <w:left w:val="none" w:sz="0" w:space="0" w:color="auto"/>
        <w:bottom w:val="none" w:sz="0" w:space="0" w:color="auto"/>
        <w:right w:val="none" w:sz="0" w:space="0" w:color="auto"/>
      </w:divBdr>
    </w:div>
    <w:div w:id="473910047">
      <w:marLeft w:val="0"/>
      <w:marRight w:val="0"/>
      <w:marTop w:val="0"/>
      <w:marBottom w:val="0"/>
      <w:divBdr>
        <w:top w:val="none" w:sz="0" w:space="0" w:color="auto"/>
        <w:left w:val="none" w:sz="0" w:space="0" w:color="auto"/>
        <w:bottom w:val="none" w:sz="0" w:space="0" w:color="auto"/>
        <w:right w:val="none" w:sz="0" w:space="0" w:color="auto"/>
      </w:divBdr>
    </w:div>
    <w:div w:id="473910048">
      <w:marLeft w:val="0"/>
      <w:marRight w:val="0"/>
      <w:marTop w:val="0"/>
      <w:marBottom w:val="0"/>
      <w:divBdr>
        <w:top w:val="none" w:sz="0" w:space="0" w:color="auto"/>
        <w:left w:val="none" w:sz="0" w:space="0" w:color="auto"/>
        <w:bottom w:val="none" w:sz="0" w:space="0" w:color="auto"/>
        <w:right w:val="none" w:sz="0" w:space="0" w:color="auto"/>
      </w:divBdr>
    </w:div>
    <w:div w:id="473910049">
      <w:marLeft w:val="0"/>
      <w:marRight w:val="0"/>
      <w:marTop w:val="0"/>
      <w:marBottom w:val="0"/>
      <w:divBdr>
        <w:top w:val="none" w:sz="0" w:space="0" w:color="auto"/>
        <w:left w:val="none" w:sz="0" w:space="0" w:color="auto"/>
        <w:bottom w:val="none" w:sz="0" w:space="0" w:color="auto"/>
        <w:right w:val="none" w:sz="0" w:space="0" w:color="auto"/>
      </w:divBdr>
    </w:div>
    <w:div w:id="473910050">
      <w:marLeft w:val="0"/>
      <w:marRight w:val="0"/>
      <w:marTop w:val="0"/>
      <w:marBottom w:val="0"/>
      <w:divBdr>
        <w:top w:val="none" w:sz="0" w:space="0" w:color="auto"/>
        <w:left w:val="none" w:sz="0" w:space="0" w:color="auto"/>
        <w:bottom w:val="none" w:sz="0" w:space="0" w:color="auto"/>
        <w:right w:val="none" w:sz="0" w:space="0" w:color="auto"/>
      </w:divBdr>
    </w:div>
    <w:div w:id="473910051">
      <w:marLeft w:val="0"/>
      <w:marRight w:val="0"/>
      <w:marTop w:val="0"/>
      <w:marBottom w:val="0"/>
      <w:divBdr>
        <w:top w:val="none" w:sz="0" w:space="0" w:color="auto"/>
        <w:left w:val="none" w:sz="0" w:space="0" w:color="auto"/>
        <w:bottom w:val="none" w:sz="0" w:space="0" w:color="auto"/>
        <w:right w:val="none" w:sz="0" w:space="0" w:color="auto"/>
      </w:divBdr>
    </w:div>
    <w:div w:id="473910052">
      <w:marLeft w:val="0"/>
      <w:marRight w:val="0"/>
      <w:marTop w:val="0"/>
      <w:marBottom w:val="0"/>
      <w:divBdr>
        <w:top w:val="none" w:sz="0" w:space="0" w:color="auto"/>
        <w:left w:val="none" w:sz="0" w:space="0" w:color="auto"/>
        <w:bottom w:val="none" w:sz="0" w:space="0" w:color="auto"/>
        <w:right w:val="none" w:sz="0" w:space="0" w:color="auto"/>
      </w:divBdr>
    </w:div>
    <w:div w:id="473910053">
      <w:marLeft w:val="0"/>
      <w:marRight w:val="0"/>
      <w:marTop w:val="0"/>
      <w:marBottom w:val="0"/>
      <w:divBdr>
        <w:top w:val="none" w:sz="0" w:space="0" w:color="auto"/>
        <w:left w:val="none" w:sz="0" w:space="0" w:color="auto"/>
        <w:bottom w:val="none" w:sz="0" w:space="0" w:color="auto"/>
        <w:right w:val="none" w:sz="0" w:space="0" w:color="auto"/>
      </w:divBdr>
    </w:div>
    <w:div w:id="473910054">
      <w:marLeft w:val="0"/>
      <w:marRight w:val="0"/>
      <w:marTop w:val="0"/>
      <w:marBottom w:val="0"/>
      <w:divBdr>
        <w:top w:val="none" w:sz="0" w:space="0" w:color="auto"/>
        <w:left w:val="none" w:sz="0" w:space="0" w:color="auto"/>
        <w:bottom w:val="none" w:sz="0" w:space="0" w:color="auto"/>
        <w:right w:val="none" w:sz="0" w:space="0" w:color="auto"/>
      </w:divBdr>
    </w:div>
    <w:div w:id="473910055">
      <w:marLeft w:val="0"/>
      <w:marRight w:val="0"/>
      <w:marTop w:val="0"/>
      <w:marBottom w:val="0"/>
      <w:divBdr>
        <w:top w:val="none" w:sz="0" w:space="0" w:color="auto"/>
        <w:left w:val="none" w:sz="0" w:space="0" w:color="auto"/>
        <w:bottom w:val="none" w:sz="0" w:space="0" w:color="auto"/>
        <w:right w:val="none" w:sz="0" w:space="0" w:color="auto"/>
      </w:divBdr>
    </w:div>
    <w:div w:id="473910056">
      <w:marLeft w:val="0"/>
      <w:marRight w:val="0"/>
      <w:marTop w:val="0"/>
      <w:marBottom w:val="0"/>
      <w:divBdr>
        <w:top w:val="none" w:sz="0" w:space="0" w:color="auto"/>
        <w:left w:val="none" w:sz="0" w:space="0" w:color="auto"/>
        <w:bottom w:val="none" w:sz="0" w:space="0" w:color="auto"/>
        <w:right w:val="none" w:sz="0" w:space="0" w:color="auto"/>
      </w:divBdr>
    </w:div>
    <w:div w:id="473910057">
      <w:marLeft w:val="0"/>
      <w:marRight w:val="0"/>
      <w:marTop w:val="0"/>
      <w:marBottom w:val="0"/>
      <w:divBdr>
        <w:top w:val="none" w:sz="0" w:space="0" w:color="auto"/>
        <w:left w:val="none" w:sz="0" w:space="0" w:color="auto"/>
        <w:bottom w:val="none" w:sz="0" w:space="0" w:color="auto"/>
        <w:right w:val="none" w:sz="0" w:space="0" w:color="auto"/>
      </w:divBdr>
    </w:div>
    <w:div w:id="473910058">
      <w:marLeft w:val="0"/>
      <w:marRight w:val="0"/>
      <w:marTop w:val="0"/>
      <w:marBottom w:val="0"/>
      <w:divBdr>
        <w:top w:val="none" w:sz="0" w:space="0" w:color="auto"/>
        <w:left w:val="none" w:sz="0" w:space="0" w:color="auto"/>
        <w:bottom w:val="none" w:sz="0" w:space="0" w:color="auto"/>
        <w:right w:val="none" w:sz="0" w:space="0" w:color="auto"/>
      </w:divBdr>
    </w:div>
    <w:div w:id="473910059">
      <w:marLeft w:val="0"/>
      <w:marRight w:val="0"/>
      <w:marTop w:val="0"/>
      <w:marBottom w:val="0"/>
      <w:divBdr>
        <w:top w:val="none" w:sz="0" w:space="0" w:color="auto"/>
        <w:left w:val="none" w:sz="0" w:space="0" w:color="auto"/>
        <w:bottom w:val="none" w:sz="0" w:space="0" w:color="auto"/>
        <w:right w:val="none" w:sz="0" w:space="0" w:color="auto"/>
      </w:divBdr>
    </w:div>
    <w:div w:id="473910060">
      <w:marLeft w:val="0"/>
      <w:marRight w:val="0"/>
      <w:marTop w:val="0"/>
      <w:marBottom w:val="0"/>
      <w:divBdr>
        <w:top w:val="none" w:sz="0" w:space="0" w:color="auto"/>
        <w:left w:val="none" w:sz="0" w:space="0" w:color="auto"/>
        <w:bottom w:val="none" w:sz="0" w:space="0" w:color="auto"/>
        <w:right w:val="none" w:sz="0" w:space="0" w:color="auto"/>
      </w:divBdr>
    </w:div>
    <w:div w:id="473910061">
      <w:marLeft w:val="0"/>
      <w:marRight w:val="0"/>
      <w:marTop w:val="0"/>
      <w:marBottom w:val="0"/>
      <w:divBdr>
        <w:top w:val="none" w:sz="0" w:space="0" w:color="auto"/>
        <w:left w:val="none" w:sz="0" w:space="0" w:color="auto"/>
        <w:bottom w:val="none" w:sz="0" w:space="0" w:color="auto"/>
        <w:right w:val="none" w:sz="0" w:space="0" w:color="auto"/>
      </w:divBdr>
    </w:div>
    <w:div w:id="484860051">
      <w:bodyDiv w:val="1"/>
      <w:marLeft w:val="0"/>
      <w:marRight w:val="0"/>
      <w:marTop w:val="0"/>
      <w:marBottom w:val="0"/>
      <w:divBdr>
        <w:top w:val="none" w:sz="0" w:space="0" w:color="auto"/>
        <w:left w:val="none" w:sz="0" w:space="0" w:color="auto"/>
        <w:bottom w:val="none" w:sz="0" w:space="0" w:color="auto"/>
        <w:right w:val="none" w:sz="0" w:space="0" w:color="auto"/>
      </w:divBdr>
    </w:div>
    <w:div w:id="493491776">
      <w:bodyDiv w:val="1"/>
      <w:marLeft w:val="0"/>
      <w:marRight w:val="0"/>
      <w:marTop w:val="0"/>
      <w:marBottom w:val="0"/>
      <w:divBdr>
        <w:top w:val="none" w:sz="0" w:space="0" w:color="auto"/>
        <w:left w:val="none" w:sz="0" w:space="0" w:color="auto"/>
        <w:bottom w:val="none" w:sz="0" w:space="0" w:color="auto"/>
        <w:right w:val="none" w:sz="0" w:space="0" w:color="auto"/>
      </w:divBdr>
    </w:div>
    <w:div w:id="504707844">
      <w:bodyDiv w:val="1"/>
      <w:marLeft w:val="0"/>
      <w:marRight w:val="0"/>
      <w:marTop w:val="0"/>
      <w:marBottom w:val="0"/>
      <w:divBdr>
        <w:top w:val="none" w:sz="0" w:space="0" w:color="auto"/>
        <w:left w:val="none" w:sz="0" w:space="0" w:color="auto"/>
        <w:bottom w:val="none" w:sz="0" w:space="0" w:color="auto"/>
        <w:right w:val="none" w:sz="0" w:space="0" w:color="auto"/>
      </w:divBdr>
    </w:div>
    <w:div w:id="522286987">
      <w:bodyDiv w:val="1"/>
      <w:marLeft w:val="0"/>
      <w:marRight w:val="0"/>
      <w:marTop w:val="0"/>
      <w:marBottom w:val="0"/>
      <w:divBdr>
        <w:top w:val="none" w:sz="0" w:space="0" w:color="auto"/>
        <w:left w:val="none" w:sz="0" w:space="0" w:color="auto"/>
        <w:bottom w:val="none" w:sz="0" w:space="0" w:color="auto"/>
        <w:right w:val="none" w:sz="0" w:space="0" w:color="auto"/>
      </w:divBdr>
    </w:div>
    <w:div w:id="526144744">
      <w:bodyDiv w:val="1"/>
      <w:marLeft w:val="0"/>
      <w:marRight w:val="0"/>
      <w:marTop w:val="0"/>
      <w:marBottom w:val="0"/>
      <w:divBdr>
        <w:top w:val="none" w:sz="0" w:space="0" w:color="auto"/>
        <w:left w:val="none" w:sz="0" w:space="0" w:color="auto"/>
        <w:bottom w:val="none" w:sz="0" w:space="0" w:color="auto"/>
        <w:right w:val="none" w:sz="0" w:space="0" w:color="auto"/>
      </w:divBdr>
    </w:div>
    <w:div w:id="595594935">
      <w:bodyDiv w:val="1"/>
      <w:marLeft w:val="0"/>
      <w:marRight w:val="0"/>
      <w:marTop w:val="0"/>
      <w:marBottom w:val="0"/>
      <w:divBdr>
        <w:top w:val="none" w:sz="0" w:space="0" w:color="auto"/>
        <w:left w:val="none" w:sz="0" w:space="0" w:color="auto"/>
        <w:bottom w:val="none" w:sz="0" w:space="0" w:color="auto"/>
        <w:right w:val="none" w:sz="0" w:space="0" w:color="auto"/>
      </w:divBdr>
    </w:div>
    <w:div w:id="615479893">
      <w:bodyDiv w:val="1"/>
      <w:marLeft w:val="0"/>
      <w:marRight w:val="0"/>
      <w:marTop w:val="0"/>
      <w:marBottom w:val="0"/>
      <w:divBdr>
        <w:top w:val="none" w:sz="0" w:space="0" w:color="auto"/>
        <w:left w:val="none" w:sz="0" w:space="0" w:color="auto"/>
        <w:bottom w:val="none" w:sz="0" w:space="0" w:color="auto"/>
        <w:right w:val="none" w:sz="0" w:space="0" w:color="auto"/>
      </w:divBdr>
    </w:div>
    <w:div w:id="657030220">
      <w:bodyDiv w:val="1"/>
      <w:marLeft w:val="0"/>
      <w:marRight w:val="0"/>
      <w:marTop w:val="0"/>
      <w:marBottom w:val="0"/>
      <w:divBdr>
        <w:top w:val="none" w:sz="0" w:space="0" w:color="auto"/>
        <w:left w:val="none" w:sz="0" w:space="0" w:color="auto"/>
        <w:bottom w:val="none" w:sz="0" w:space="0" w:color="auto"/>
        <w:right w:val="none" w:sz="0" w:space="0" w:color="auto"/>
      </w:divBdr>
    </w:div>
    <w:div w:id="748886883">
      <w:bodyDiv w:val="1"/>
      <w:marLeft w:val="0"/>
      <w:marRight w:val="0"/>
      <w:marTop w:val="0"/>
      <w:marBottom w:val="0"/>
      <w:divBdr>
        <w:top w:val="none" w:sz="0" w:space="0" w:color="auto"/>
        <w:left w:val="none" w:sz="0" w:space="0" w:color="auto"/>
        <w:bottom w:val="none" w:sz="0" w:space="0" w:color="auto"/>
        <w:right w:val="none" w:sz="0" w:space="0" w:color="auto"/>
      </w:divBdr>
    </w:div>
    <w:div w:id="756942425">
      <w:bodyDiv w:val="1"/>
      <w:marLeft w:val="0"/>
      <w:marRight w:val="0"/>
      <w:marTop w:val="0"/>
      <w:marBottom w:val="0"/>
      <w:divBdr>
        <w:top w:val="none" w:sz="0" w:space="0" w:color="auto"/>
        <w:left w:val="none" w:sz="0" w:space="0" w:color="auto"/>
        <w:bottom w:val="none" w:sz="0" w:space="0" w:color="auto"/>
        <w:right w:val="none" w:sz="0" w:space="0" w:color="auto"/>
      </w:divBdr>
    </w:div>
    <w:div w:id="763650537">
      <w:bodyDiv w:val="1"/>
      <w:marLeft w:val="0"/>
      <w:marRight w:val="0"/>
      <w:marTop w:val="0"/>
      <w:marBottom w:val="0"/>
      <w:divBdr>
        <w:top w:val="none" w:sz="0" w:space="0" w:color="auto"/>
        <w:left w:val="none" w:sz="0" w:space="0" w:color="auto"/>
        <w:bottom w:val="none" w:sz="0" w:space="0" w:color="auto"/>
        <w:right w:val="none" w:sz="0" w:space="0" w:color="auto"/>
      </w:divBdr>
    </w:div>
    <w:div w:id="797067406">
      <w:bodyDiv w:val="1"/>
      <w:marLeft w:val="0"/>
      <w:marRight w:val="0"/>
      <w:marTop w:val="0"/>
      <w:marBottom w:val="0"/>
      <w:divBdr>
        <w:top w:val="none" w:sz="0" w:space="0" w:color="auto"/>
        <w:left w:val="none" w:sz="0" w:space="0" w:color="auto"/>
        <w:bottom w:val="none" w:sz="0" w:space="0" w:color="auto"/>
        <w:right w:val="none" w:sz="0" w:space="0" w:color="auto"/>
      </w:divBdr>
    </w:div>
    <w:div w:id="819493328">
      <w:bodyDiv w:val="1"/>
      <w:marLeft w:val="0"/>
      <w:marRight w:val="0"/>
      <w:marTop w:val="0"/>
      <w:marBottom w:val="0"/>
      <w:divBdr>
        <w:top w:val="none" w:sz="0" w:space="0" w:color="auto"/>
        <w:left w:val="none" w:sz="0" w:space="0" w:color="auto"/>
        <w:bottom w:val="none" w:sz="0" w:space="0" w:color="auto"/>
        <w:right w:val="none" w:sz="0" w:space="0" w:color="auto"/>
      </w:divBdr>
    </w:div>
    <w:div w:id="823668367">
      <w:bodyDiv w:val="1"/>
      <w:marLeft w:val="0"/>
      <w:marRight w:val="0"/>
      <w:marTop w:val="0"/>
      <w:marBottom w:val="0"/>
      <w:divBdr>
        <w:top w:val="none" w:sz="0" w:space="0" w:color="auto"/>
        <w:left w:val="none" w:sz="0" w:space="0" w:color="auto"/>
        <w:bottom w:val="none" w:sz="0" w:space="0" w:color="auto"/>
        <w:right w:val="none" w:sz="0" w:space="0" w:color="auto"/>
      </w:divBdr>
    </w:div>
    <w:div w:id="861288887">
      <w:bodyDiv w:val="1"/>
      <w:marLeft w:val="0"/>
      <w:marRight w:val="0"/>
      <w:marTop w:val="0"/>
      <w:marBottom w:val="0"/>
      <w:divBdr>
        <w:top w:val="none" w:sz="0" w:space="0" w:color="auto"/>
        <w:left w:val="none" w:sz="0" w:space="0" w:color="auto"/>
        <w:bottom w:val="none" w:sz="0" w:space="0" w:color="auto"/>
        <w:right w:val="none" w:sz="0" w:space="0" w:color="auto"/>
      </w:divBdr>
    </w:div>
    <w:div w:id="868571235">
      <w:bodyDiv w:val="1"/>
      <w:marLeft w:val="0"/>
      <w:marRight w:val="0"/>
      <w:marTop w:val="0"/>
      <w:marBottom w:val="0"/>
      <w:divBdr>
        <w:top w:val="none" w:sz="0" w:space="0" w:color="auto"/>
        <w:left w:val="none" w:sz="0" w:space="0" w:color="auto"/>
        <w:bottom w:val="none" w:sz="0" w:space="0" w:color="auto"/>
        <w:right w:val="none" w:sz="0" w:space="0" w:color="auto"/>
      </w:divBdr>
    </w:div>
    <w:div w:id="913658533">
      <w:bodyDiv w:val="1"/>
      <w:marLeft w:val="0"/>
      <w:marRight w:val="0"/>
      <w:marTop w:val="0"/>
      <w:marBottom w:val="0"/>
      <w:divBdr>
        <w:top w:val="none" w:sz="0" w:space="0" w:color="auto"/>
        <w:left w:val="none" w:sz="0" w:space="0" w:color="auto"/>
        <w:bottom w:val="none" w:sz="0" w:space="0" w:color="auto"/>
        <w:right w:val="none" w:sz="0" w:space="0" w:color="auto"/>
      </w:divBdr>
    </w:div>
    <w:div w:id="922110124">
      <w:bodyDiv w:val="1"/>
      <w:marLeft w:val="0"/>
      <w:marRight w:val="0"/>
      <w:marTop w:val="0"/>
      <w:marBottom w:val="0"/>
      <w:divBdr>
        <w:top w:val="none" w:sz="0" w:space="0" w:color="auto"/>
        <w:left w:val="none" w:sz="0" w:space="0" w:color="auto"/>
        <w:bottom w:val="none" w:sz="0" w:space="0" w:color="auto"/>
        <w:right w:val="none" w:sz="0" w:space="0" w:color="auto"/>
      </w:divBdr>
    </w:div>
    <w:div w:id="960497769">
      <w:bodyDiv w:val="1"/>
      <w:marLeft w:val="0"/>
      <w:marRight w:val="0"/>
      <w:marTop w:val="0"/>
      <w:marBottom w:val="0"/>
      <w:divBdr>
        <w:top w:val="none" w:sz="0" w:space="0" w:color="auto"/>
        <w:left w:val="none" w:sz="0" w:space="0" w:color="auto"/>
        <w:bottom w:val="none" w:sz="0" w:space="0" w:color="auto"/>
        <w:right w:val="none" w:sz="0" w:space="0" w:color="auto"/>
      </w:divBdr>
    </w:div>
    <w:div w:id="965619481">
      <w:bodyDiv w:val="1"/>
      <w:marLeft w:val="0"/>
      <w:marRight w:val="0"/>
      <w:marTop w:val="0"/>
      <w:marBottom w:val="0"/>
      <w:divBdr>
        <w:top w:val="none" w:sz="0" w:space="0" w:color="auto"/>
        <w:left w:val="none" w:sz="0" w:space="0" w:color="auto"/>
        <w:bottom w:val="none" w:sz="0" w:space="0" w:color="auto"/>
        <w:right w:val="none" w:sz="0" w:space="0" w:color="auto"/>
      </w:divBdr>
    </w:div>
    <w:div w:id="967590956">
      <w:bodyDiv w:val="1"/>
      <w:marLeft w:val="0"/>
      <w:marRight w:val="0"/>
      <w:marTop w:val="0"/>
      <w:marBottom w:val="0"/>
      <w:divBdr>
        <w:top w:val="none" w:sz="0" w:space="0" w:color="auto"/>
        <w:left w:val="none" w:sz="0" w:space="0" w:color="auto"/>
        <w:bottom w:val="none" w:sz="0" w:space="0" w:color="auto"/>
        <w:right w:val="none" w:sz="0" w:space="0" w:color="auto"/>
      </w:divBdr>
    </w:div>
    <w:div w:id="971792931">
      <w:bodyDiv w:val="1"/>
      <w:marLeft w:val="0"/>
      <w:marRight w:val="0"/>
      <w:marTop w:val="0"/>
      <w:marBottom w:val="0"/>
      <w:divBdr>
        <w:top w:val="none" w:sz="0" w:space="0" w:color="auto"/>
        <w:left w:val="none" w:sz="0" w:space="0" w:color="auto"/>
        <w:bottom w:val="none" w:sz="0" w:space="0" w:color="auto"/>
        <w:right w:val="none" w:sz="0" w:space="0" w:color="auto"/>
      </w:divBdr>
    </w:div>
    <w:div w:id="980622797">
      <w:bodyDiv w:val="1"/>
      <w:marLeft w:val="0"/>
      <w:marRight w:val="0"/>
      <w:marTop w:val="0"/>
      <w:marBottom w:val="0"/>
      <w:divBdr>
        <w:top w:val="none" w:sz="0" w:space="0" w:color="auto"/>
        <w:left w:val="none" w:sz="0" w:space="0" w:color="auto"/>
        <w:bottom w:val="none" w:sz="0" w:space="0" w:color="auto"/>
        <w:right w:val="none" w:sz="0" w:space="0" w:color="auto"/>
      </w:divBdr>
    </w:div>
    <w:div w:id="990980803">
      <w:bodyDiv w:val="1"/>
      <w:marLeft w:val="0"/>
      <w:marRight w:val="0"/>
      <w:marTop w:val="0"/>
      <w:marBottom w:val="0"/>
      <w:divBdr>
        <w:top w:val="none" w:sz="0" w:space="0" w:color="auto"/>
        <w:left w:val="none" w:sz="0" w:space="0" w:color="auto"/>
        <w:bottom w:val="none" w:sz="0" w:space="0" w:color="auto"/>
        <w:right w:val="none" w:sz="0" w:space="0" w:color="auto"/>
      </w:divBdr>
    </w:div>
    <w:div w:id="1032731988">
      <w:bodyDiv w:val="1"/>
      <w:marLeft w:val="0"/>
      <w:marRight w:val="0"/>
      <w:marTop w:val="0"/>
      <w:marBottom w:val="0"/>
      <w:divBdr>
        <w:top w:val="none" w:sz="0" w:space="0" w:color="auto"/>
        <w:left w:val="none" w:sz="0" w:space="0" w:color="auto"/>
        <w:bottom w:val="none" w:sz="0" w:space="0" w:color="auto"/>
        <w:right w:val="none" w:sz="0" w:space="0" w:color="auto"/>
      </w:divBdr>
    </w:div>
    <w:div w:id="1069577354">
      <w:bodyDiv w:val="1"/>
      <w:marLeft w:val="0"/>
      <w:marRight w:val="0"/>
      <w:marTop w:val="0"/>
      <w:marBottom w:val="0"/>
      <w:divBdr>
        <w:top w:val="none" w:sz="0" w:space="0" w:color="auto"/>
        <w:left w:val="none" w:sz="0" w:space="0" w:color="auto"/>
        <w:bottom w:val="none" w:sz="0" w:space="0" w:color="auto"/>
        <w:right w:val="none" w:sz="0" w:space="0" w:color="auto"/>
      </w:divBdr>
    </w:div>
    <w:div w:id="1070661842">
      <w:bodyDiv w:val="1"/>
      <w:marLeft w:val="0"/>
      <w:marRight w:val="0"/>
      <w:marTop w:val="0"/>
      <w:marBottom w:val="0"/>
      <w:divBdr>
        <w:top w:val="none" w:sz="0" w:space="0" w:color="auto"/>
        <w:left w:val="none" w:sz="0" w:space="0" w:color="auto"/>
        <w:bottom w:val="none" w:sz="0" w:space="0" w:color="auto"/>
        <w:right w:val="none" w:sz="0" w:space="0" w:color="auto"/>
      </w:divBdr>
    </w:div>
    <w:div w:id="1078135403">
      <w:bodyDiv w:val="1"/>
      <w:marLeft w:val="0"/>
      <w:marRight w:val="0"/>
      <w:marTop w:val="0"/>
      <w:marBottom w:val="0"/>
      <w:divBdr>
        <w:top w:val="none" w:sz="0" w:space="0" w:color="auto"/>
        <w:left w:val="none" w:sz="0" w:space="0" w:color="auto"/>
        <w:bottom w:val="none" w:sz="0" w:space="0" w:color="auto"/>
        <w:right w:val="none" w:sz="0" w:space="0" w:color="auto"/>
      </w:divBdr>
    </w:div>
    <w:div w:id="1092436542">
      <w:bodyDiv w:val="1"/>
      <w:marLeft w:val="0"/>
      <w:marRight w:val="0"/>
      <w:marTop w:val="0"/>
      <w:marBottom w:val="0"/>
      <w:divBdr>
        <w:top w:val="none" w:sz="0" w:space="0" w:color="auto"/>
        <w:left w:val="none" w:sz="0" w:space="0" w:color="auto"/>
        <w:bottom w:val="none" w:sz="0" w:space="0" w:color="auto"/>
        <w:right w:val="none" w:sz="0" w:space="0" w:color="auto"/>
      </w:divBdr>
    </w:div>
    <w:div w:id="1103769735">
      <w:bodyDiv w:val="1"/>
      <w:marLeft w:val="0"/>
      <w:marRight w:val="0"/>
      <w:marTop w:val="0"/>
      <w:marBottom w:val="0"/>
      <w:divBdr>
        <w:top w:val="none" w:sz="0" w:space="0" w:color="auto"/>
        <w:left w:val="none" w:sz="0" w:space="0" w:color="auto"/>
        <w:bottom w:val="none" w:sz="0" w:space="0" w:color="auto"/>
        <w:right w:val="none" w:sz="0" w:space="0" w:color="auto"/>
      </w:divBdr>
    </w:div>
    <w:div w:id="1106542122">
      <w:bodyDiv w:val="1"/>
      <w:marLeft w:val="0"/>
      <w:marRight w:val="0"/>
      <w:marTop w:val="0"/>
      <w:marBottom w:val="0"/>
      <w:divBdr>
        <w:top w:val="none" w:sz="0" w:space="0" w:color="auto"/>
        <w:left w:val="none" w:sz="0" w:space="0" w:color="auto"/>
        <w:bottom w:val="none" w:sz="0" w:space="0" w:color="auto"/>
        <w:right w:val="none" w:sz="0" w:space="0" w:color="auto"/>
      </w:divBdr>
    </w:div>
    <w:div w:id="1108502265">
      <w:bodyDiv w:val="1"/>
      <w:marLeft w:val="0"/>
      <w:marRight w:val="0"/>
      <w:marTop w:val="0"/>
      <w:marBottom w:val="0"/>
      <w:divBdr>
        <w:top w:val="none" w:sz="0" w:space="0" w:color="auto"/>
        <w:left w:val="none" w:sz="0" w:space="0" w:color="auto"/>
        <w:bottom w:val="none" w:sz="0" w:space="0" w:color="auto"/>
        <w:right w:val="none" w:sz="0" w:space="0" w:color="auto"/>
      </w:divBdr>
    </w:div>
    <w:div w:id="1129321097">
      <w:bodyDiv w:val="1"/>
      <w:marLeft w:val="0"/>
      <w:marRight w:val="0"/>
      <w:marTop w:val="0"/>
      <w:marBottom w:val="0"/>
      <w:divBdr>
        <w:top w:val="none" w:sz="0" w:space="0" w:color="auto"/>
        <w:left w:val="none" w:sz="0" w:space="0" w:color="auto"/>
        <w:bottom w:val="none" w:sz="0" w:space="0" w:color="auto"/>
        <w:right w:val="none" w:sz="0" w:space="0" w:color="auto"/>
      </w:divBdr>
    </w:div>
    <w:div w:id="1154299834">
      <w:bodyDiv w:val="1"/>
      <w:marLeft w:val="0"/>
      <w:marRight w:val="0"/>
      <w:marTop w:val="0"/>
      <w:marBottom w:val="0"/>
      <w:divBdr>
        <w:top w:val="none" w:sz="0" w:space="0" w:color="auto"/>
        <w:left w:val="none" w:sz="0" w:space="0" w:color="auto"/>
        <w:bottom w:val="none" w:sz="0" w:space="0" w:color="auto"/>
        <w:right w:val="none" w:sz="0" w:space="0" w:color="auto"/>
      </w:divBdr>
    </w:div>
    <w:div w:id="1160733507">
      <w:bodyDiv w:val="1"/>
      <w:marLeft w:val="0"/>
      <w:marRight w:val="0"/>
      <w:marTop w:val="0"/>
      <w:marBottom w:val="0"/>
      <w:divBdr>
        <w:top w:val="none" w:sz="0" w:space="0" w:color="auto"/>
        <w:left w:val="none" w:sz="0" w:space="0" w:color="auto"/>
        <w:bottom w:val="none" w:sz="0" w:space="0" w:color="auto"/>
        <w:right w:val="none" w:sz="0" w:space="0" w:color="auto"/>
      </w:divBdr>
    </w:div>
    <w:div w:id="1170759638">
      <w:bodyDiv w:val="1"/>
      <w:marLeft w:val="0"/>
      <w:marRight w:val="0"/>
      <w:marTop w:val="0"/>
      <w:marBottom w:val="0"/>
      <w:divBdr>
        <w:top w:val="none" w:sz="0" w:space="0" w:color="auto"/>
        <w:left w:val="none" w:sz="0" w:space="0" w:color="auto"/>
        <w:bottom w:val="none" w:sz="0" w:space="0" w:color="auto"/>
        <w:right w:val="none" w:sz="0" w:space="0" w:color="auto"/>
      </w:divBdr>
    </w:div>
    <w:div w:id="1202015222">
      <w:bodyDiv w:val="1"/>
      <w:marLeft w:val="0"/>
      <w:marRight w:val="0"/>
      <w:marTop w:val="0"/>
      <w:marBottom w:val="0"/>
      <w:divBdr>
        <w:top w:val="none" w:sz="0" w:space="0" w:color="auto"/>
        <w:left w:val="none" w:sz="0" w:space="0" w:color="auto"/>
        <w:bottom w:val="none" w:sz="0" w:space="0" w:color="auto"/>
        <w:right w:val="none" w:sz="0" w:space="0" w:color="auto"/>
      </w:divBdr>
    </w:div>
    <w:div w:id="1207990787">
      <w:bodyDiv w:val="1"/>
      <w:marLeft w:val="0"/>
      <w:marRight w:val="0"/>
      <w:marTop w:val="0"/>
      <w:marBottom w:val="0"/>
      <w:divBdr>
        <w:top w:val="none" w:sz="0" w:space="0" w:color="auto"/>
        <w:left w:val="none" w:sz="0" w:space="0" w:color="auto"/>
        <w:bottom w:val="none" w:sz="0" w:space="0" w:color="auto"/>
        <w:right w:val="none" w:sz="0" w:space="0" w:color="auto"/>
      </w:divBdr>
    </w:div>
    <w:div w:id="1261109358">
      <w:bodyDiv w:val="1"/>
      <w:marLeft w:val="0"/>
      <w:marRight w:val="0"/>
      <w:marTop w:val="0"/>
      <w:marBottom w:val="0"/>
      <w:divBdr>
        <w:top w:val="none" w:sz="0" w:space="0" w:color="auto"/>
        <w:left w:val="none" w:sz="0" w:space="0" w:color="auto"/>
        <w:bottom w:val="none" w:sz="0" w:space="0" w:color="auto"/>
        <w:right w:val="none" w:sz="0" w:space="0" w:color="auto"/>
      </w:divBdr>
    </w:div>
    <w:div w:id="1261644749">
      <w:bodyDiv w:val="1"/>
      <w:marLeft w:val="0"/>
      <w:marRight w:val="0"/>
      <w:marTop w:val="0"/>
      <w:marBottom w:val="0"/>
      <w:divBdr>
        <w:top w:val="none" w:sz="0" w:space="0" w:color="auto"/>
        <w:left w:val="none" w:sz="0" w:space="0" w:color="auto"/>
        <w:bottom w:val="none" w:sz="0" w:space="0" w:color="auto"/>
        <w:right w:val="none" w:sz="0" w:space="0" w:color="auto"/>
      </w:divBdr>
    </w:div>
    <w:div w:id="1351637449">
      <w:bodyDiv w:val="1"/>
      <w:marLeft w:val="0"/>
      <w:marRight w:val="0"/>
      <w:marTop w:val="0"/>
      <w:marBottom w:val="0"/>
      <w:divBdr>
        <w:top w:val="none" w:sz="0" w:space="0" w:color="auto"/>
        <w:left w:val="none" w:sz="0" w:space="0" w:color="auto"/>
        <w:bottom w:val="none" w:sz="0" w:space="0" w:color="auto"/>
        <w:right w:val="none" w:sz="0" w:space="0" w:color="auto"/>
      </w:divBdr>
    </w:div>
    <w:div w:id="1358046432">
      <w:bodyDiv w:val="1"/>
      <w:marLeft w:val="0"/>
      <w:marRight w:val="0"/>
      <w:marTop w:val="0"/>
      <w:marBottom w:val="0"/>
      <w:divBdr>
        <w:top w:val="none" w:sz="0" w:space="0" w:color="auto"/>
        <w:left w:val="none" w:sz="0" w:space="0" w:color="auto"/>
        <w:bottom w:val="none" w:sz="0" w:space="0" w:color="auto"/>
        <w:right w:val="none" w:sz="0" w:space="0" w:color="auto"/>
      </w:divBdr>
    </w:div>
    <w:div w:id="1368872956">
      <w:bodyDiv w:val="1"/>
      <w:marLeft w:val="0"/>
      <w:marRight w:val="0"/>
      <w:marTop w:val="0"/>
      <w:marBottom w:val="0"/>
      <w:divBdr>
        <w:top w:val="none" w:sz="0" w:space="0" w:color="auto"/>
        <w:left w:val="none" w:sz="0" w:space="0" w:color="auto"/>
        <w:bottom w:val="none" w:sz="0" w:space="0" w:color="auto"/>
        <w:right w:val="none" w:sz="0" w:space="0" w:color="auto"/>
      </w:divBdr>
    </w:div>
    <w:div w:id="1374428320">
      <w:bodyDiv w:val="1"/>
      <w:marLeft w:val="0"/>
      <w:marRight w:val="0"/>
      <w:marTop w:val="0"/>
      <w:marBottom w:val="0"/>
      <w:divBdr>
        <w:top w:val="none" w:sz="0" w:space="0" w:color="auto"/>
        <w:left w:val="none" w:sz="0" w:space="0" w:color="auto"/>
        <w:bottom w:val="none" w:sz="0" w:space="0" w:color="auto"/>
        <w:right w:val="none" w:sz="0" w:space="0" w:color="auto"/>
      </w:divBdr>
    </w:div>
    <w:div w:id="1382438569">
      <w:bodyDiv w:val="1"/>
      <w:marLeft w:val="0"/>
      <w:marRight w:val="0"/>
      <w:marTop w:val="0"/>
      <w:marBottom w:val="0"/>
      <w:divBdr>
        <w:top w:val="none" w:sz="0" w:space="0" w:color="auto"/>
        <w:left w:val="none" w:sz="0" w:space="0" w:color="auto"/>
        <w:bottom w:val="none" w:sz="0" w:space="0" w:color="auto"/>
        <w:right w:val="none" w:sz="0" w:space="0" w:color="auto"/>
      </w:divBdr>
    </w:div>
    <w:div w:id="1391225549">
      <w:bodyDiv w:val="1"/>
      <w:marLeft w:val="0"/>
      <w:marRight w:val="0"/>
      <w:marTop w:val="0"/>
      <w:marBottom w:val="0"/>
      <w:divBdr>
        <w:top w:val="none" w:sz="0" w:space="0" w:color="auto"/>
        <w:left w:val="none" w:sz="0" w:space="0" w:color="auto"/>
        <w:bottom w:val="none" w:sz="0" w:space="0" w:color="auto"/>
        <w:right w:val="none" w:sz="0" w:space="0" w:color="auto"/>
      </w:divBdr>
    </w:div>
    <w:div w:id="1401171341">
      <w:bodyDiv w:val="1"/>
      <w:marLeft w:val="0"/>
      <w:marRight w:val="0"/>
      <w:marTop w:val="0"/>
      <w:marBottom w:val="0"/>
      <w:divBdr>
        <w:top w:val="none" w:sz="0" w:space="0" w:color="auto"/>
        <w:left w:val="none" w:sz="0" w:space="0" w:color="auto"/>
        <w:bottom w:val="none" w:sz="0" w:space="0" w:color="auto"/>
        <w:right w:val="none" w:sz="0" w:space="0" w:color="auto"/>
      </w:divBdr>
    </w:div>
    <w:div w:id="1416828025">
      <w:bodyDiv w:val="1"/>
      <w:marLeft w:val="0"/>
      <w:marRight w:val="0"/>
      <w:marTop w:val="0"/>
      <w:marBottom w:val="0"/>
      <w:divBdr>
        <w:top w:val="none" w:sz="0" w:space="0" w:color="auto"/>
        <w:left w:val="none" w:sz="0" w:space="0" w:color="auto"/>
        <w:bottom w:val="none" w:sz="0" w:space="0" w:color="auto"/>
        <w:right w:val="none" w:sz="0" w:space="0" w:color="auto"/>
      </w:divBdr>
    </w:div>
    <w:div w:id="1425882390">
      <w:bodyDiv w:val="1"/>
      <w:marLeft w:val="0"/>
      <w:marRight w:val="0"/>
      <w:marTop w:val="0"/>
      <w:marBottom w:val="0"/>
      <w:divBdr>
        <w:top w:val="none" w:sz="0" w:space="0" w:color="auto"/>
        <w:left w:val="none" w:sz="0" w:space="0" w:color="auto"/>
        <w:bottom w:val="none" w:sz="0" w:space="0" w:color="auto"/>
        <w:right w:val="none" w:sz="0" w:space="0" w:color="auto"/>
      </w:divBdr>
    </w:div>
    <w:div w:id="1428578772">
      <w:bodyDiv w:val="1"/>
      <w:marLeft w:val="0"/>
      <w:marRight w:val="0"/>
      <w:marTop w:val="0"/>
      <w:marBottom w:val="0"/>
      <w:divBdr>
        <w:top w:val="none" w:sz="0" w:space="0" w:color="auto"/>
        <w:left w:val="none" w:sz="0" w:space="0" w:color="auto"/>
        <w:bottom w:val="none" w:sz="0" w:space="0" w:color="auto"/>
        <w:right w:val="none" w:sz="0" w:space="0" w:color="auto"/>
      </w:divBdr>
    </w:div>
    <w:div w:id="1443382494">
      <w:bodyDiv w:val="1"/>
      <w:marLeft w:val="0"/>
      <w:marRight w:val="0"/>
      <w:marTop w:val="0"/>
      <w:marBottom w:val="0"/>
      <w:divBdr>
        <w:top w:val="none" w:sz="0" w:space="0" w:color="auto"/>
        <w:left w:val="none" w:sz="0" w:space="0" w:color="auto"/>
        <w:bottom w:val="none" w:sz="0" w:space="0" w:color="auto"/>
        <w:right w:val="none" w:sz="0" w:space="0" w:color="auto"/>
      </w:divBdr>
    </w:div>
    <w:div w:id="1446000542">
      <w:bodyDiv w:val="1"/>
      <w:marLeft w:val="0"/>
      <w:marRight w:val="0"/>
      <w:marTop w:val="0"/>
      <w:marBottom w:val="0"/>
      <w:divBdr>
        <w:top w:val="none" w:sz="0" w:space="0" w:color="auto"/>
        <w:left w:val="none" w:sz="0" w:space="0" w:color="auto"/>
        <w:bottom w:val="none" w:sz="0" w:space="0" w:color="auto"/>
        <w:right w:val="none" w:sz="0" w:space="0" w:color="auto"/>
      </w:divBdr>
    </w:div>
    <w:div w:id="1449466371">
      <w:bodyDiv w:val="1"/>
      <w:marLeft w:val="0"/>
      <w:marRight w:val="0"/>
      <w:marTop w:val="0"/>
      <w:marBottom w:val="0"/>
      <w:divBdr>
        <w:top w:val="none" w:sz="0" w:space="0" w:color="auto"/>
        <w:left w:val="none" w:sz="0" w:space="0" w:color="auto"/>
        <w:bottom w:val="none" w:sz="0" w:space="0" w:color="auto"/>
        <w:right w:val="none" w:sz="0" w:space="0" w:color="auto"/>
      </w:divBdr>
    </w:div>
    <w:div w:id="1465855109">
      <w:bodyDiv w:val="1"/>
      <w:marLeft w:val="0"/>
      <w:marRight w:val="0"/>
      <w:marTop w:val="0"/>
      <w:marBottom w:val="0"/>
      <w:divBdr>
        <w:top w:val="none" w:sz="0" w:space="0" w:color="auto"/>
        <w:left w:val="none" w:sz="0" w:space="0" w:color="auto"/>
        <w:bottom w:val="none" w:sz="0" w:space="0" w:color="auto"/>
        <w:right w:val="none" w:sz="0" w:space="0" w:color="auto"/>
      </w:divBdr>
    </w:div>
    <w:div w:id="1488131035">
      <w:bodyDiv w:val="1"/>
      <w:marLeft w:val="0"/>
      <w:marRight w:val="0"/>
      <w:marTop w:val="0"/>
      <w:marBottom w:val="0"/>
      <w:divBdr>
        <w:top w:val="none" w:sz="0" w:space="0" w:color="auto"/>
        <w:left w:val="none" w:sz="0" w:space="0" w:color="auto"/>
        <w:bottom w:val="none" w:sz="0" w:space="0" w:color="auto"/>
        <w:right w:val="none" w:sz="0" w:space="0" w:color="auto"/>
      </w:divBdr>
    </w:div>
    <w:div w:id="1499228498">
      <w:bodyDiv w:val="1"/>
      <w:marLeft w:val="0"/>
      <w:marRight w:val="0"/>
      <w:marTop w:val="0"/>
      <w:marBottom w:val="0"/>
      <w:divBdr>
        <w:top w:val="none" w:sz="0" w:space="0" w:color="auto"/>
        <w:left w:val="none" w:sz="0" w:space="0" w:color="auto"/>
        <w:bottom w:val="none" w:sz="0" w:space="0" w:color="auto"/>
        <w:right w:val="none" w:sz="0" w:space="0" w:color="auto"/>
      </w:divBdr>
    </w:div>
    <w:div w:id="1512062399">
      <w:bodyDiv w:val="1"/>
      <w:marLeft w:val="0"/>
      <w:marRight w:val="0"/>
      <w:marTop w:val="0"/>
      <w:marBottom w:val="0"/>
      <w:divBdr>
        <w:top w:val="none" w:sz="0" w:space="0" w:color="auto"/>
        <w:left w:val="none" w:sz="0" w:space="0" w:color="auto"/>
        <w:bottom w:val="none" w:sz="0" w:space="0" w:color="auto"/>
        <w:right w:val="none" w:sz="0" w:space="0" w:color="auto"/>
      </w:divBdr>
    </w:div>
    <w:div w:id="1517424282">
      <w:bodyDiv w:val="1"/>
      <w:marLeft w:val="0"/>
      <w:marRight w:val="0"/>
      <w:marTop w:val="0"/>
      <w:marBottom w:val="0"/>
      <w:divBdr>
        <w:top w:val="none" w:sz="0" w:space="0" w:color="auto"/>
        <w:left w:val="none" w:sz="0" w:space="0" w:color="auto"/>
        <w:bottom w:val="none" w:sz="0" w:space="0" w:color="auto"/>
        <w:right w:val="none" w:sz="0" w:space="0" w:color="auto"/>
      </w:divBdr>
    </w:div>
    <w:div w:id="1525943780">
      <w:bodyDiv w:val="1"/>
      <w:marLeft w:val="0"/>
      <w:marRight w:val="0"/>
      <w:marTop w:val="0"/>
      <w:marBottom w:val="0"/>
      <w:divBdr>
        <w:top w:val="none" w:sz="0" w:space="0" w:color="auto"/>
        <w:left w:val="none" w:sz="0" w:space="0" w:color="auto"/>
        <w:bottom w:val="none" w:sz="0" w:space="0" w:color="auto"/>
        <w:right w:val="none" w:sz="0" w:space="0" w:color="auto"/>
      </w:divBdr>
    </w:div>
    <w:div w:id="1533180328">
      <w:bodyDiv w:val="1"/>
      <w:marLeft w:val="0"/>
      <w:marRight w:val="0"/>
      <w:marTop w:val="0"/>
      <w:marBottom w:val="0"/>
      <w:divBdr>
        <w:top w:val="none" w:sz="0" w:space="0" w:color="auto"/>
        <w:left w:val="none" w:sz="0" w:space="0" w:color="auto"/>
        <w:bottom w:val="none" w:sz="0" w:space="0" w:color="auto"/>
        <w:right w:val="none" w:sz="0" w:space="0" w:color="auto"/>
      </w:divBdr>
    </w:div>
    <w:div w:id="1537768003">
      <w:bodyDiv w:val="1"/>
      <w:marLeft w:val="0"/>
      <w:marRight w:val="0"/>
      <w:marTop w:val="0"/>
      <w:marBottom w:val="0"/>
      <w:divBdr>
        <w:top w:val="none" w:sz="0" w:space="0" w:color="auto"/>
        <w:left w:val="none" w:sz="0" w:space="0" w:color="auto"/>
        <w:bottom w:val="none" w:sz="0" w:space="0" w:color="auto"/>
        <w:right w:val="none" w:sz="0" w:space="0" w:color="auto"/>
      </w:divBdr>
    </w:div>
    <w:div w:id="1559515152">
      <w:bodyDiv w:val="1"/>
      <w:marLeft w:val="0"/>
      <w:marRight w:val="0"/>
      <w:marTop w:val="0"/>
      <w:marBottom w:val="0"/>
      <w:divBdr>
        <w:top w:val="none" w:sz="0" w:space="0" w:color="auto"/>
        <w:left w:val="none" w:sz="0" w:space="0" w:color="auto"/>
        <w:bottom w:val="none" w:sz="0" w:space="0" w:color="auto"/>
        <w:right w:val="none" w:sz="0" w:space="0" w:color="auto"/>
      </w:divBdr>
    </w:div>
    <w:div w:id="1583953138">
      <w:bodyDiv w:val="1"/>
      <w:marLeft w:val="0"/>
      <w:marRight w:val="0"/>
      <w:marTop w:val="0"/>
      <w:marBottom w:val="0"/>
      <w:divBdr>
        <w:top w:val="none" w:sz="0" w:space="0" w:color="auto"/>
        <w:left w:val="none" w:sz="0" w:space="0" w:color="auto"/>
        <w:bottom w:val="none" w:sz="0" w:space="0" w:color="auto"/>
        <w:right w:val="none" w:sz="0" w:space="0" w:color="auto"/>
      </w:divBdr>
    </w:div>
    <w:div w:id="1584875653">
      <w:bodyDiv w:val="1"/>
      <w:marLeft w:val="0"/>
      <w:marRight w:val="0"/>
      <w:marTop w:val="0"/>
      <w:marBottom w:val="0"/>
      <w:divBdr>
        <w:top w:val="none" w:sz="0" w:space="0" w:color="auto"/>
        <w:left w:val="none" w:sz="0" w:space="0" w:color="auto"/>
        <w:bottom w:val="none" w:sz="0" w:space="0" w:color="auto"/>
        <w:right w:val="none" w:sz="0" w:space="0" w:color="auto"/>
      </w:divBdr>
    </w:div>
    <w:div w:id="1587305910">
      <w:bodyDiv w:val="1"/>
      <w:marLeft w:val="0"/>
      <w:marRight w:val="0"/>
      <w:marTop w:val="0"/>
      <w:marBottom w:val="0"/>
      <w:divBdr>
        <w:top w:val="none" w:sz="0" w:space="0" w:color="auto"/>
        <w:left w:val="none" w:sz="0" w:space="0" w:color="auto"/>
        <w:bottom w:val="none" w:sz="0" w:space="0" w:color="auto"/>
        <w:right w:val="none" w:sz="0" w:space="0" w:color="auto"/>
      </w:divBdr>
    </w:div>
    <w:div w:id="1593585424">
      <w:bodyDiv w:val="1"/>
      <w:marLeft w:val="0"/>
      <w:marRight w:val="0"/>
      <w:marTop w:val="0"/>
      <w:marBottom w:val="0"/>
      <w:divBdr>
        <w:top w:val="none" w:sz="0" w:space="0" w:color="auto"/>
        <w:left w:val="none" w:sz="0" w:space="0" w:color="auto"/>
        <w:bottom w:val="none" w:sz="0" w:space="0" w:color="auto"/>
        <w:right w:val="none" w:sz="0" w:space="0" w:color="auto"/>
      </w:divBdr>
    </w:div>
    <w:div w:id="1621566911">
      <w:bodyDiv w:val="1"/>
      <w:marLeft w:val="0"/>
      <w:marRight w:val="0"/>
      <w:marTop w:val="0"/>
      <w:marBottom w:val="0"/>
      <w:divBdr>
        <w:top w:val="none" w:sz="0" w:space="0" w:color="auto"/>
        <w:left w:val="none" w:sz="0" w:space="0" w:color="auto"/>
        <w:bottom w:val="none" w:sz="0" w:space="0" w:color="auto"/>
        <w:right w:val="none" w:sz="0" w:space="0" w:color="auto"/>
      </w:divBdr>
    </w:div>
    <w:div w:id="1625498952">
      <w:bodyDiv w:val="1"/>
      <w:marLeft w:val="0"/>
      <w:marRight w:val="0"/>
      <w:marTop w:val="0"/>
      <w:marBottom w:val="0"/>
      <w:divBdr>
        <w:top w:val="none" w:sz="0" w:space="0" w:color="auto"/>
        <w:left w:val="none" w:sz="0" w:space="0" w:color="auto"/>
        <w:bottom w:val="none" w:sz="0" w:space="0" w:color="auto"/>
        <w:right w:val="none" w:sz="0" w:space="0" w:color="auto"/>
      </w:divBdr>
    </w:div>
    <w:div w:id="1653482805">
      <w:bodyDiv w:val="1"/>
      <w:marLeft w:val="0"/>
      <w:marRight w:val="0"/>
      <w:marTop w:val="0"/>
      <w:marBottom w:val="0"/>
      <w:divBdr>
        <w:top w:val="none" w:sz="0" w:space="0" w:color="auto"/>
        <w:left w:val="none" w:sz="0" w:space="0" w:color="auto"/>
        <w:bottom w:val="none" w:sz="0" w:space="0" w:color="auto"/>
        <w:right w:val="none" w:sz="0" w:space="0" w:color="auto"/>
      </w:divBdr>
    </w:div>
    <w:div w:id="1657756198">
      <w:bodyDiv w:val="1"/>
      <w:marLeft w:val="0"/>
      <w:marRight w:val="0"/>
      <w:marTop w:val="0"/>
      <w:marBottom w:val="0"/>
      <w:divBdr>
        <w:top w:val="none" w:sz="0" w:space="0" w:color="auto"/>
        <w:left w:val="none" w:sz="0" w:space="0" w:color="auto"/>
        <w:bottom w:val="none" w:sz="0" w:space="0" w:color="auto"/>
        <w:right w:val="none" w:sz="0" w:space="0" w:color="auto"/>
      </w:divBdr>
    </w:div>
    <w:div w:id="1669626052">
      <w:bodyDiv w:val="1"/>
      <w:marLeft w:val="0"/>
      <w:marRight w:val="0"/>
      <w:marTop w:val="0"/>
      <w:marBottom w:val="0"/>
      <w:divBdr>
        <w:top w:val="none" w:sz="0" w:space="0" w:color="auto"/>
        <w:left w:val="none" w:sz="0" w:space="0" w:color="auto"/>
        <w:bottom w:val="none" w:sz="0" w:space="0" w:color="auto"/>
        <w:right w:val="none" w:sz="0" w:space="0" w:color="auto"/>
      </w:divBdr>
    </w:div>
    <w:div w:id="1680888660">
      <w:bodyDiv w:val="1"/>
      <w:marLeft w:val="0"/>
      <w:marRight w:val="0"/>
      <w:marTop w:val="0"/>
      <w:marBottom w:val="0"/>
      <w:divBdr>
        <w:top w:val="none" w:sz="0" w:space="0" w:color="auto"/>
        <w:left w:val="none" w:sz="0" w:space="0" w:color="auto"/>
        <w:bottom w:val="none" w:sz="0" w:space="0" w:color="auto"/>
        <w:right w:val="none" w:sz="0" w:space="0" w:color="auto"/>
      </w:divBdr>
    </w:div>
    <w:div w:id="1699895853">
      <w:bodyDiv w:val="1"/>
      <w:marLeft w:val="0"/>
      <w:marRight w:val="0"/>
      <w:marTop w:val="0"/>
      <w:marBottom w:val="0"/>
      <w:divBdr>
        <w:top w:val="none" w:sz="0" w:space="0" w:color="auto"/>
        <w:left w:val="none" w:sz="0" w:space="0" w:color="auto"/>
        <w:bottom w:val="none" w:sz="0" w:space="0" w:color="auto"/>
        <w:right w:val="none" w:sz="0" w:space="0" w:color="auto"/>
      </w:divBdr>
    </w:div>
    <w:div w:id="1711420655">
      <w:bodyDiv w:val="1"/>
      <w:marLeft w:val="0"/>
      <w:marRight w:val="0"/>
      <w:marTop w:val="0"/>
      <w:marBottom w:val="0"/>
      <w:divBdr>
        <w:top w:val="none" w:sz="0" w:space="0" w:color="auto"/>
        <w:left w:val="none" w:sz="0" w:space="0" w:color="auto"/>
        <w:bottom w:val="none" w:sz="0" w:space="0" w:color="auto"/>
        <w:right w:val="none" w:sz="0" w:space="0" w:color="auto"/>
      </w:divBdr>
    </w:div>
    <w:div w:id="1716615497">
      <w:bodyDiv w:val="1"/>
      <w:marLeft w:val="0"/>
      <w:marRight w:val="0"/>
      <w:marTop w:val="0"/>
      <w:marBottom w:val="0"/>
      <w:divBdr>
        <w:top w:val="none" w:sz="0" w:space="0" w:color="auto"/>
        <w:left w:val="none" w:sz="0" w:space="0" w:color="auto"/>
        <w:bottom w:val="none" w:sz="0" w:space="0" w:color="auto"/>
        <w:right w:val="none" w:sz="0" w:space="0" w:color="auto"/>
      </w:divBdr>
    </w:div>
    <w:div w:id="1724326698">
      <w:bodyDiv w:val="1"/>
      <w:marLeft w:val="0"/>
      <w:marRight w:val="0"/>
      <w:marTop w:val="0"/>
      <w:marBottom w:val="0"/>
      <w:divBdr>
        <w:top w:val="none" w:sz="0" w:space="0" w:color="auto"/>
        <w:left w:val="none" w:sz="0" w:space="0" w:color="auto"/>
        <w:bottom w:val="none" w:sz="0" w:space="0" w:color="auto"/>
        <w:right w:val="none" w:sz="0" w:space="0" w:color="auto"/>
      </w:divBdr>
    </w:div>
    <w:div w:id="1753812052">
      <w:bodyDiv w:val="1"/>
      <w:marLeft w:val="0"/>
      <w:marRight w:val="0"/>
      <w:marTop w:val="0"/>
      <w:marBottom w:val="0"/>
      <w:divBdr>
        <w:top w:val="none" w:sz="0" w:space="0" w:color="auto"/>
        <w:left w:val="none" w:sz="0" w:space="0" w:color="auto"/>
        <w:bottom w:val="none" w:sz="0" w:space="0" w:color="auto"/>
        <w:right w:val="none" w:sz="0" w:space="0" w:color="auto"/>
      </w:divBdr>
    </w:div>
    <w:div w:id="1809199359">
      <w:bodyDiv w:val="1"/>
      <w:marLeft w:val="0"/>
      <w:marRight w:val="0"/>
      <w:marTop w:val="0"/>
      <w:marBottom w:val="0"/>
      <w:divBdr>
        <w:top w:val="none" w:sz="0" w:space="0" w:color="auto"/>
        <w:left w:val="none" w:sz="0" w:space="0" w:color="auto"/>
        <w:bottom w:val="none" w:sz="0" w:space="0" w:color="auto"/>
        <w:right w:val="none" w:sz="0" w:space="0" w:color="auto"/>
      </w:divBdr>
    </w:div>
    <w:div w:id="1832256511">
      <w:bodyDiv w:val="1"/>
      <w:marLeft w:val="0"/>
      <w:marRight w:val="0"/>
      <w:marTop w:val="0"/>
      <w:marBottom w:val="0"/>
      <w:divBdr>
        <w:top w:val="none" w:sz="0" w:space="0" w:color="auto"/>
        <w:left w:val="none" w:sz="0" w:space="0" w:color="auto"/>
        <w:bottom w:val="none" w:sz="0" w:space="0" w:color="auto"/>
        <w:right w:val="none" w:sz="0" w:space="0" w:color="auto"/>
      </w:divBdr>
    </w:div>
    <w:div w:id="1837763176">
      <w:bodyDiv w:val="1"/>
      <w:marLeft w:val="0"/>
      <w:marRight w:val="0"/>
      <w:marTop w:val="0"/>
      <w:marBottom w:val="0"/>
      <w:divBdr>
        <w:top w:val="none" w:sz="0" w:space="0" w:color="auto"/>
        <w:left w:val="none" w:sz="0" w:space="0" w:color="auto"/>
        <w:bottom w:val="none" w:sz="0" w:space="0" w:color="auto"/>
        <w:right w:val="none" w:sz="0" w:space="0" w:color="auto"/>
      </w:divBdr>
    </w:div>
    <w:div w:id="1873959420">
      <w:bodyDiv w:val="1"/>
      <w:marLeft w:val="0"/>
      <w:marRight w:val="0"/>
      <w:marTop w:val="0"/>
      <w:marBottom w:val="0"/>
      <w:divBdr>
        <w:top w:val="none" w:sz="0" w:space="0" w:color="auto"/>
        <w:left w:val="none" w:sz="0" w:space="0" w:color="auto"/>
        <w:bottom w:val="none" w:sz="0" w:space="0" w:color="auto"/>
        <w:right w:val="none" w:sz="0" w:space="0" w:color="auto"/>
      </w:divBdr>
    </w:div>
    <w:div w:id="1876193037">
      <w:bodyDiv w:val="1"/>
      <w:marLeft w:val="0"/>
      <w:marRight w:val="0"/>
      <w:marTop w:val="0"/>
      <w:marBottom w:val="0"/>
      <w:divBdr>
        <w:top w:val="none" w:sz="0" w:space="0" w:color="auto"/>
        <w:left w:val="none" w:sz="0" w:space="0" w:color="auto"/>
        <w:bottom w:val="none" w:sz="0" w:space="0" w:color="auto"/>
        <w:right w:val="none" w:sz="0" w:space="0" w:color="auto"/>
      </w:divBdr>
    </w:div>
    <w:div w:id="1887452453">
      <w:bodyDiv w:val="1"/>
      <w:marLeft w:val="0"/>
      <w:marRight w:val="0"/>
      <w:marTop w:val="0"/>
      <w:marBottom w:val="0"/>
      <w:divBdr>
        <w:top w:val="none" w:sz="0" w:space="0" w:color="auto"/>
        <w:left w:val="none" w:sz="0" w:space="0" w:color="auto"/>
        <w:bottom w:val="none" w:sz="0" w:space="0" w:color="auto"/>
        <w:right w:val="none" w:sz="0" w:space="0" w:color="auto"/>
      </w:divBdr>
    </w:div>
    <w:div w:id="1890220772">
      <w:bodyDiv w:val="1"/>
      <w:marLeft w:val="0"/>
      <w:marRight w:val="0"/>
      <w:marTop w:val="0"/>
      <w:marBottom w:val="0"/>
      <w:divBdr>
        <w:top w:val="none" w:sz="0" w:space="0" w:color="auto"/>
        <w:left w:val="none" w:sz="0" w:space="0" w:color="auto"/>
        <w:bottom w:val="none" w:sz="0" w:space="0" w:color="auto"/>
        <w:right w:val="none" w:sz="0" w:space="0" w:color="auto"/>
      </w:divBdr>
    </w:div>
    <w:div w:id="1891988646">
      <w:bodyDiv w:val="1"/>
      <w:marLeft w:val="0"/>
      <w:marRight w:val="0"/>
      <w:marTop w:val="0"/>
      <w:marBottom w:val="0"/>
      <w:divBdr>
        <w:top w:val="none" w:sz="0" w:space="0" w:color="auto"/>
        <w:left w:val="none" w:sz="0" w:space="0" w:color="auto"/>
        <w:bottom w:val="none" w:sz="0" w:space="0" w:color="auto"/>
        <w:right w:val="none" w:sz="0" w:space="0" w:color="auto"/>
      </w:divBdr>
    </w:div>
    <w:div w:id="1921478790">
      <w:bodyDiv w:val="1"/>
      <w:marLeft w:val="0"/>
      <w:marRight w:val="0"/>
      <w:marTop w:val="0"/>
      <w:marBottom w:val="0"/>
      <w:divBdr>
        <w:top w:val="none" w:sz="0" w:space="0" w:color="auto"/>
        <w:left w:val="none" w:sz="0" w:space="0" w:color="auto"/>
        <w:bottom w:val="none" w:sz="0" w:space="0" w:color="auto"/>
        <w:right w:val="none" w:sz="0" w:space="0" w:color="auto"/>
      </w:divBdr>
    </w:div>
    <w:div w:id="1923101090">
      <w:bodyDiv w:val="1"/>
      <w:marLeft w:val="0"/>
      <w:marRight w:val="0"/>
      <w:marTop w:val="0"/>
      <w:marBottom w:val="0"/>
      <w:divBdr>
        <w:top w:val="none" w:sz="0" w:space="0" w:color="auto"/>
        <w:left w:val="none" w:sz="0" w:space="0" w:color="auto"/>
        <w:bottom w:val="none" w:sz="0" w:space="0" w:color="auto"/>
        <w:right w:val="none" w:sz="0" w:space="0" w:color="auto"/>
      </w:divBdr>
    </w:div>
    <w:div w:id="1928149029">
      <w:bodyDiv w:val="1"/>
      <w:marLeft w:val="0"/>
      <w:marRight w:val="0"/>
      <w:marTop w:val="0"/>
      <w:marBottom w:val="0"/>
      <w:divBdr>
        <w:top w:val="none" w:sz="0" w:space="0" w:color="auto"/>
        <w:left w:val="none" w:sz="0" w:space="0" w:color="auto"/>
        <w:bottom w:val="none" w:sz="0" w:space="0" w:color="auto"/>
        <w:right w:val="none" w:sz="0" w:space="0" w:color="auto"/>
      </w:divBdr>
    </w:div>
    <w:div w:id="1929272102">
      <w:bodyDiv w:val="1"/>
      <w:marLeft w:val="0"/>
      <w:marRight w:val="0"/>
      <w:marTop w:val="0"/>
      <w:marBottom w:val="0"/>
      <w:divBdr>
        <w:top w:val="none" w:sz="0" w:space="0" w:color="auto"/>
        <w:left w:val="none" w:sz="0" w:space="0" w:color="auto"/>
        <w:bottom w:val="none" w:sz="0" w:space="0" w:color="auto"/>
        <w:right w:val="none" w:sz="0" w:space="0" w:color="auto"/>
      </w:divBdr>
    </w:div>
    <w:div w:id="1942757681">
      <w:bodyDiv w:val="1"/>
      <w:marLeft w:val="0"/>
      <w:marRight w:val="0"/>
      <w:marTop w:val="0"/>
      <w:marBottom w:val="0"/>
      <w:divBdr>
        <w:top w:val="none" w:sz="0" w:space="0" w:color="auto"/>
        <w:left w:val="none" w:sz="0" w:space="0" w:color="auto"/>
        <w:bottom w:val="none" w:sz="0" w:space="0" w:color="auto"/>
        <w:right w:val="none" w:sz="0" w:space="0" w:color="auto"/>
      </w:divBdr>
    </w:div>
    <w:div w:id="1954745354">
      <w:bodyDiv w:val="1"/>
      <w:marLeft w:val="0"/>
      <w:marRight w:val="0"/>
      <w:marTop w:val="0"/>
      <w:marBottom w:val="0"/>
      <w:divBdr>
        <w:top w:val="none" w:sz="0" w:space="0" w:color="auto"/>
        <w:left w:val="none" w:sz="0" w:space="0" w:color="auto"/>
        <w:bottom w:val="none" w:sz="0" w:space="0" w:color="auto"/>
        <w:right w:val="none" w:sz="0" w:space="0" w:color="auto"/>
      </w:divBdr>
    </w:div>
    <w:div w:id="1959097420">
      <w:bodyDiv w:val="1"/>
      <w:marLeft w:val="0"/>
      <w:marRight w:val="0"/>
      <w:marTop w:val="0"/>
      <w:marBottom w:val="0"/>
      <w:divBdr>
        <w:top w:val="none" w:sz="0" w:space="0" w:color="auto"/>
        <w:left w:val="none" w:sz="0" w:space="0" w:color="auto"/>
        <w:bottom w:val="none" w:sz="0" w:space="0" w:color="auto"/>
        <w:right w:val="none" w:sz="0" w:space="0" w:color="auto"/>
      </w:divBdr>
      <w:divsChild>
        <w:div w:id="2013217823">
          <w:marLeft w:val="0"/>
          <w:marRight w:val="0"/>
          <w:marTop w:val="0"/>
          <w:marBottom w:val="0"/>
          <w:divBdr>
            <w:top w:val="none" w:sz="0" w:space="0" w:color="auto"/>
            <w:left w:val="none" w:sz="0" w:space="0" w:color="auto"/>
            <w:bottom w:val="none" w:sz="0" w:space="0" w:color="auto"/>
            <w:right w:val="none" w:sz="0" w:space="0" w:color="auto"/>
          </w:divBdr>
        </w:div>
      </w:divsChild>
    </w:div>
    <w:div w:id="1965379970">
      <w:bodyDiv w:val="1"/>
      <w:marLeft w:val="0"/>
      <w:marRight w:val="0"/>
      <w:marTop w:val="0"/>
      <w:marBottom w:val="0"/>
      <w:divBdr>
        <w:top w:val="none" w:sz="0" w:space="0" w:color="auto"/>
        <w:left w:val="none" w:sz="0" w:space="0" w:color="auto"/>
        <w:bottom w:val="none" w:sz="0" w:space="0" w:color="auto"/>
        <w:right w:val="none" w:sz="0" w:space="0" w:color="auto"/>
      </w:divBdr>
    </w:div>
    <w:div w:id="1971858385">
      <w:bodyDiv w:val="1"/>
      <w:marLeft w:val="0"/>
      <w:marRight w:val="0"/>
      <w:marTop w:val="0"/>
      <w:marBottom w:val="0"/>
      <w:divBdr>
        <w:top w:val="none" w:sz="0" w:space="0" w:color="auto"/>
        <w:left w:val="none" w:sz="0" w:space="0" w:color="auto"/>
        <w:bottom w:val="none" w:sz="0" w:space="0" w:color="auto"/>
        <w:right w:val="none" w:sz="0" w:space="0" w:color="auto"/>
      </w:divBdr>
    </w:div>
    <w:div w:id="1972052838">
      <w:bodyDiv w:val="1"/>
      <w:marLeft w:val="0"/>
      <w:marRight w:val="0"/>
      <w:marTop w:val="0"/>
      <w:marBottom w:val="0"/>
      <w:divBdr>
        <w:top w:val="none" w:sz="0" w:space="0" w:color="auto"/>
        <w:left w:val="none" w:sz="0" w:space="0" w:color="auto"/>
        <w:bottom w:val="none" w:sz="0" w:space="0" w:color="auto"/>
        <w:right w:val="none" w:sz="0" w:space="0" w:color="auto"/>
      </w:divBdr>
    </w:div>
    <w:div w:id="2016834361">
      <w:bodyDiv w:val="1"/>
      <w:marLeft w:val="0"/>
      <w:marRight w:val="0"/>
      <w:marTop w:val="0"/>
      <w:marBottom w:val="0"/>
      <w:divBdr>
        <w:top w:val="none" w:sz="0" w:space="0" w:color="auto"/>
        <w:left w:val="none" w:sz="0" w:space="0" w:color="auto"/>
        <w:bottom w:val="none" w:sz="0" w:space="0" w:color="auto"/>
        <w:right w:val="none" w:sz="0" w:space="0" w:color="auto"/>
      </w:divBdr>
    </w:div>
    <w:div w:id="2023581202">
      <w:bodyDiv w:val="1"/>
      <w:marLeft w:val="0"/>
      <w:marRight w:val="0"/>
      <w:marTop w:val="0"/>
      <w:marBottom w:val="0"/>
      <w:divBdr>
        <w:top w:val="none" w:sz="0" w:space="0" w:color="auto"/>
        <w:left w:val="none" w:sz="0" w:space="0" w:color="auto"/>
        <w:bottom w:val="none" w:sz="0" w:space="0" w:color="auto"/>
        <w:right w:val="none" w:sz="0" w:space="0" w:color="auto"/>
      </w:divBdr>
    </w:div>
    <w:div w:id="2026903893">
      <w:bodyDiv w:val="1"/>
      <w:marLeft w:val="0"/>
      <w:marRight w:val="0"/>
      <w:marTop w:val="0"/>
      <w:marBottom w:val="0"/>
      <w:divBdr>
        <w:top w:val="none" w:sz="0" w:space="0" w:color="auto"/>
        <w:left w:val="none" w:sz="0" w:space="0" w:color="auto"/>
        <w:bottom w:val="none" w:sz="0" w:space="0" w:color="auto"/>
        <w:right w:val="none" w:sz="0" w:space="0" w:color="auto"/>
      </w:divBdr>
    </w:div>
    <w:div w:id="2051877867">
      <w:bodyDiv w:val="1"/>
      <w:marLeft w:val="0"/>
      <w:marRight w:val="0"/>
      <w:marTop w:val="0"/>
      <w:marBottom w:val="0"/>
      <w:divBdr>
        <w:top w:val="none" w:sz="0" w:space="0" w:color="auto"/>
        <w:left w:val="none" w:sz="0" w:space="0" w:color="auto"/>
        <w:bottom w:val="none" w:sz="0" w:space="0" w:color="auto"/>
        <w:right w:val="none" w:sz="0" w:space="0" w:color="auto"/>
      </w:divBdr>
    </w:div>
    <w:div w:id="2055352579">
      <w:bodyDiv w:val="1"/>
      <w:marLeft w:val="0"/>
      <w:marRight w:val="0"/>
      <w:marTop w:val="0"/>
      <w:marBottom w:val="0"/>
      <w:divBdr>
        <w:top w:val="none" w:sz="0" w:space="0" w:color="auto"/>
        <w:left w:val="none" w:sz="0" w:space="0" w:color="auto"/>
        <w:bottom w:val="none" w:sz="0" w:space="0" w:color="auto"/>
        <w:right w:val="none" w:sz="0" w:space="0" w:color="auto"/>
      </w:divBdr>
    </w:div>
    <w:div w:id="2107575890">
      <w:bodyDiv w:val="1"/>
      <w:marLeft w:val="0"/>
      <w:marRight w:val="0"/>
      <w:marTop w:val="0"/>
      <w:marBottom w:val="0"/>
      <w:divBdr>
        <w:top w:val="none" w:sz="0" w:space="0" w:color="auto"/>
        <w:left w:val="none" w:sz="0" w:space="0" w:color="auto"/>
        <w:bottom w:val="none" w:sz="0" w:space="0" w:color="auto"/>
        <w:right w:val="none" w:sz="0" w:space="0" w:color="auto"/>
      </w:divBdr>
    </w:div>
    <w:div w:id="2122455003">
      <w:bodyDiv w:val="1"/>
      <w:marLeft w:val="0"/>
      <w:marRight w:val="0"/>
      <w:marTop w:val="0"/>
      <w:marBottom w:val="0"/>
      <w:divBdr>
        <w:top w:val="none" w:sz="0" w:space="0" w:color="auto"/>
        <w:left w:val="none" w:sz="0" w:space="0" w:color="auto"/>
        <w:bottom w:val="none" w:sz="0" w:space="0" w:color="auto"/>
        <w:right w:val="none" w:sz="0" w:space="0" w:color="auto"/>
      </w:divBdr>
    </w:div>
    <w:div w:id="213328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eader" Target="header1.xml"/><Relationship Id="rId10" Type="http://schemas.openxmlformats.org/officeDocument/2006/relationships/footer" Target="footer2.xm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36D2E-2F10-46E4-8598-5E54F58D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17924</Words>
  <Characters>98588</Characters>
  <Application>Microsoft Office Word</Application>
  <DocSecurity>0</DocSecurity>
  <Lines>821</Lines>
  <Paragraphs>232</Paragraphs>
  <ScaleCrop>false</ScaleCrop>
  <HeadingPairs>
    <vt:vector size="2" baseType="variant">
      <vt:variant>
        <vt:lpstr>Título</vt:lpstr>
      </vt:variant>
      <vt:variant>
        <vt:i4>1</vt:i4>
      </vt:variant>
    </vt:vector>
  </HeadingPairs>
  <TitlesOfParts>
    <vt:vector size="1" baseType="lpstr">
      <vt:lpstr>SUBSECTOR AGRÍCOLA</vt:lpstr>
    </vt:vector>
  </TitlesOfParts>
  <Company>Hewlett-Packard Company</Company>
  <LinksUpToDate>false</LinksUpToDate>
  <CharactersWithSpaces>116280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SUBSECTOR AGRÍCOLA</dc:title>
  <dc:subject/>
  <dc:creator>Andrés</dc:creator>
  <cp:keywords/>
  <dc:description/>
  <cp:lastModifiedBy>ASAJA Castilla y León</cp:lastModifiedBy>
  <cp:revision>2</cp:revision>
  <cp:lastPrinted>2022-12-19T08:17:00Z</cp:lastPrinted>
  <dcterms:created xsi:type="dcterms:W3CDTF">2022-12-19T09:18:00Z</dcterms:created>
  <dcterms:modified xsi:type="dcterms:W3CDTF">2022-12-19T09:18:00Z</dcterms:modified>
</cp:coreProperties>
</file>