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AB1A2" w14:textId="77777777" w:rsidR="00847D5E" w:rsidRPr="00C6165A" w:rsidRDefault="00847D5E" w:rsidP="009C44CB">
      <w:pPr>
        <w:rPr>
          <w:b/>
        </w:rPr>
      </w:pPr>
      <w:bookmarkStart w:id="0" w:name="_Hlk27481622"/>
      <w:bookmarkEnd w:id="0"/>
    </w:p>
    <w:p w14:paraId="312D87D7" w14:textId="77777777" w:rsidR="00847D5E" w:rsidRPr="00C6165A" w:rsidRDefault="00847D5E" w:rsidP="009C44CB">
      <w:pPr>
        <w:rPr>
          <w:b/>
        </w:rPr>
      </w:pPr>
    </w:p>
    <w:p w14:paraId="1E88B5B1" w14:textId="77777777" w:rsidR="00847D5E" w:rsidRPr="00C6165A" w:rsidRDefault="00847D5E" w:rsidP="009C44CB">
      <w:pPr>
        <w:rPr>
          <w:b/>
        </w:rPr>
      </w:pPr>
    </w:p>
    <w:p w14:paraId="7DAEFED2" w14:textId="77777777" w:rsidR="00847D5E" w:rsidRPr="00C6165A" w:rsidRDefault="00847D5E" w:rsidP="009C44CB">
      <w:pPr>
        <w:rPr>
          <w:b/>
        </w:rPr>
      </w:pPr>
    </w:p>
    <w:p w14:paraId="3D72AEFB" w14:textId="77777777" w:rsidR="00847D5E" w:rsidRPr="00C6165A" w:rsidRDefault="00847D5E" w:rsidP="009C44CB">
      <w:pPr>
        <w:rPr>
          <w:b/>
        </w:rPr>
      </w:pPr>
    </w:p>
    <w:p w14:paraId="73AFB437" w14:textId="702782C7" w:rsidR="00847D5E" w:rsidRPr="00C6165A" w:rsidRDefault="00847D5E" w:rsidP="009C44CB">
      <w:pPr>
        <w:jc w:val="center"/>
        <w:rPr>
          <w:b/>
        </w:rPr>
      </w:pPr>
    </w:p>
    <w:p w14:paraId="36A18470" w14:textId="50212A67" w:rsidR="00847D5E" w:rsidRPr="00C6165A" w:rsidRDefault="00E75BC5" w:rsidP="00E75BC5">
      <w:pPr>
        <w:jc w:val="center"/>
        <w:rPr>
          <w:b/>
        </w:rPr>
      </w:pPr>
      <w:r>
        <w:rPr>
          <w:noProof/>
        </w:rPr>
        <w:drawing>
          <wp:inline distT="0" distB="0" distL="0" distR="0" wp14:anchorId="536FD102" wp14:editId="5543C8A9">
            <wp:extent cx="4552950" cy="1423600"/>
            <wp:effectExtent l="0" t="0" r="0" b="5715"/>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1193" cy="1435558"/>
                    </a:xfrm>
                    <a:prstGeom prst="rect">
                      <a:avLst/>
                    </a:prstGeom>
                    <a:noFill/>
                    <a:ln>
                      <a:noFill/>
                    </a:ln>
                  </pic:spPr>
                </pic:pic>
              </a:graphicData>
            </a:graphic>
          </wp:inline>
        </w:drawing>
      </w:r>
    </w:p>
    <w:p w14:paraId="6D628A3C" w14:textId="77777777" w:rsidR="00847D5E" w:rsidRPr="00C6165A" w:rsidRDefault="00847D5E" w:rsidP="009C44CB">
      <w:pPr>
        <w:rPr>
          <w:b/>
        </w:rPr>
      </w:pPr>
    </w:p>
    <w:p w14:paraId="785E1FEC" w14:textId="77777777" w:rsidR="00595E58" w:rsidRPr="00C6165A" w:rsidRDefault="00595E58" w:rsidP="009C44CB">
      <w:pPr>
        <w:rPr>
          <w:b/>
        </w:rPr>
      </w:pPr>
    </w:p>
    <w:p w14:paraId="4DFB91F3" w14:textId="77777777" w:rsidR="00847D5E" w:rsidRDefault="00847D5E" w:rsidP="009C44CB">
      <w:pPr>
        <w:rPr>
          <w:b/>
        </w:rPr>
      </w:pPr>
    </w:p>
    <w:p w14:paraId="3E4F6DCD" w14:textId="77777777" w:rsidR="00703831" w:rsidRDefault="00703831" w:rsidP="009C44CB">
      <w:pPr>
        <w:rPr>
          <w:b/>
        </w:rPr>
      </w:pPr>
    </w:p>
    <w:p w14:paraId="598EACAC" w14:textId="77777777" w:rsidR="004A5245" w:rsidRDefault="004A5245" w:rsidP="009C44CB">
      <w:pPr>
        <w:rPr>
          <w:b/>
        </w:rPr>
      </w:pPr>
    </w:p>
    <w:p w14:paraId="2D6113A5" w14:textId="77777777" w:rsidR="004A5245" w:rsidRPr="00C6165A" w:rsidRDefault="004A5245" w:rsidP="009C44CB">
      <w:pPr>
        <w:rPr>
          <w:b/>
        </w:rPr>
      </w:pPr>
    </w:p>
    <w:p w14:paraId="471B02CD" w14:textId="77777777" w:rsidR="00847D5E" w:rsidRPr="00C6165A" w:rsidRDefault="00847D5E" w:rsidP="009C44CB">
      <w:pPr>
        <w:rPr>
          <w:b/>
        </w:rPr>
      </w:pPr>
    </w:p>
    <w:p w14:paraId="7A5A4EC2" w14:textId="77777777" w:rsidR="004A5245" w:rsidRPr="00C6165A" w:rsidRDefault="004A5245" w:rsidP="00E75BC5">
      <w:pPr>
        <w:spacing w:line="276" w:lineRule="auto"/>
        <w:jc w:val="center"/>
        <w:rPr>
          <w:b/>
          <w:sz w:val="48"/>
          <w:szCs w:val="48"/>
        </w:rPr>
      </w:pPr>
    </w:p>
    <w:p w14:paraId="6D182039" w14:textId="77777777" w:rsidR="004A5245" w:rsidRDefault="00847D5E" w:rsidP="004A5245">
      <w:pPr>
        <w:spacing w:line="276" w:lineRule="auto"/>
        <w:jc w:val="center"/>
        <w:rPr>
          <w:b/>
          <w:sz w:val="48"/>
          <w:szCs w:val="48"/>
        </w:rPr>
      </w:pPr>
      <w:r w:rsidRPr="00C6165A">
        <w:rPr>
          <w:b/>
          <w:sz w:val="48"/>
          <w:szCs w:val="48"/>
        </w:rPr>
        <w:t xml:space="preserve"> AGRICULTURA Y GANADERÍA </w:t>
      </w:r>
    </w:p>
    <w:p w14:paraId="235FA525" w14:textId="139598EB" w:rsidR="00847D5E" w:rsidRDefault="00847D5E" w:rsidP="004A5245">
      <w:pPr>
        <w:spacing w:line="276" w:lineRule="auto"/>
        <w:jc w:val="center"/>
        <w:rPr>
          <w:b/>
          <w:sz w:val="48"/>
          <w:szCs w:val="48"/>
        </w:rPr>
      </w:pPr>
      <w:r w:rsidRPr="00C6165A">
        <w:rPr>
          <w:b/>
          <w:sz w:val="48"/>
          <w:szCs w:val="48"/>
        </w:rPr>
        <w:t>DE CASTILLA Y LEÓN</w:t>
      </w:r>
    </w:p>
    <w:p w14:paraId="2AA4E944" w14:textId="77777777" w:rsidR="004A5245" w:rsidRDefault="004A5245" w:rsidP="004A5245">
      <w:pPr>
        <w:spacing w:line="276" w:lineRule="auto"/>
        <w:jc w:val="center"/>
        <w:rPr>
          <w:b/>
          <w:sz w:val="48"/>
          <w:szCs w:val="48"/>
        </w:rPr>
      </w:pPr>
    </w:p>
    <w:p w14:paraId="304212E9" w14:textId="77777777" w:rsidR="004A5245" w:rsidRDefault="004A5245" w:rsidP="004A5245">
      <w:pPr>
        <w:spacing w:line="276" w:lineRule="auto"/>
        <w:jc w:val="center"/>
        <w:rPr>
          <w:b/>
          <w:sz w:val="48"/>
          <w:szCs w:val="48"/>
        </w:rPr>
      </w:pPr>
      <w:r w:rsidRPr="00C6165A">
        <w:rPr>
          <w:b/>
          <w:sz w:val="48"/>
          <w:szCs w:val="48"/>
        </w:rPr>
        <w:t>BALANCE</w:t>
      </w:r>
      <w:r>
        <w:rPr>
          <w:b/>
          <w:sz w:val="48"/>
          <w:szCs w:val="48"/>
        </w:rPr>
        <w:t xml:space="preserve"> 2023</w:t>
      </w:r>
    </w:p>
    <w:p w14:paraId="62FD736D" w14:textId="77777777" w:rsidR="004A5245" w:rsidRPr="00C6165A" w:rsidRDefault="004A5245" w:rsidP="004A5245">
      <w:pPr>
        <w:spacing w:line="276" w:lineRule="auto"/>
        <w:jc w:val="center"/>
        <w:rPr>
          <w:b/>
          <w:sz w:val="48"/>
          <w:szCs w:val="48"/>
        </w:rPr>
      </w:pPr>
    </w:p>
    <w:p w14:paraId="274F4D97" w14:textId="77777777" w:rsidR="00847D5E" w:rsidRPr="00C6165A" w:rsidRDefault="00847D5E" w:rsidP="009C44CB">
      <w:pPr>
        <w:rPr>
          <w:b/>
        </w:rPr>
      </w:pPr>
    </w:p>
    <w:p w14:paraId="286068D5" w14:textId="77777777" w:rsidR="00847D5E" w:rsidRPr="00C6165A" w:rsidRDefault="00847D5E" w:rsidP="009C44CB">
      <w:pPr>
        <w:rPr>
          <w:b/>
        </w:rPr>
      </w:pPr>
    </w:p>
    <w:p w14:paraId="15A27817" w14:textId="77777777" w:rsidR="00847D5E" w:rsidRPr="00C6165A" w:rsidRDefault="00847D5E" w:rsidP="009C44CB">
      <w:pPr>
        <w:rPr>
          <w:b/>
        </w:rPr>
      </w:pPr>
    </w:p>
    <w:p w14:paraId="4EBC9A95" w14:textId="34831D32" w:rsidR="00A35A55" w:rsidRPr="00C6165A" w:rsidRDefault="00A35A55" w:rsidP="009C44CB">
      <w:pPr>
        <w:rPr>
          <w:b/>
        </w:rPr>
      </w:pPr>
    </w:p>
    <w:p w14:paraId="2503E38D" w14:textId="213D70A4" w:rsidR="00A35A55" w:rsidRPr="00C6165A" w:rsidRDefault="00A35A55" w:rsidP="009C44CB">
      <w:pPr>
        <w:rPr>
          <w:b/>
        </w:rPr>
      </w:pPr>
    </w:p>
    <w:p w14:paraId="66ADE35C" w14:textId="77777777" w:rsidR="00847D5E" w:rsidRPr="00C6165A" w:rsidRDefault="00847D5E" w:rsidP="009C44CB">
      <w:pPr>
        <w:rPr>
          <w:b/>
        </w:rPr>
      </w:pPr>
    </w:p>
    <w:p w14:paraId="37F81E3C" w14:textId="77777777" w:rsidR="00847D5E" w:rsidRPr="00C6165A" w:rsidRDefault="00847D5E" w:rsidP="009C44CB">
      <w:pPr>
        <w:rPr>
          <w:b/>
        </w:rPr>
      </w:pPr>
    </w:p>
    <w:p w14:paraId="44ACA728" w14:textId="251B4832" w:rsidR="00847D5E" w:rsidRPr="00C6165A" w:rsidRDefault="00847D5E" w:rsidP="009C44CB">
      <w:pPr>
        <w:jc w:val="right"/>
        <w:rPr>
          <w:b/>
        </w:rPr>
      </w:pPr>
      <w:r w:rsidRPr="00C6165A">
        <w:rPr>
          <w:b/>
        </w:rPr>
        <w:t>Valladolid,</w:t>
      </w:r>
      <w:r w:rsidR="006B6CD6" w:rsidRPr="00C6165A">
        <w:rPr>
          <w:b/>
        </w:rPr>
        <w:t xml:space="preserve"> </w:t>
      </w:r>
      <w:r w:rsidR="004A5245">
        <w:rPr>
          <w:b/>
        </w:rPr>
        <w:t xml:space="preserve">9 </w:t>
      </w:r>
      <w:r w:rsidR="0031787E">
        <w:rPr>
          <w:b/>
        </w:rPr>
        <w:t>enero 2024</w:t>
      </w:r>
    </w:p>
    <w:p w14:paraId="2E958EB0" w14:textId="77777777" w:rsidR="00847D5E" w:rsidRPr="00C6165A" w:rsidRDefault="00847D5E" w:rsidP="009C44CB">
      <w:pPr>
        <w:rPr>
          <w:b/>
        </w:rPr>
      </w:pPr>
    </w:p>
    <w:p w14:paraId="3A8FB1A8" w14:textId="77777777" w:rsidR="00847D5E" w:rsidRPr="00C6165A" w:rsidRDefault="00847D5E" w:rsidP="009C44CB">
      <w:pPr>
        <w:jc w:val="right"/>
        <w:rPr>
          <w:b/>
        </w:rPr>
      </w:pPr>
      <w:r w:rsidRPr="00C6165A">
        <w:rPr>
          <w:b/>
          <w:bCs/>
        </w:rPr>
        <w:t>Servicios Técnicos de ASAJA de Castilla y León</w:t>
      </w:r>
    </w:p>
    <w:p w14:paraId="359F4AF4" w14:textId="77777777" w:rsidR="00847D5E" w:rsidRPr="00C6165A" w:rsidRDefault="00847D5E" w:rsidP="009C44CB">
      <w:pPr>
        <w:rPr>
          <w:b/>
        </w:rPr>
      </w:pPr>
    </w:p>
    <w:p w14:paraId="3B0B5313" w14:textId="77777777" w:rsidR="00847D5E" w:rsidRPr="00C6165A" w:rsidRDefault="00847D5E" w:rsidP="009C44CB">
      <w:pPr>
        <w:rPr>
          <w:b/>
        </w:rPr>
      </w:pPr>
    </w:p>
    <w:p w14:paraId="3C7ED0FA" w14:textId="77777777" w:rsidR="00847D5E" w:rsidRPr="00C6165A" w:rsidRDefault="00847D5E" w:rsidP="009C44CB">
      <w:pPr>
        <w:rPr>
          <w:b/>
        </w:rPr>
      </w:pPr>
    </w:p>
    <w:p w14:paraId="6823CED3" w14:textId="77777777" w:rsidR="00847D5E" w:rsidRPr="00C6165A" w:rsidRDefault="00847D5E" w:rsidP="009C44CB">
      <w:pPr>
        <w:jc w:val="center"/>
        <w:rPr>
          <w:b/>
        </w:rPr>
      </w:pPr>
    </w:p>
    <w:p w14:paraId="40C263D9" w14:textId="77777777" w:rsidR="000F009D" w:rsidRPr="00C6165A" w:rsidRDefault="000F009D">
      <w:pPr>
        <w:sectPr w:rsidR="000F009D" w:rsidRPr="00C6165A" w:rsidSect="00DA34CC">
          <w:footerReference w:type="even" r:id="rId9"/>
          <w:footerReference w:type="default" r:id="rId10"/>
          <w:pgSz w:w="11906" w:h="16838"/>
          <w:pgMar w:top="1417" w:right="1701" w:bottom="1417" w:left="1701" w:header="708" w:footer="708" w:gutter="0"/>
          <w:pgNumType w:start="1"/>
          <w:cols w:space="708"/>
          <w:docGrid w:linePitch="360"/>
        </w:sectPr>
      </w:pPr>
    </w:p>
    <w:p w14:paraId="7BD4E90C" w14:textId="77777777" w:rsidR="00747EF0" w:rsidRDefault="00747EF0" w:rsidP="00AA49C3">
      <w:pPr>
        <w:jc w:val="center"/>
        <w:rPr>
          <w:b/>
        </w:rPr>
      </w:pPr>
      <w:bookmarkStart w:id="1" w:name="cultivos_herbaceos"/>
      <w:bookmarkEnd w:id="1"/>
    </w:p>
    <w:p w14:paraId="41401E83" w14:textId="77777777" w:rsidR="001B3ACF" w:rsidRDefault="001B3ACF" w:rsidP="00AA49C3">
      <w:pPr>
        <w:jc w:val="center"/>
        <w:rPr>
          <w:b/>
        </w:rPr>
      </w:pPr>
    </w:p>
    <w:p w14:paraId="3A001DC6" w14:textId="77777777" w:rsidR="001B3ACF" w:rsidRDefault="001B3ACF" w:rsidP="00AA49C3">
      <w:pPr>
        <w:jc w:val="center"/>
        <w:rPr>
          <w:b/>
        </w:rPr>
      </w:pPr>
    </w:p>
    <w:p w14:paraId="0B33B4BE" w14:textId="77777777" w:rsidR="001B3ACF" w:rsidRDefault="001B3ACF" w:rsidP="00AA49C3">
      <w:pPr>
        <w:jc w:val="center"/>
        <w:rPr>
          <w:b/>
        </w:rPr>
      </w:pPr>
    </w:p>
    <w:p w14:paraId="5A5B41B0" w14:textId="77777777" w:rsidR="001B3ACF" w:rsidRDefault="001B3ACF" w:rsidP="00AA49C3">
      <w:pPr>
        <w:jc w:val="center"/>
        <w:rPr>
          <w:b/>
        </w:rPr>
      </w:pPr>
    </w:p>
    <w:p w14:paraId="1A4424D0" w14:textId="77777777" w:rsidR="001B3ACF" w:rsidRDefault="001B3ACF" w:rsidP="00AA49C3">
      <w:pPr>
        <w:jc w:val="center"/>
        <w:rPr>
          <w:b/>
        </w:rPr>
      </w:pPr>
    </w:p>
    <w:p w14:paraId="49320107" w14:textId="77777777" w:rsidR="001B3ACF" w:rsidRDefault="001B3ACF" w:rsidP="00AA49C3">
      <w:pPr>
        <w:jc w:val="center"/>
        <w:rPr>
          <w:b/>
        </w:rPr>
      </w:pPr>
    </w:p>
    <w:p w14:paraId="1F4C2F4C" w14:textId="77777777" w:rsidR="001B3ACF" w:rsidRDefault="001B3ACF" w:rsidP="00AA49C3">
      <w:pPr>
        <w:jc w:val="center"/>
        <w:rPr>
          <w:b/>
        </w:rPr>
      </w:pPr>
    </w:p>
    <w:p w14:paraId="695F586B" w14:textId="77777777" w:rsidR="001B3ACF" w:rsidRDefault="001B3ACF" w:rsidP="00AA49C3">
      <w:pPr>
        <w:jc w:val="center"/>
        <w:rPr>
          <w:b/>
        </w:rPr>
      </w:pPr>
    </w:p>
    <w:p w14:paraId="0B9DC963" w14:textId="77777777" w:rsidR="001B3ACF" w:rsidRDefault="001B3ACF" w:rsidP="00AA49C3">
      <w:pPr>
        <w:jc w:val="center"/>
        <w:rPr>
          <w:b/>
        </w:rPr>
      </w:pPr>
    </w:p>
    <w:p w14:paraId="2090B622" w14:textId="77777777" w:rsidR="001B3ACF" w:rsidRDefault="001B3ACF" w:rsidP="00AA49C3">
      <w:pPr>
        <w:jc w:val="center"/>
        <w:rPr>
          <w:b/>
        </w:rPr>
      </w:pPr>
    </w:p>
    <w:p w14:paraId="4C093EE7" w14:textId="77777777" w:rsidR="001B3ACF" w:rsidRDefault="001B3ACF" w:rsidP="00AA49C3">
      <w:pPr>
        <w:jc w:val="center"/>
        <w:rPr>
          <w:b/>
        </w:rPr>
      </w:pPr>
    </w:p>
    <w:p w14:paraId="51F9AC0A" w14:textId="77777777" w:rsidR="001B3ACF" w:rsidRDefault="001B3ACF" w:rsidP="00AA49C3">
      <w:pPr>
        <w:jc w:val="center"/>
        <w:rPr>
          <w:b/>
        </w:rPr>
      </w:pPr>
    </w:p>
    <w:p w14:paraId="185DF44D" w14:textId="77777777" w:rsidR="001B3ACF" w:rsidRDefault="001B3ACF" w:rsidP="00AA49C3">
      <w:pPr>
        <w:jc w:val="center"/>
        <w:rPr>
          <w:b/>
        </w:rPr>
      </w:pPr>
    </w:p>
    <w:p w14:paraId="17A641A8" w14:textId="77777777" w:rsidR="001B3ACF" w:rsidRDefault="001B3ACF" w:rsidP="00AA49C3">
      <w:pPr>
        <w:jc w:val="center"/>
        <w:rPr>
          <w:b/>
        </w:rPr>
      </w:pPr>
    </w:p>
    <w:p w14:paraId="6996C8A2" w14:textId="77777777" w:rsidR="001B3ACF" w:rsidRDefault="001B3ACF" w:rsidP="00AA49C3">
      <w:pPr>
        <w:jc w:val="center"/>
        <w:rPr>
          <w:b/>
        </w:rPr>
      </w:pPr>
    </w:p>
    <w:p w14:paraId="6DADE61B" w14:textId="77777777" w:rsidR="001B3ACF" w:rsidRDefault="001B3ACF" w:rsidP="00AA49C3">
      <w:pPr>
        <w:jc w:val="center"/>
        <w:rPr>
          <w:b/>
        </w:rPr>
      </w:pPr>
    </w:p>
    <w:p w14:paraId="0F8417B0" w14:textId="77777777" w:rsidR="001B3ACF" w:rsidRDefault="001B3ACF" w:rsidP="00AA49C3">
      <w:pPr>
        <w:jc w:val="center"/>
        <w:rPr>
          <w:b/>
        </w:rPr>
      </w:pPr>
    </w:p>
    <w:p w14:paraId="246F6C0C" w14:textId="77777777" w:rsidR="001B3ACF" w:rsidRDefault="001B3ACF" w:rsidP="00AA49C3">
      <w:pPr>
        <w:jc w:val="center"/>
        <w:rPr>
          <w:b/>
        </w:rPr>
      </w:pPr>
    </w:p>
    <w:p w14:paraId="0E0632EB" w14:textId="77777777" w:rsidR="001B3ACF" w:rsidRDefault="001B3ACF" w:rsidP="00AA49C3">
      <w:pPr>
        <w:jc w:val="center"/>
        <w:rPr>
          <w:b/>
        </w:rPr>
      </w:pPr>
    </w:p>
    <w:p w14:paraId="7D7FEA56" w14:textId="77777777" w:rsidR="001B3ACF" w:rsidRDefault="001B3ACF" w:rsidP="00AA49C3">
      <w:pPr>
        <w:jc w:val="center"/>
        <w:rPr>
          <w:b/>
        </w:rPr>
      </w:pPr>
    </w:p>
    <w:p w14:paraId="57E15555" w14:textId="77777777" w:rsidR="001B3ACF" w:rsidRDefault="001B3ACF" w:rsidP="00AA49C3">
      <w:pPr>
        <w:jc w:val="center"/>
        <w:rPr>
          <w:b/>
        </w:rPr>
      </w:pPr>
    </w:p>
    <w:p w14:paraId="09641CFD" w14:textId="77777777" w:rsidR="001B3ACF" w:rsidRDefault="001B3ACF" w:rsidP="00AA49C3">
      <w:pPr>
        <w:jc w:val="center"/>
        <w:rPr>
          <w:b/>
        </w:rPr>
      </w:pPr>
    </w:p>
    <w:p w14:paraId="2DD8D834" w14:textId="77777777" w:rsidR="001B3ACF" w:rsidRDefault="001B3ACF" w:rsidP="00AA49C3">
      <w:pPr>
        <w:jc w:val="center"/>
        <w:rPr>
          <w:b/>
        </w:rPr>
      </w:pPr>
    </w:p>
    <w:p w14:paraId="40D10292" w14:textId="77777777" w:rsidR="001B3ACF" w:rsidRDefault="001B3ACF" w:rsidP="00AA49C3">
      <w:pPr>
        <w:jc w:val="center"/>
        <w:rPr>
          <w:b/>
        </w:rPr>
      </w:pPr>
    </w:p>
    <w:p w14:paraId="4FC0249E" w14:textId="77777777" w:rsidR="001B3ACF" w:rsidRDefault="001B3ACF" w:rsidP="00AA49C3">
      <w:pPr>
        <w:jc w:val="center"/>
        <w:rPr>
          <w:b/>
        </w:rPr>
      </w:pPr>
    </w:p>
    <w:p w14:paraId="360399C9" w14:textId="77777777" w:rsidR="001B3ACF" w:rsidRDefault="001B3ACF" w:rsidP="00AA49C3">
      <w:pPr>
        <w:jc w:val="center"/>
        <w:rPr>
          <w:b/>
        </w:rPr>
      </w:pPr>
    </w:p>
    <w:p w14:paraId="0EE12AF2" w14:textId="77777777" w:rsidR="001B3ACF" w:rsidRDefault="001B3ACF" w:rsidP="00AA49C3">
      <w:pPr>
        <w:jc w:val="center"/>
        <w:rPr>
          <w:b/>
        </w:rPr>
      </w:pPr>
    </w:p>
    <w:p w14:paraId="044121A3" w14:textId="77777777" w:rsidR="001B3ACF" w:rsidRDefault="001B3ACF" w:rsidP="00AA49C3">
      <w:pPr>
        <w:jc w:val="center"/>
        <w:rPr>
          <w:b/>
        </w:rPr>
      </w:pPr>
    </w:p>
    <w:p w14:paraId="07764EDF" w14:textId="77777777" w:rsidR="001B3ACF" w:rsidRDefault="001B3ACF" w:rsidP="00AA49C3">
      <w:pPr>
        <w:jc w:val="center"/>
        <w:rPr>
          <w:b/>
        </w:rPr>
      </w:pPr>
    </w:p>
    <w:p w14:paraId="3882F472" w14:textId="77777777" w:rsidR="001B3ACF" w:rsidRDefault="001B3ACF" w:rsidP="00AA49C3">
      <w:pPr>
        <w:jc w:val="center"/>
        <w:rPr>
          <w:b/>
        </w:rPr>
      </w:pPr>
    </w:p>
    <w:p w14:paraId="7E2404C4" w14:textId="77777777" w:rsidR="001B3ACF" w:rsidRDefault="001B3ACF" w:rsidP="00AA49C3">
      <w:pPr>
        <w:jc w:val="center"/>
        <w:rPr>
          <w:b/>
        </w:rPr>
      </w:pPr>
    </w:p>
    <w:p w14:paraId="60F2CD3C" w14:textId="77777777" w:rsidR="001B3ACF" w:rsidRDefault="001B3ACF" w:rsidP="00AA49C3">
      <w:pPr>
        <w:jc w:val="center"/>
        <w:rPr>
          <w:b/>
        </w:rPr>
      </w:pPr>
    </w:p>
    <w:p w14:paraId="0387288E" w14:textId="77777777" w:rsidR="001B3ACF" w:rsidRDefault="001B3ACF" w:rsidP="00AA49C3">
      <w:pPr>
        <w:jc w:val="center"/>
        <w:rPr>
          <w:b/>
        </w:rPr>
      </w:pPr>
    </w:p>
    <w:p w14:paraId="65BA80B8" w14:textId="77777777" w:rsidR="001B3ACF" w:rsidRDefault="001B3ACF" w:rsidP="00AA49C3">
      <w:pPr>
        <w:jc w:val="center"/>
        <w:rPr>
          <w:b/>
        </w:rPr>
      </w:pPr>
    </w:p>
    <w:p w14:paraId="0995FE32" w14:textId="77777777" w:rsidR="001B3ACF" w:rsidRDefault="001B3ACF" w:rsidP="00AA49C3">
      <w:pPr>
        <w:jc w:val="center"/>
        <w:rPr>
          <w:b/>
        </w:rPr>
      </w:pPr>
    </w:p>
    <w:p w14:paraId="38BD8136" w14:textId="77777777" w:rsidR="001B3ACF" w:rsidRDefault="001B3ACF" w:rsidP="00AA49C3">
      <w:pPr>
        <w:jc w:val="center"/>
        <w:rPr>
          <w:b/>
        </w:rPr>
      </w:pPr>
    </w:p>
    <w:p w14:paraId="42B7E278" w14:textId="77777777" w:rsidR="001B3ACF" w:rsidRDefault="001B3ACF" w:rsidP="00AA49C3">
      <w:pPr>
        <w:jc w:val="center"/>
        <w:rPr>
          <w:b/>
        </w:rPr>
      </w:pPr>
    </w:p>
    <w:p w14:paraId="48DEE161" w14:textId="77777777" w:rsidR="001B3ACF" w:rsidRDefault="001B3ACF" w:rsidP="00AA49C3">
      <w:pPr>
        <w:jc w:val="center"/>
        <w:rPr>
          <w:b/>
        </w:rPr>
      </w:pPr>
    </w:p>
    <w:p w14:paraId="2640B768" w14:textId="77777777" w:rsidR="001B3ACF" w:rsidRDefault="001B3ACF" w:rsidP="00AA49C3">
      <w:pPr>
        <w:jc w:val="center"/>
        <w:rPr>
          <w:b/>
        </w:rPr>
      </w:pPr>
    </w:p>
    <w:p w14:paraId="022ED1DB" w14:textId="77777777" w:rsidR="001B3ACF" w:rsidRDefault="001B3ACF" w:rsidP="00AA49C3">
      <w:pPr>
        <w:jc w:val="center"/>
        <w:rPr>
          <w:b/>
        </w:rPr>
      </w:pPr>
    </w:p>
    <w:p w14:paraId="73AC4633" w14:textId="77777777" w:rsidR="001B3ACF" w:rsidRDefault="001B3ACF" w:rsidP="00AA49C3">
      <w:pPr>
        <w:jc w:val="center"/>
        <w:rPr>
          <w:b/>
        </w:rPr>
      </w:pPr>
    </w:p>
    <w:p w14:paraId="3A28AD57" w14:textId="77777777" w:rsidR="001B3ACF" w:rsidRDefault="001B3ACF" w:rsidP="00AA49C3">
      <w:pPr>
        <w:jc w:val="center"/>
        <w:rPr>
          <w:b/>
        </w:rPr>
      </w:pPr>
    </w:p>
    <w:p w14:paraId="0D4DF0B4" w14:textId="77777777" w:rsidR="001B3ACF" w:rsidRDefault="001B3ACF" w:rsidP="00AA49C3">
      <w:pPr>
        <w:jc w:val="center"/>
        <w:rPr>
          <w:b/>
        </w:rPr>
      </w:pPr>
    </w:p>
    <w:p w14:paraId="6BE23B64" w14:textId="77777777" w:rsidR="001B3ACF" w:rsidRDefault="001B3ACF" w:rsidP="00AA49C3">
      <w:pPr>
        <w:jc w:val="center"/>
        <w:rPr>
          <w:b/>
        </w:rPr>
      </w:pPr>
    </w:p>
    <w:p w14:paraId="58E6600C" w14:textId="77777777" w:rsidR="001B3ACF" w:rsidRDefault="001B3ACF" w:rsidP="00AA49C3">
      <w:pPr>
        <w:jc w:val="center"/>
        <w:rPr>
          <w:b/>
        </w:rPr>
      </w:pPr>
    </w:p>
    <w:p w14:paraId="1D7E87B2" w14:textId="77777777" w:rsidR="001B3ACF" w:rsidRDefault="001B3ACF" w:rsidP="00AA49C3">
      <w:pPr>
        <w:jc w:val="center"/>
        <w:rPr>
          <w:b/>
        </w:rPr>
      </w:pPr>
    </w:p>
    <w:p w14:paraId="1AFF3D20" w14:textId="77777777" w:rsidR="001B3ACF" w:rsidRDefault="001B3ACF" w:rsidP="00AA49C3">
      <w:pPr>
        <w:jc w:val="center"/>
        <w:rPr>
          <w:b/>
        </w:rPr>
      </w:pPr>
    </w:p>
    <w:p w14:paraId="1B28AFAB" w14:textId="77777777" w:rsidR="001B3ACF" w:rsidRPr="00EE13AF" w:rsidRDefault="001B3ACF" w:rsidP="00AA49C3">
      <w:pPr>
        <w:jc w:val="center"/>
        <w:rPr>
          <w:b/>
        </w:rPr>
      </w:pPr>
    </w:p>
    <w:p w14:paraId="1EC526DB" w14:textId="0CDF402C" w:rsidR="002A07E2" w:rsidRPr="00EE13AF" w:rsidRDefault="002A07E2" w:rsidP="00AA49C3">
      <w:pPr>
        <w:jc w:val="center"/>
        <w:rPr>
          <w:b/>
        </w:rPr>
      </w:pPr>
      <w:r w:rsidRPr="00EE13AF">
        <w:rPr>
          <w:b/>
        </w:rPr>
        <w:lastRenderedPageBreak/>
        <w:t>INTRODUCCIÓN</w:t>
      </w:r>
    </w:p>
    <w:p w14:paraId="506CE10E" w14:textId="77777777" w:rsidR="002A07E2" w:rsidRDefault="002A07E2" w:rsidP="002A07E2"/>
    <w:p w14:paraId="2594293B" w14:textId="77777777" w:rsidR="00703831" w:rsidRPr="00EE13AF" w:rsidRDefault="00703831" w:rsidP="002A07E2"/>
    <w:p w14:paraId="2D695FB7" w14:textId="0D45AB9B" w:rsidR="0018480D" w:rsidRPr="00130036" w:rsidRDefault="0018480D" w:rsidP="000E0970">
      <w:pPr>
        <w:rPr>
          <w:sz w:val="22"/>
          <w:szCs w:val="22"/>
        </w:rPr>
      </w:pPr>
      <w:r w:rsidRPr="00130036">
        <w:rPr>
          <w:sz w:val="22"/>
          <w:szCs w:val="22"/>
        </w:rPr>
        <w:t>2023 ha sido un año catastrófico para el campo de Castilla y León.</w:t>
      </w:r>
    </w:p>
    <w:p w14:paraId="3DBCBCA8" w14:textId="77777777" w:rsidR="0018480D" w:rsidRPr="00130036" w:rsidRDefault="0018480D" w:rsidP="000E0970">
      <w:pPr>
        <w:rPr>
          <w:sz w:val="22"/>
          <w:szCs w:val="22"/>
        </w:rPr>
      </w:pPr>
    </w:p>
    <w:p w14:paraId="62D95390" w14:textId="4347C024" w:rsidR="00EE13AF" w:rsidRDefault="009539CF" w:rsidP="00703831">
      <w:pPr>
        <w:rPr>
          <w:color w:val="000000"/>
          <w:sz w:val="22"/>
          <w:szCs w:val="22"/>
          <w:lang w:eastAsia="es-ES"/>
        </w:rPr>
      </w:pPr>
      <w:r w:rsidRPr="00130036">
        <w:rPr>
          <w:sz w:val="22"/>
          <w:szCs w:val="22"/>
        </w:rPr>
        <w:t>Desde el punto de vista productivo, el año 202</w:t>
      </w:r>
      <w:r w:rsidR="006E0CD8" w:rsidRPr="00130036">
        <w:rPr>
          <w:sz w:val="22"/>
          <w:szCs w:val="22"/>
        </w:rPr>
        <w:t>3</w:t>
      </w:r>
      <w:r w:rsidRPr="00130036">
        <w:rPr>
          <w:sz w:val="22"/>
          <w:szCs w:val="22"/>
        </w:rPr>
        <w:t xml:space="preserve"> ha sido desfavorable climatológicamente hablando, lo que, sumado a los ajustes que se han visto obligados a hacer </w:t>
      </w:r>
      <w:r w:rsidR="00520F40" w:rsidRPr="00130036">
        <w:rPr>
          <w:sz w:val="22"/>
          <w:szCs w:val="22"/>
        </w:rPr>
        <w:t xml:space="preserve">los </w:t>
      </w:r>
      <w:r w:rsidRPr="00130036">
        <w:rPr>
          <w:sz w:val="22"/>
          <w:szCs w:val="22"/>
        </w:rPr>
        <w:t>profesionales del campo para reducir unos gastos disparados desde la guerra en Ucrania, explica que haya habido reducciones</w:t>
      </w:r>
      <w:r w:rsidR="00EE13AF" w:rsidRPr="00130036">
        <w:rPr>
          <w:sz w:val="22"/>
          <w:szCs w:val="22"/>
        </w:rPr>
        <w:t xml:space="preserve"> notables</w:t>
      </w:r>
      <w:r w:rsidRPr="00130036">
        <w:rPr>
          <w:sz w:val="22"/>
          <w:szCs w:val="22"/>
        </w:rPr>
        <w:t xml:space="preserve"> tanto en las producciones agrícolas como en las ganaderas. </w:t>
      </w:r>
      <w:r w:rsidR="00703831">
        <w:rPr>
          <w:sz w:val="22"/>
          <w:szCs w:val="22"/>
        </w:rPr>
        <w:t>Este balance es aún más</w:t>
      </w:r>
      <w:r w:rsidR="00EE13AF" w:rsidRPr="00130036">
        <w:rPr>
          <w:color w:val="000000"/>
          <w:sz w:val="22"/>
          <w:szCs w:val="22"/>
          <w:lang w:eastAsia="es-ES"/>
        </w:rPr>
        <w:t xml:space="preserve"> grave si tenemos en cuenta que se trata del tercer año en números rojos para el campo de Castilla y León, </w:t>
      </w:r>
      <w:r w:rsidR="00703831">
        <w:rPr>
          <w:color w:val="000000"/>
          <w:sz w:val="22"/>
          <w:szCs w:val="22"/>
          <w:lang w:eastAsia="es-ES"/>
        </w:rPr>
        <w:t>en los</w:t>
      </w:r>
      <w:r w:rsidR="00EE13AF" w:rsidRPr="00130036">
        <w:rPr>
          <w:color w:val="000000"/>
          <w:sz w:val="22"/>
          <w:szCs w:val="22"/>
          <w:lang w:eastAsia="es-ES"/>
        </w:rPr>
        <w:t xml:space="preserve"> que el pésimo comportamiento del clima y el incremento de los costes de producción ha</w:t>
      </w:r>
      <w:r w:rsidR="00703831">
        <w:rPr>
          <w:color w:val="000000"/>
          <w:sz w:val="22"/>
          <w:szCs w:val="22"/>
          <w:lang w:eastAsia="es-ES"/>
        </w:rPr>
        <w:t>n</w:t>
      </w:r>
      <w:r w:rsidR="00EE13AF" w:rsidRPr="00130036">
        <w:rPr>
          <w:color w:val="000000"/>
          <w:sz w:val="22"/>
          <w:szCs w:val="22"/>
          <w:lang w:eastAsia="es-ES"/>
        </w:rPr>
        <w:t xml:space="preserve"> complicado enormemente la rentabilidad de las explotaciones.</w:t>
      </w:r>
    </w:p>
    <w:p w14:paraId="47852121" w14:textId="77777777" w:rsidR="00703831" w:rsidRPr="00130036" w:rsidRDefault="00703831" w:rsidP="00703831">
      <w:pPr>
        <w:rPr>
          <w:color w:val="000000"/>
          <w:sz w:val="22"/>
          <w:szCs w:val="22"/>
          <w:lang w:eastAsia="es-ES"/>
        </w:rPr>
      </w:pPr>
    </w:p>
    <w:p w14:paraId="72BDD428" w14:textId="61A1426A" w:rsidR="009539CF" w:rsidRPr="00130036" w:rsidRDefault="009539CF" w:rsidP="00520F40">
      <w:pPr>
        <w:rPr>
          <w:sz w:val="22"/>
          <w:szCs w:val="22"/>
        </w:rPr>
      </w:pPr>
      <w:r w:rsidRPr="00130036">
        <w:rPr>
          <w:sz w:val="22"/>
          <w:szCs w:val="22"/>
        </w:rPr>
        <w:t xml:space="preserve">En agricultura, las producciones han sido en general pobres, y las llamativas cotizaciones alcanzadas </w:t>
      </w:r>
      <w:r w:rsidR="00EE13AF" w:rsidRPr="00130036">
        <w:rPr>
          <w:sz w:val="22"/>
          <w:szCs w:val="22"/>
        </w:rPr>
        <w:t>solo en</w:t>
      </w:r>
      <w:r w:rsidRPr="00130036">
        <w:rPr>
          <w:sz w:val="22"/>
          <w:szCs w:val="22"/>
        </w:rPr>
        <w:t xml:space="preserve"> algunos momentos apenas han llegado a los bolsillos de los agricultores.</w:t>
      </w:r>
      <w:r w:rsidR="00520F40" w:rsidRPr="00130036">
        <w:rPr>
          <w:sz w:val="22"/>
          <w:szCs w:val="22"/>
        </w:rPr>
        <w:t xml:space="preserve"> El sector más golpeado ha sido el de los cereales, con un importante descenso en valor, tanto por la sequía como por los precios, descendentes</w:t>
      </w:r>
      <w:r w:rsidR="00EE13AF" w:rsidRPr="00130036">
        <w:rPr>
          <w:sz w:val="22"/>
          <w:szCs w:val="22"/>
        </w:rPr>
        <w:t xml:space="preserve"> desde hace meses</w:t>
      </w:r>
      <w:r w:rsidR="00520F40" w:rsidRPr="00130036">
        <w:rPr>
          <w:sz w:val="22"/>
          <w:szCs w:val="22"/>
        </w:rPr>
        <w:t>, además de por los elevados costes.</w:t>
      </w:r>
      <w:r w:rsidR="00EE13AF" w:rsidRPr="00130036">
        <w:rPr>
          <w:sz w:val="22"/>
          <w:szCs w:val="22"/>
        </w:rPr>
        <w:t xml:space="preserve"> Mejor comportamiento ha tenido las producciones más ligadas al regadío, pero aún así en algunas zonas no se pudo regar con normalidad por la falta de agua en primavera.</w:t>
      </w:r>
    </w:p>
    <w:p w14:paraId="03847BF3" w14:textId="77777777" w:rsidR="00747EF0" w:rsidRPr="00130036" w:rsidRDefault="00747EF0" w:rsidP="00520F40">
      <w:pPr>
        <w:rPr>
          <w:sz w:val="22"/>
          <w:szCs w:val="22"/>
        </w:rPr>
      </w:pPr>
    </w:p>
    <w:p w14:paraId="0503AC94" w14:textId="77777777" w:rsidR="0018480D" w:rsidRPr="00130036" w:rsidRDefault="00EE13AF" w:rsidP="00520F40">
      <w:pPr>
        <w:rPr>
          <w:sz w:val="22"/>
          <w:szCs w:val="22"/>
        </w:rPr>
      </w:pPr>
      <w:r w:rsidRPr="00130036">
        <w:rPr>
          <w:sz w:val="22"/>
          <w:szCs w:val="22"/>
        </w:rPr>
        <w:t>La</w:t>
      </w:r>
      <w:r w:rsidR="00520F40" w:rsidRPr="00130036">
        <w:rPr>
          <w:sz w:val="22"/>
          <w:szCs w:val="22"/>
        </w:rPr>
        <w:t xml:space="preserve"> </w:t>
      </w:r>
      <w:r w:rsidR="0018480D" w:rsidRPr="00130036">
        <w:rPr>
          <w:sz w:val="22"/>
          <w:szCs w:val="22"/>
        </w:rPr>
        <w:t>ganadería no ha tenido tampoco buen año, empezando por la falta de pastos para la ganadería extensiva o el elevado precio de piensos o la paga que alcanzó cotizaciones nunca vistas, y continuando con aspectos sanitarios a los que se suman enfermedades desconocidas como la Enfermedad Hemorrágica Epizoótica.</w:t>
      </w:r>
    </w:p>
    <w:p w14:paraId="1D7BEB68" w14:textId="77777777" w:rsidR="0018480D" w:rsidRPr="00130036" w:rsidRDefault="0018480D" w:rsidP="00520F40">
      <w:pPr>
        <w:rPr>
          <w:sz w:val="22"/>
          <w:szCs w:val="22"/>
        </w:rPr>
      </w:pPr>
    </w:p>
    <w:p w14:paraId="590AFF61" w14:textId="224B2F63" w:rsidR="00520F40" w:rsidRPr="00130036" w:rsidRDefault="0018480D" w:rsidP="00520F40">
      <w:pPr>
        <w:rPr>
          <w:sz w:val="22"/>
          <w:szCs w:val="22"/>
        </w:rPr>
      </w:pPr>
      <w:r w:rsidRPr="00130036">
        <w:rPr>
          <w:sz w:val="22"/>
          <w:szCs w:val="22"/>
        </w:rPr>
        <w:t xml:space="preserve">La </w:t>
      </w:r>
      <w:r w:rsidR="00520F40" w:rsidRPr="00130036">
        <w:rPr>
          <w:sz w:val="22"/>
          <w:szCs w:val="22"/>
        </w:rPr>
        <w:t>producción ganadera</w:t>
      </w:r>
      <w:r w:rsidR="00EE13AF" w:rsidRPr="00130036">
        <w:rPr>
          <w:sz w:val="22"/>
          <w:szCs w:val="22"/>
        </w:rPr>
        <w:t xml:space="preserve"> mitiga en parte el retroceso del cereal</w:t>
      </w:r>
      <w:r w:rsidR="00520F40" w:rsidRPr="00130036">
        <w:rPr>
          <w:sz w:val="22"/>
          <w:szCs w:val="22"/>
        </w:rPr>
        <w:t xml:space="preserve">. Aun así, el alza se debe a un sostenimiento de los precios de venta, no </w:t>
      </w:r>
      <w:r w:rsidR="00EE13AF" w:rsidRPr="00130036">
        <w:rPr>
          <w:sz w:val="22"/>
          <w:szCs w:val="22"/>
        </w:rPr>
        <w:t>a los volúmenes producidos</w:t>
      </w:r>
      <w:r w:rsidR="00520F40" w:rsidRPr="00130036">
        <w:rPr>
          <w:sz w:val="22"/>
          <w:szCs w:val="22"/>
        </w:rPr>
        <w:t xml:space="preserve">, que </w:t>
      </w:r>
      <w:r w:rsidR="00EE13AF" w:rsidRPr="00130036">
        <w:rPr>
          <w:sz w:val="22"/>
          <w:szCs w:val="22"/>
        </w:rPr>
        <w:t>son similares</w:t>
      </w:r>
      <w:r w:rsidR="00520F40" w:rsidRPr="00130036">
        <w:rPr>
          <w:sz w:val="22"/>
          <w:szCs w:val="22"/>
        </w:rPr>
        <w:t xml:space="preserve"> o incluso menor</w:t>
      </w:r>
      <w:r w:rsidR="00EE13AF" w:rsidRPr="00130036">
        <w:rPr>
          <w:sz w:val="22"/>
          <w:szCs w:val="22"/>
        </w:rPr>
        <w:t>es</w:t>
      </w:r>
      <w:r w:rsidR="00520F40" w:rsidRPr="00130036">
        <w:rPr>
          <w:sz w:val="22"/>
          <w:szCs w:val="22"/>
        </w:rPr>
        <w:t xml:space="preserve"> en varios subsectores, en los que hace mella el cierre de explotaciones o la limitación de la producción para reducir los costes de producción. Los sectores</w:t>
      </w:r>
      <w:r w:rsidR="00683884" w:rsidRPr="00130036">
        <w:rPr>
          <w:sz w:val="22"/>
          <w:szCs w:val="22"/>
        </w:rPr>
        <w:t xml:space="preserve"> más resi</w:t>
      </w:r>
      <w:r w:rsidR="00BD2E65" w:rsidRPr="00130036">
        <w:rPr>
          <w:sz w:val="22"/>
          <w:szCs w:val="22"/>
        </w:rPr>
        <w:t>stentes</w:t>
      </w:r>
      <w:r w:rsidR="00683884" w:rsidRPr="00130036">
        <w:rPr>
          <w:sz w:val="22"/>
          <w:szCs w:val="22"/>
        </w:rPr>
        <w:t xml:space="preserve"> siguen siendo los intensivos, porcino, avícola y huevos, </w:t>
      </w:r>
      <w:r w:rsidR="00BD2E65" w:rsidRPr="00130036">
        <w:rPr>
          <w:sz w:val="22"/>
          <w:szCs w:val="22"/>
        </w:rPr>
        <w:t>mientras que otro</w:t>
      </w:r>
      <w:r w:rsidR="00EE13AF" w:rsidRPr="00130036">
        <w:rPr>
          <w:sz w:val="22"/>
          <w:szCs w:val="22"/>
        </w:rPr>
        <w:t>, como el ovino, no logran frenar su caída</w:t>
      </w:r>
      <w:r w:rsidR="00BD2E65" w:rsidRPr="00130036">
        <w:rPr>
          <w:sz w:val="22"/>
          <w:szCs w:val="22"/>
        </w:rPr>
        <w:t>, y ni siquiera puntuales alzas de precios (como en ovino de leche) logran que haya una oferta mayor.</w:t>
      </w:r>
      <w:r w:rsidR="00683884" w:rsidRPr="00130036">
        <w:rPr>
          <w:sz w:val="22"/>
          <w:szCs w:val="22"/>
        </w:rPr>
        <w:t xml:space="preserve"> </w:t>
      </w:r>
    </w:p>
    <w:p w14:paraId="1DD7F1A4" w14:textId="77777777" w:rsidR="00747EF0" w:rsidRPr="00130036" w:rsidRDefault="00747EF0" w:rsidP="00520F40">
      <w:pPr>
        <w:rPr>
          <w:sz w:val="22"/>
          <w:szCs w:val="22"/>
        </w:rPr>
      </w:pPr>
    </w:p>
    <w:p w14:paraId="17A918E7" w14:textId="0B16BDD8" w:rsidR="00520F40" w:rsidRPr="00130036" w:rsidRDefault="00520F40" w:rsidP="00520F40">
      <w:pPr>
        <w:rPr>
          <w:sz w:val="22"/>
          <w:szCs w:val="22"/>
        </w:rPr>
      </w:pPr>
      <w:r w:rsidRPr="00130036">
        <w:rPr>
          <w:sz w:val="22"/>
          <w:szCs w:val="22"/>
        </w:rPr>
        <w:t xml:space="preserve">Respecto a los costes de producción, se han moderado principalmente en energía y lubricantes y fertilizantes, pero </w:t>
      </w:r>
      <w:r w:rsidR="0031787E" w:rsidRPr="00130036">
        <w:rPr>
          <w:sz w:val="22"/>
          <w:szCs w:val="22"/>
        </w:rPr>
        <w:t>en</w:t>
      </w:r>
      <w:r w:rsidRPr="00130036">
        <w:rPr>
          <w:sz w:val="22"/>
          <w:szCs w:val="22"/>
        </w:rPr>
        <w:t xml:space="preserve"> ningún caso se ha retornado a los umbrales de ‘normalidad’ previos a la guerra de Ucrania.</w:t>
      </w:r>
    </w:p>
    <w:p w14:paraId="2BE1C025" w14:textId="77777777" w:rsidR="00747EF0" w:rsidRPr="00130036" w:rsidRDefault="00747EF0" w:rsidP="00520F40">
      <w:pPr>
        <w:rPr>
          <w:sz w:val="22"/>
          <w:szCs w:val="22"/>
        </w:rPr>
      </w:pPr>
    </w:p>
    <w:p w14:paraId="2C750AE9" w14:textId="54B789B4" w:rsidR="009539CF" w:rsidRPr="00130036" w:rsidRDefault="009539CF" w:rsidP="009539CF">
      <w:pPr>
        <w:rPr>
          <w:sz w:val="22"/>
          <w:szCs w:val="22"/>
        </w:rPr>
      </w:pPr>
      <w:r w:rsidRPr="00130036">
        <w:rPr>
          <w:sz w:val="22"/>
          <w:szCs w:val="22"/>
        </w:rPr>
        <w:t>Así las cosas, este 202</w:t>
      </w:r>
      <w:r w:rsidR="007644A8" w:rsidRPr="00130036">
        <w:rPr>
          <w:sz w:val="22"/>
          <w:szCs w:val="22"/>
        </w:rPr>
        <w:t>3</w:t>
      </w:r>
      <w:r w:rsidRPr="00130036">
        <w:rPr>
          <w:sz w:val="22"/>
          <w:szCs w:val="22"/>
        </w:rPr>
        <w:t xml:space="preserve"> se agudiza como nunca la sensación del campo de que se trabaja a pérdidas o con suerte para mantener la rueda de la producción, lejos de un horizonte de estabilidad y rentabilidad que garantice el futuro.</w:t>
      </w:r>
    </w:p>
    <w:p w14:paraId="09E6C52D" w14:textId="77777777" w:rsidR="00747EF0" w:rsidRPr="00130036" w:rsidRDefault="00747EF0" w:rsidP="009539CF">
      <w:pPr>
        <w:rPr>
          <w:sz w:val="22"/>
          <w:szCs w:val="22"/>
        </w:rPr>
      </w:pPr>
    </w:p>
    <w:p w14:paraId="10574F6D" w14:textId="4480C9B0" w:rsidR="002A07E2" w:rsidRPr="00130036" w:rsidRDefault="009539CF" w:rsidP="009539CF">
      <w:pPr>
        <w:rPr>
          <w:sz w:val="22"/>
          <w:szCs w:val="22"/>
        </w:rPr>
      </w:pPr>
      <w:r w:rsidRPr="00130036">
        <w:rPr>
          <w:sz w:val="22"/>
          <w:szCs w:val="22"/>
        </w:rPr>
        <w:t>El panorama es aún más complejo si se tiene en cuenta la nueva PAC, así como multitud de reglamentos y normativa,</w:t>
      </w:r>
      <w:r w:rsidR="00D47179" w:rsidRPr="00130036">
        <w:rPr>
          <w:sz w:val="22"/>
          <w:szCs w:val="22"/>
        </w:rPr>
        <w:t xml:space="preserve"> que constriñen sobremanera la producción agrícola y ganadera, y la</w:t>
      </w:r>
      <w:r w:rsidRPr="00130036">
        <w:rPr>
          <w:sz w:val="22"/>
          <w:szCs w:val="22"/>
        </w:rPr>
        <w:t xml:space="preserve"> burocracia, en definitiva, que cada vez complica más la labor de los agricultores y ganaderos y que va en muchos casos en contra de la lógica de la producción de alimentos y a favor de causas políticas e ideológicas que hoy están </w:t>
      </w:r>
      <w:r w:rsidR="0018480D" w:rsidRPr="00130036">
        <w:rPr>
          <w:sz w:val="22"/>
          <w:szCs w:val="22"/>
        </w:rPr>
        <w:t>de moda</w:t>
      </w:r>
      <w:r w:rsidRPr="00130036">
        <w:rPr>
          <w:sz w:val="22"/>
          <w:szCs w:val="22"/>
        </w:rPr>
        <w:t>.</w:t>
      </w:r>
    </w:p>
    <w:p w14:paraId="3EC33BAF" w14:textId="77777777" w:rsidR="00747EF0" w:rsidRDefault="00747EF0" w:rsidP="002A07E2"/>
    <w:p w14:paraId="3481735E" w14:textId="77777777" w:rsidR="00703831" w:rsidRDefault="00703831" w:rsidP="002A07E2"/>
    <w:p w14:paraId="709F0364" w14:textId="77777777" w:rsidR="00A702BE" w:rsidRDefault="00A702BE" w:rsidP="002A07E2"/>
    <w:p w14:paraId="65AC768A" w14:textId="77777777" w:rsidR="00703831" w:rsidRDefault="00703831" w:rsidP="002A07E2"/>
    <w:p w14:paraId="7C7D4496" w14:textId="008EB9AE" w:rsidR="00AA49C3" w:rsidRPr="00C6165A" w:rsidRDefault="00AA49C3" w:rsidP="00AA49C3">
      <w:pPr>
        <w:jc w:val="center"/>
        <w:rPr>
          <w:b/>
        </w:rPr>
      </w:pPr>
      <w:r w:rsidRPr="00C6165A">
        <w:rPr>
          <w:b/>
        </w:rPr>
        <w:lastRenderedPageBreak/>
        <w:t>SUBSECTOR AGRÍCOLA</w:t>
      </w:r>
    </w:p>
    <w:p w14:paraId="6CBD16A4" w14:textId="77777777" w:rsidR="00595E58" w:rsidRPr="00C6165A" w:rsidRDefault="00595E58" w:rsidP="00AA49C3">
      <w:pPr>
        <w:jc w:val="center"/>
        <w:rPr>
          <w:b/>
        </w:rPr>
      </w:pPr>
    </w:p>
    <w:p w14:paraId="2B89A87E" w14:textId="024ED0DB" w:rsidR="002E022F" w:rsidRDefault="007644A8" w:rsidP="002E022F">
      <w:r>
        <w:t xml:space="preserve">El año dio comienzo con un inevitable temor a la nueva Política Agraria Comunitaria y sus exigencias. </w:t>
      </w:r>
      <w:r w:rsidR="00482272">
        <w:t xml:space="preserve">Dada la situación del sector, arrastrada del año anterior, las expectativas de cara al nuevo año no eran muy alentadoras. Así, para dar apoyo al sector, en </w:t>
      </w:r>
      <w:r>
        <w:t xml:space="preserve">febrero desde el Ministerio se convocaron ayudas directas </w:t>
      </w:r>
      <w:r w:rsidR="00482272">
        <w:t xml:space="preserve">para paliar </w:t>
      </w:r>
      <w:r>
        <w:t>el incremento de costes de los fertilizantes</w:t>
      </w:r>
      <w:r w:rsidR="00482272">
        <w:t xml:space="preserve"> que se dispararon en 2022 por la guerra de Ucrania.</w:t>
      </w:r>
      <w:r w:rsidR="002E022F">
        <w:t xml:space="preserve"> A mediados de año se adoptaron más medidas de respuesta encaminadas a </w:t>
      </w:r>
      <w:r w:rsidR="002E022F" w:rsidRPr="002E022F">
        <w:t xml:space="preserve">sufragar el precio de determinados productos energéticos </w:t>
      </w:r>
      <w:r w:rsidR="002E022F">
        <w:t>como</w:t>
      </w:r>
      <w:r w:rsidR="002E022F" w:rsidRPr="002E022F">
        <w:t xml:space="preserve"> </w:t>
      </w:r>
      <w:r w:rsidR="001C5990">
        <w:t>la a</w:t>
      </w:r>
      <w:r w:rsidR="002E022F" w:rsidRPr="002E022F">
        <w:t>yuda extraordinaria y temporal para sufragar el precio del gasóleo consumido por los productores agrarios</w:t>
      </w:r>
      <w:r w:rsidR="002E022F">
        <w:t xml:space="preserve">, </w:t>
      </w:r>
      <w:r w:rsidR="001C5990">
        <w:t xml:space="preserve">el aumento de presupuesto para </w:t>
      </w:r>
      <w:r w:rsidR="002E022F">
        <w:t xml:space="preserve">la </w:t>
      </w:r>
      <w:r w:rsidR="002E022F" w:rsidRPr="002E022F">
        <w:t>financiación de la línea ICO-MAPA-SAECA y la línea de avales de SAECA.</w:t>
      </w:r>
    </w:p>
    <w:p w14:paraId="61F1FEF5" w14:textId="77777777" w:rsidR="00747EF0" w:rsidRPr="002E022F" w:rsidRDefault="00747EF0" w:rsidP="002E022F"/>
    <w:p w14:paraId="75C87A4A" w14:textId="45633ED6" w:rsidR="001C5990" w:rsidRDefault="00482272" w:rsidP="00A83973">
      <w:r>
        <w:t xml:space="preserve">Ante una primavera seca y un inicio de verano </w:t>
      </w:r>
      <w:r w:rsidR="00747EF0">
        <w:t>preocupante</w:t>
      </w:r>
      <w:r w:rsidR="002E022F">
        <w:t>,</w:t>
      </w:r>
      <w:r>
        <w:t xml:space="preserve"> tras</w:t>
      </w:r>
      <w:r w:rsidR="00747EF0">
        <w:t xml:space="preserve"> la reivindicación</w:t>
      </w:r>
      <w:r w:rsidR="000D68B3">
        <w:t xml:space="preserve"> y protestas</w:t>
      </w:r>
      <w:r>
        <w:t xml:space="preserve"> de las Organizaciones Profesionales Agrarias,</w:t>
      </w:r>
      <w:r w:rsidR="00747EF0">
        <w:t xml:space="preserve"> la Consejería</w:t>
      </w:r>
      <w:r>
        <w:t xml:space="preserve"> tomó la decisión de declarar la campaña agrícola 2022-2023 en Castilla y León como excepcional debido a los fenómenos meteorológicos adversos acecidos durante el año, y se tomaron medidas de urgencia al respecto, </w:t>
      </w:r>
      <w:r w:rsidRPr="00482272">
        <w:t xml:space="preserve">dirigidas a dotar de liquidez a las explotaciones agrarias </w:t>
      </w:r>
      <w:r w:rsidR="002E022F">
        <w:t>para</w:t>
      </w:r>
      <w:r w:rsidRPr="00482272">
        <w:t xml:space="preserve"> paliar los efectos negativos de la sequía y de las consecuencias derivadas de la guerra en Ucrania. </w:t>
      </w:r>
      <w:r w:rsidR="002E022F">
        <w:t xml:space="preserve">Se incluyeron medidas destinadas a bonificar los intereses de los préstamos financieros y un complemento de </w:t>
      </w:r>
      <w:r w:rsidRPr="00482272">
        <w:t>las cantidades percibidas en concepto de indemnización por siniestros de sequía de seguros agrarios</w:t>
      </w:r>
      <w:r w:rsidR="002E022F">
        <w:t>.</w:t>
      </w:r>
      <w:r w:rsidR="000D68B3">
        <w:t xml:space="preserve"> </w:t>
      </w:r>
      <w:r w:rsidR="001C5990">
        <w:t xml:space="preserve">Aun </w:t>
      </w:r>
      <w:r w:rsidR="000D68B3">
        <w:t>así</w:t>
      </w:r>
      <w:r w:rsidR="001C5990">
        <w:t xml:space="preserve">, el año ha sido </w:t>
      </w:r>
      <w:r w:rsidR="0018480D">
        <w:t>mal</w:t>
      </w:r>
      <w:r w:rsidR="001C5990">
        <w:t>o y tanto las superficies agrícolas como las producciones obtenidas se han visto mermadas en muchos casos hasta casi el 50% respecto al periodo anterior.</w:t>
      </w:r>
    </w:p>
    <w:p w14:paraId="351554FA" w14:textId="77777777" w:rsidR="001C5990" w:rsidRDefault="001C5990" w:rsidP="00AA49C3"/>
    <w:p w14:paraId="6C60998B" w14:textId="5E8BD272" w:rsidR="00AA49C3" w:rsidRPr="001C5990" w:rsidRDefault="00AA49C3" w:rsidP="00AA49C3">
      <w:pPr>
        <w:rPr>
          <w:sz w:val="4"/>
          <w:szCs w:val="4"/>
        </w:rPr>
      </w:pPr>
      <w:r w:rsidRPr="00C6165A">
        <w:rPr>
          <w:b/>
        </w:rPr>
        <w:t>Cereales de invierno</w:t>
      </w:r>
    </w:p>
    <w:p w14:paraId="50EF57A4" w14:textId="77777777" w:rsidR="00AA49C3" w:rsidRPr="00C6165A" w:rsidRDefault="00AA49C3" w:rsidP="00AA49C3"/>
    <w:p w14:paraId="39AC7703" w14:textId="02142689" w:rsidR="00AA49C3" w:rsidRPr="00C6165A" w:rsidRDefault="00AA49C3" w:rsidP="00AA49C3">
      <w:r w:rsidRPr="00C6165A">
        <w:t xml:space="preserve">La superficie total de cereales de invierno cultivada fue de </w:t>
      </w:r>
      <w:r w:rsidR="00C12643" w:rsidRPr="00C6165A">
        <w:t>1.</w:t>
      </w:r>
      <w:r w:rsidR="00DF271D">
        <w:t>613.738</w:t>
      </w:r>
      <w:r w:rsidR="00924270" w:rsidRPr="00C6165A">
        <w:t xml:space="preserve"> </w:t>
      </w:r>
      <w:r w:rsidRPr="00C6165A">
        <w:t xml:space="preserve">hectáreas, un </w:t>
      </w:r>
      <w:r w:rsidR="00DF271D">
        <w:t>11,6</w:t>
      </w:r>
      <w:r w:rsidR="00A87D1E" w:rsidRPr="00C6165A">
        <w:t>%</w:t>
      </w:r>
      <w:r w:rsidRPr="00C6165A">
        <w:t xml:space="preserve"> </w:t>
      </w:r>
      <w:r w:rsidR="00C12643" w:rsidRPr="00C6165A">
        <w:t>inferior a la del año 202</w:t>
      </w:r>
      <w:r w:rsidR="00DF271D">
        <w:t>2</w:t>
      </w:r>
      <w:r w:rsidR="005301A2" w:rsidRPr="00C6165A">
        <w:t>.</w:t>
      </w:r>
      <w:r w:rsidRPr="00C6165A">
        <w:t xml:space="preserve"> </w:t>
      </w:r>
      <w:r w:rsidR="00DF271D">
        <w:t>Ha habido</w:t>
      </w:r>
      <w:r w:rsidR="00C12643" w:rsidRPr="00C6165A">
        <w:t xml:space="preserve"> una reducción generalizada de las superficies, </w:t>
      </w:r>
      <w:r w:rsidR="00DF271D">
        <w:t xml:space="preserve">siendo la más acusada la de trigo duro, con una </w:t>
      </w:r>
      <w:r w:rsidR="0031787E">
        <w:t xml:space="preserve">bajada </w:t>
      </w:r>
      <w:r w:rsidR="00DF271D">
        <w:t>de casi el 36%</w:t>
      </w:r>
      <w:r w:rsidR="00CD4559" w:rsidRPr="00C6165A">
        <w:t xml:space="preserve">. </w:t>
      </w:r>
      <w:r w:rsidR="005301A2" w:rsidRPr="00C6165A">
        <w:t xml:space="preserve">La </w:t>
      </w:r>
      <w:r w:rsidRPr="00C6165A">
        <w:t>producción</w:t>
      </w:r>
      <w:r w:rsidR="005301A2" w:rsidRPr="00C6165A">
        <w:t xml:space="preserve"> obtenida</w:t>
      </w:r>
      <w:r w:rsidRPr="00C6165A">
        <w:t xml:space="preserve">, según los últimos datos oficiales, </w:t>
      </w:r>
      <w:r w:rsidR="005301A2" w:rsidRPr="00C6165A">
        <w:t>fueron</w:t>
      </w:r>
      <w:r w:rsidRPr="00C6165A">
        <w:t xml:space="preserve"> </w:t>
      </w:r>
      <w:r w:rsidR="00DF271D">
        <w:t>3.370.724</w:t>
      </w:r>
      <w:r w:rsidR="00924270" w:rsidRPr="00C6165A">
        <w:t xml:space="preserve"> </w:t>
      </w:r>
      <w:r w:rsidRPr="00C6165A">
        <w:t xml:space="preserve">toneladas, que representa </w:t>
      </w:r>
      <w:r w:rsidR="00154C4C" w:rsidRPr="00C6165A">
        <w:t xml:space="preserve">un </w:t>
      </w:r>
      <w:r w:rsidR="00A6140B" w:rsidRPr="00C6165A">
        <w:t xml:space="preserve">descenso del </w:t>
      </w:r>
      <w:r w:rsidR="00DF271D">
        <w:t>34,80%</w:t>
      </w:r>
      <w:r w:rsidR="005C3228" w:rsidRPr="00C6165A">
        <w:t xml:space="preserve"> respecto a</w:t>
      </w:r>
      <w:r w:rsidRPr="00C6165A">
        <w:t xml:space="preserve"> la campaña anterior y </w:t>
      </w:r>
      <w:r w:rsidR="00A6140B" w:rsidRPr="00C6165A">
        <w:t xml:space="preserve">un </w:t>
      </w:r>
      <w:r w:rsidR="00DF271D">
        <w:t>42,71</w:t>
      </w:r>
      <w:r w:rsidR="00A87D1E" w:rsidRPr="00C6165A">
        <w:t>%</w:t>
      </w:r>
      <w:r w:rsidRPr="00C6165A">
        <w:t xml:space="preserve"> </w:t>
      </w:r>
      <w:r w:rsidR="003119C8" w:rsidRPr="00C6165A">
        <w:t>inferio</w:t>
      </w:r>
      <w:r w:rsidR="00CD4559" w:rsidRPr="00C6165A">
        <w:t>r</w:t>
      </w:r>
      <w:r w:rsidR="00A42F42" w:rsidRPr="00C6165A">
        <w:t xml:space="preserve"> a</w:t>
      </w:r>
      <w:r w:rsidRPr="00C6165A">
        <w:t xml:space="preserve"> la media de los últimos diez años. Por cultivos, la superficie y producción, así como la variación con respecto a la campaña anterior, se pueden ver en la siguiente tabla:</w:t>
      </w:r>
    </w:p>
    <w:p w14:paraId="285E7F50" w14:textId="77777777" w:rsidR="00AA49C3" w:rsidRPr="00C6165A" w:rsidRDefault="00AA49C3" w:rsidP="00AA49C3"/>
    <w:tbl>
      <w:tblPr>
        <w:tblW w:w="5000" w:type="pct"/>
        <w:tblLayout w:type="fixed"/>
        <w:tblCellMar>
          <w:left w:w="70" w:type="dxa"/>
          <w:right w:w="70" w:type="dxa"/>
        </w:tblCellMar>
        <w:tblLook w:val="04A0" w:firstRow="1" w:lastRow="0" w:firstColumn="1" w:lastColumn="0" w:noHBand="0" w:noVBand="1"/>
      </w:tblPr>
      <w:tblGrid>
        <w:gridCol w:w="1700"/>
        <w:gridCol w:w="1118"/>
        <w:gridCol w:w="1138"/>
        <w:gridCol w:w="1114"/>
        <w:gridCol w:w="1164"/>
        <w:gridCol w:w="1147"/>
        <w:gridCol w:w="1113"/>
      </w:tblGrid>
      <w:tr w:rsidR="00C6165A" w:rsidRPr="00C6165A" w14:paraId="56316A32" w14:textId="77777777" w:rsidTr="00D47179">
        <w:trPr>
          <w:trHeight w:val="300"/>
        </w:trPr>
        <w:tc>
          <w:tcPr>
            <w:tcW w:w="1001" w:type="pct"/>
            <w:tcBorders>
              <w:right w:val="single" w:sz="8" w:space="0" w:color="auto"/>
            </w:tcBorders>
            <w:shd w:val="clear" w:color="auto" w:fill="auto"/>
            <w:noWrap/>
            <w:vAlign w:val="bottom"/>
            <w:hideMark/>
          </w:tcPr>
          <w:p w14:paraId="479BC7D5" w14:textId="77777777" w:rsidR="003119C8" w:rsidRPr="00C6165A" w:rsidRDefault="003119C8" w:rsidP="003119C8">
            <w:pPr>
              <w:jc w:val="left"/>
              <w:rPr>
                <w:sz w:val="20"/>
                <w:szCs w:val="20"/>
                <w:lang w:eastAsia="es-ES"/>
              </w:rPr>
            </w:pPr>
            <w:r w:rsidRPr="00C6165A">
              <w:rPr>
                <w:sz w:val="20"/>
                <w:szCs w:val="20"/>
                <w:lang w:eastAsia="es-ES"/>
              </w:rPr>
              <w:t> </w:t>
            </w:r>
          </w:p>
        </w:tc>
        <w:tc>
          <w:tcPr>
            <w:tcW w:w="1984" w:type="pct"/>
            <w:gridSpan w:val="3"/>
            <w:tcBorders>
              <w:top w:val="single" w:sz="8" w:space="0" w:color="auto"/>
              <w:left w:val="nil"/>
              <w:bottom w:val="single" w:sz="8" w:space="0" w:color="auto"/>
              <w:right w:val="single" w:sz="8" w:space="0" w:color="000000"/>
            </w:tcBorders>
            <w:shd w:val="clear" w:color="auto" w:fill="auto"/>
            <w:noWrap/>
            <w:vAlign w:val="center"/>
            <w:hideMark/>
          </w:tcPr>
          <w:p w14:paraId="3E4E02F5" w14:textId="77777777" w:rsidR="003119C8" w:rsidRPr="00C6165A" w:rsidRDefault="003119C8" w:rsidP="003119C8">
            <w:pPr>
              <w:jc w:val="center"/>
              <w:rPr>
                <w:b/>
                <w:bCs/>
                <w:sz w:val="20"/>
                <w:szCs w:val="20"/>
                <w:lang w:eastAsia="es-ES"/>
              </w:rPr>
            </w:pPr>
            <w:r w:rsidRPr="00C6165A">
              <w:rPr>
                <w:b/>
                <w:bCs/>
                <w:sz w:val="20"/>
                <w:szCs w:val="20"/>
                <w:lang w:eastAsia="es-ES"/>
              </w:rPr>
              <w:t>Superficie (ha)</w:t>
            </w:r>
          </w:p>
        </w:tc>
        <w:tc>
          <w:tcPr>
            <w:tcW w:w="2015" w:type="pct"/>
            <w:gridSpan w:val="3"/>
            <w:tcBorders>
              <w:top w:val="single" w:sz="8" w:space="0" w:color="auto"/>
              <w:left w:val="nil"/>
              <w:bottom w:val="single" w:sz="8" w:space="0" w:color="auto"/>
              <w:right w:val="single" w:sz="8" w:space="0" w:color="000000"/>
            </w:tcBorders>
            <w:shd w:val="clear" w:color="auto" w:fill="auto"/>
            <w:noWrap/>
            <w:vAlign w:val="center"/>
            <w:hideMark/>
          </w:tcPr>
          <w:p w14:paraId="51D43CE8" w14:textId="77777777" w:rsidR="003119C8" w:rsidRPr="00C6165A" w:rsidRDefault="003119C8" w:rsidP="003119C8">
            <w:pPr>
              <w:jc w:val="center"/>
              <w:rPr>
                <w:b/>
                <w:bCs/>
                <w:sz w:val="20"/>
                <w:szCs w:val="20"/>
                <w:lang w:eastAsia="es-ES"/>
              </w:rPr>
            </w:pPr>
            <w:r w:rsidRPr="00C6165A">
              <w:rPr>
                <w:b/>
                <w:bCs/>
                <w:sz w:val="20"/>
                <w:szCs w:val="20"/>
                <w:lang w:eastAsia="es-ES"/>
              </w:rPr>
              <w:t>Producción (t)</w:t>
            </w:r>
          </w:p>
        </w:tc>
      </w:tr>
      <w:tr w:rsidR="00C6165A" w:rsidRPr="00C6165A" w14:paraId="12CC8FB9" w14:textId="77777777" w:rsidTr="00D47179">
        <w:trPr>
          <w:trHeight w:val="300"/>
        </w:trPr>
        <w:tc>
          <w:tcPr>
            <w:tcW w:w="1001" w:type="pct"/>
            <w:tcBorders>
              <w:bottom w:val="single" w:sz="8" w:space="0" w:color="auto"/>
              <w:right w:val="single" w:sz="8" w:space="0" w:color="auto"/>
            </w:tcBorders>
            <w:shd w:val="clear" w:color="auto" w:fill="auto"/>
            <w:noWrap/>
            <w:vAlign w:val="bottom"/>
            <w:hideMark/>
          </w:tcPr>
          <w:p w14:paraId="40C3D8CE" w14:textId="77777777" w:rsidR="003119C8" w:rsidRPr="00C6165A" w:rsidRDefault="003119C8" w:rsidP="003119C8">
            <w:pPr>
              <w:jc w:val="left"/>
              <w:rPr>
                <w:sz w:val="20"/>
                <w:szCs w:val="20"/>
                <w:lang w:eastAsia="es-ES"/>
              </w:rPr>
            </w:pPr>
            <w:r w:rsidRPr="00C6165A">
              <w:rPr>
                <w:sz w:val="20"/>
                <w:szCs w:val="20"/>
                <w:lang w:eastAsia="es-ES"/>
              </w:rPr>
              <w:t> </w:t>
            </w:r>
          </w:p>
        </w:tc>
        <w:tc>
          <w:tcPr>
            <w:tcW w:w="658" w:type="pct"/>
            <w:tcBorders>
              <w:top w:val="nil"/>
              <w:left w:val="nil"/>
              <w:bottom w:val="single" w:sz="8" w:space="0" w:color="auto"/>
              <w:right w:val="single" w:sz="8" w:space="0" w:color="auto"/>
            </w:tcBorders>
            <w:shd w:val="clear" w:color="auto" w:fill="auto"/>
            <w:noWrap/>
            <w:vAlign w:val="center"/>
            <w:hideMark/>
          </w:tcPr>
          <w:p w14:paraId="34612C1B" w14:textId="6FC7BFE8" w:rsidR="003119C8" w:rsidRPr="00C6165A" w:rsidRDefault="003119C8" w:rsidP="003119C8">
            <w:pPr>
              <w:jc w:val="center"/>
              <w:rPr>
                <w:b/>
                <w:bCs/>
                <w:sz w:val="20"/>
                <w:szCs w:val="20"/>
                <w:lang w:eastAsia="es-ES"/>
              </w:rPr>
            </w:pPr>
            <w:r w:rsidRPr="00C6165A">
              <w:rPr>
                <w:b/>
                <w:bCs/>
                <w:sz w:val="20"/>
                <w:szCs w:val="20"/>
                <w:lang w:eastAsia="es-ES"/>
              </w:rPr>
              <w:t>202</w:t>
            </w:r>
            <w:r w:rsidR="00DF271D">
              <w:rPr>
                <w:b/>
                <w:bCs/>
                <w:sz w:val="20"/>
                <w:szCs w:val="20"/>
                <w:lang w:eastAsia="es-ES"/>
              </w:rPr>
              <w:t>2</w:t>
            </w:r>
          </w:p>
        </w:tc>
        <w:tc>
          <w:tcPr>
            <w:tcW w:w="670" w:type="pct"/>
            <w:tcBorders>
              <w:top w:val="nil"/>
              <w:left w:val="nil"/>
              <w:bottom w:val="single" w:sz="8" w:space="0" w:color="auto"/>
              <w:right w:val="single" w:sz="8" w:space="0" w:color="auto"/>
            </w:tcBorders>
            <w:shd w:val="clear" w:color="auto" w:fill="auto"/>
            <w:noWrap/>
            <w:vAlign w:val="center"/>
            <w:hideMark/>
          </w:tcPr>
          <w:p w14:paraId="0EE5D669" w14:textId="4DBA6531" w:rsidR="003119C8" w:rsidRPr="00C6165A" w:rsidRDefault="003119C8" w:rsidP="003119C8">
            <w:pPr>
              <w:jc w:val="center"/>
              <w:rPr>
                <w:b/>
                <w:bCs/>
                <w:sz w:val="20"/>
                <w:szCs w:val="20"/>
                <w:lang w:eastAsia="es-ES"/>
              </w:rPr>
            </w:pPr>
            <w:r w:rsidRPr="00C6165A">
              <w:rPr>
                <w:b/>
                <w:bCs/>
                <w:sz w:val="20"/>
                <w:szCs w:val="20"/>
                <w:lang w:eastAsia="es-ES"/>
              </w:rPr>
              <w:t>202</w:t>
            </w:r>
            <w:r w:rsidR="00DF271D">
              <w:rPr>
                <w:b/>
                <w:bCs/>
                <w:sz w:val="20"/>
                <w:szCs w:val="20"/>
                <w:lang w:eastAsia="es-ES"/>
              </w:rPr>
              <w:t>3</w:t>
            </w:r>
          </w:p>
        </w:tc>
        <w:tc>
          <w:tcPr>
            <w:tcW w:w="656" w:type="pct"/>
            <w:tcBorders>
              <w:top w:val="nil"/>
              <w:left w:val="nil"/>
              <w:bottom w:val="single" w:sz="8" w:space="0" w:color="auto"/>
              <w:right w:val="single" w:sz="8" w:space="0" w:color="auto"/>
            </w:tcBorders>
            <w:shd w:val="clear" w:color="auto" w:fill="auto"/>
            <w:noWrap/>
            <w:vAlign w:val="center"/>
            <w:hideMark/>
          </w:tcPr>
          <w:p w14:paraId="225F4261" w14:textId="77777777" w:rsidR="003119C8" w:rsidRPr="00C6165A" w:rsidRDefault="003119C8" w:rsidP="003119C8">
            <w:pPr>
              <w:jc w:val="center"/>
              <w:rPr>
                <w:b/>
                <w:bCs/>
                <w:sz w:val="20"/>
                <w:szCs w:val="20"/>
                <w:lang w:eastAsia="es-ES"/>
              </w:rPr>
            </w:pPr>
            <w:r w:rsidRPr="00C6165A">
              <w:rPr>
                <w:b/>
                <w:bCs/>
                <w:sz w:val="20"/>
                <w:szCs w:val="20"/>
                <w:lang w:eastAsia="es-ES"/>
              </w:rPr>
              <w:t>Variación (%)</w:t>
            </w:r>
          </w:p>
        </w:tc>
        <w:tc>
          <w:tcPr>
            <w:tcW w:w="685" w:type="pct"/>
            <w:tcBorders>
              <w:top w:val="nil"/>
              <w:left w:val="nil"/>
              <w:bottom w:val="single" w:sz="8" w:space="0" w:color="auto"/>
              <w:right w:val="single" w:sz="8" w:space="0" w:color="auto"/>
            </w:tcBorders>
            <w:shd w:val="clear" w:color="auto" w:fill="auto"/>
            <w:noWrap/>
            <w:vAlign w:val="center"/>
            <w:hideMark/>
          </w:tcPr>
          <w:p w14:paraId="3B823A9C" w14:textId="714C4C7F" w:rsidR="003119C8" w:rsidRPr="00C6165A" w:rsidRDefault="003119C8" w:rsidP="003119C8">
            <w:pPr>
              <w:jc w:val="center"/>
              <w:rPr>
                <w:b/>
                <w:bCs/>
                <w:sz w:val="20"/>
                <w:szCs w:val="20"/>
                <w:lang w:eastAsia="es-ES"/>
              </w:rPr>
            </w:pPr>
            <w:r w:rsidRPr="00C6165A">
              <w:rPr>
                <w:b/>
                <w:bCs/>
                <w:sz w:val="20"/>
                <w:szCs w:val="20"/>
                <w:lang w:eastAsia="es-ES"/>
              </w:rPr>
              <w:t>202</w:t>
            </w:r>
            <w:r w:rsidR="00DF271D">
              <w:rPr>
                <w:b/>
                <w:bCs/>
                <w:sz w:val="20"/>
                <w:szCs w:val="20"/>
                <w:lang w:eastAsia="es-ES"/>
              </w:rPr>
              <w:t>2</w:t>
            </w:r>
          </w:p>
        </w:tc>
        <w:tc>
          <w:tcPr>
            <w:tcW w:w="675" w:type="pct"/>
            <w:tcBorders>
              <w:top w:val="nil"/>
              <w:left w:val="nil"/>
              <w:bottom w:val="single" w:sz="8" w:space="0" w:color="auto"/>
              <w:right w:val="single" w:sz="8" w:space="0" w:color="auto"/>
            </w:tcBorders>
            <w:shd w:val="clear" w:color="auto" w:fill="auto"/>
            <w:noWrap/>
            <w:vAlign w:val="center"/>
            <w:hideMark/>
          </w:tcPr>
          <w:p w14:paraId="0E0F556E" w14:textId="308F4D49" w:rsidR="003119C8" w:rsidRPr="00C6165A" w:rsidRDefault="003119C8" w:rsidP="003119C8">
            <w:pPr>
              <w:jc w:val="center"/>
              <w:rPr>
                <w:b/>
                <w:bCs/>
                <w:sz w:val="20"/>
                <w:szCs w:val="20"/>
                <w:lang w:eastAsia="es-ES"/>
              </w:rPr>
            </w:pPr>
            <w:r w:rsidRPr="00C6165A">
              <w:rPr>
                <w:b/>
                <w:bCs/>
                <w:sz w:val="20"/>
                <w:szCs w:val="20"/>
                <w:lang w:eastAsia="es-ES"/>
              </w:rPr>
              <w:t>202</w:t>
            </w:r>
            <w:r w:rsidR="00DF271D">
              <w:rPr>
                <w:b/>
                <w:bCs/>
                <w:sz w:val="20"/>
                <w:szCs w:val="20"/>
                <w:lang w:eastAsia="es-ES"/>
              </w:rPr>
              <w:t>3</w:t>
            </w:r>
          </w:p>
        </w:tc>
        <w:tc>
          <w:tcPr>
            <w:tcW w:w="656" w:type="pct"/>
            <w:tcBorders>
              <w:top w:val="nil"/>
              <w:left w:val="nil"/>
              <w:bottom w:val="single" w:sz="8" w:space="0" w:color="auto"/>
              <w:right w:val="single" w:sz="8" w:space="0" w:color="auto"/>
            </w:tcBorders>
            <w:shd w:val="clear" w:color="auto" w:fill="auto"/>
            <w:noWrap/>
            <w:vAlign w:val="center"/>
            <w:hideMark/>
          </w:tcPr>
          <w:p w14:paraId="7D4D1FDE" w14:textId="77777777" w:rsidR="003119C8" w:rsidRPr="00C6165A" w:rsidRDefault="003119C8" w:rsidP="003119C8">
            <w:pPr>
              <w:jc w:val="center"/>
              <w:rPr>
                <w:b/>
                <w:bCs/>
                <w:sz w:val="20"/>
                <w:szCs w:val="20"/>
                <w:lang w:eastAsia="es-ES"/>
              </w:rPr>
            </w:pPr>
            <w:r w:rsidRPr="00C6165A">
              <w:rPr>
                <w:b/>
                <w:bCs/>
                <w:sz w:val="20"/>
                <w:szCs w:val="20"/>
                <w:lang w:eastAsia="es-ES"/>
              </w:rPr>
              <w:t>Variación (%)</w:t>
            </w:r>
          </w:p>
        </w:tc>
      </w:tr>
      <w:tr w:rsidR="00DF271D" w:rsidRPr="00C6165A" w14:paraId="78D13CAA" w14:textId="77777777" w:rsidTr="00D47179">
        <w:trPr>
          <w:trHeight w:val="300"/>
        </w:trPr>
        <w:tc>
          <w:tcPr>
            <w:tcW w:w="1001" w:type="pct"/>
            <w:tcBorders>
              <w:top w:val="nil"/>
              <w:left w:val="single" w:sz="8" w:space="0" w:color="auto"/>
              <w:bottom w:val="single" w:sz="8" w:space="0" w:color="auto"/>
              <w:right w:val="single" w:sz="8" w:space="0" w:color="auto"/>
            </w:tcBorders>
            <w:shd w:val="clear" w:color="auto" w:fill="auto"/>
            <w:noWrap/>
            <w:vAlign w:val="center"/>
            <w:hideMark/>
          </w:tcPr>
          <w:p w14:paraId="4CB25A4A" w14:textId="77777777" w:rsidR="00DF271D" w:rsidRPr="00C6165A" w:rsidRDefault="00DF271D" w:rsidP="00DF271D">
            <w:pPr>
              <w:jc w:val="left"/>
              <w:rPr>
                <w:sz w:val="20"/>
                <w:szCs w:val="20"/>
                <w:lang w:eastAsia="es-ES"/>
              </w:rPr>
            </w:pPr>
            <w:r w:rsidRPr="00C6165A">
              <w:rPr>
                <w:sz w:val="20"/>
                <w:szCs w:val="20"/>
                <w:lang w:eastAsia="es-ES"/>
              </w:rPr>
              <w:t>Trigo blando</w:t>
            </w:r>
          </w:p>
        </w:tc>
        <w:tc>
          <w:tcPr>
            <w:tcW w:w="658" w:type="pct"/>
            <w:tcBorders>
              <w:top w:val="nil"/>
              <w:left w:val="nil"/>
              <w:bottom w:val="single" w:sz="8" w:space="0" w:color="auto"/>
              <w:right w:val="single" w:sz="8" w:space="0" w:color="auto"/>
            </w:tcBorders>
            <w:shd w:val="clear" w:color="auto" w:fill="auto"/>
            <w:noWrap/>
            <w:vAlign w:val="bottom"/>
            <w:hideMark/>
          </w:tcPr>
          <w:p w14:paraId="713E978E" w14:textId="120B1D47" w:rsidR="00DF271D" w:rsidRPr="00C6165A" w:rsidRDefault="00DF271D" w:rsidP="00DF271D">
            <w:pPr>
              <w:jc w:val="right"/>
              <w:rPr>
                <w:sz w:val="20"/>
                <w:szCs w:val="20"/>
                <w:lang w:eastAsia="es-ES"/>
              </w:rPr>
            </w:pPr>
            <w:r>
              <w:rPr>
                <w:rFonts w:ascii="Calibri" w:hAnsi="Calibri" w:cs="Calibri"/>
                <w:color w:val="000000"/>
                <w:sz w:val="22"/>
                <w:szCs w:val="22"/>
              </w:rPr>
              <w:t>894.105</w:t>
            </w:r>
          </w:p>
        </w:tc>
        <w:tc>
          <w:tcPr>
            <w:tcW w:w="670" w:type="pct"/>
            <w:tcBorders>
              <w:top w:val="nil"/>
              <w:left w:val="nil"/>
              <w:bottom w:val="single" w:sz="8" w:space="0" w:color="auto"/>
              <w:right w:val="single" w:sz="8" w:space="0" w:color="auto"/>
            </w:tcBorders>
            <w:shd w:val="clear" w:color="auto" w:fill="auto"/>
            <w:noWrap/>
            <w:vAlign w:val="bottom"/>
            <w:hideMark/>
          </w:tcPr>
          <w:p w14:paraId="09491827" w14:textId="6B2E6DC8" w:rsidR="00DF271D" w:rsidRPr="00C6165A" w:rsidRDefault="00DF271D" w:rsidP="00DF271D">
            <w:pPr>
              <w:jc w:val="right"/>
              <w:rPr>
                <w:sz w:val="20"/>
                <w:szCs w:val="20"/>
                <w:lang w:eastAsia="es-ES"/>
              </w:rPr>
            </w:pPr>
            <w:r>
              <w:rPr>
                <w:rFonts w:ascii="Calibri" w:hAnsi="Calibri" w:cs="Calibri"/>
                <w:color w:val="000000"/>
                <w:sz w:val="22"/>
                <w:szCs w:val="22"/>
              </w:rPr>
              <w:t>752.755</w:t>
            </w:r>
          </w:p>
        </w:tc>
        <w:tc>
          <w:tcPr>
            <w:tcW w:w="656" w:type="pct"/>
            <w:tcBorders>
              <w:top w:val="nil"/>
              <w:left w:val="nil"/>
              <w:bottom w:val="single" w:sz="8" w:space="0" w:color="auto"/>
              <w:right w:val="single" w:sz="8" w:space="0" w:color="auto"/>
            </w:tcBorders>
            <w:shd w:val="clear" w:color="auto" w:fill="auto"/>
            <w:noWrap/>
            <w:vAlign w:val="bottom"/>
            <w:hideMark/>
          </w:tcPr>
          <w:p w14:paraId="5430437E" w14:textId="16CC4D31" w:rsidR="00DF271D" w:rsidRPr="00C6165A" w:rsidRDefault="00DF271D" w:rsidP="00DF271D">
            <w:pPr>
              <w:jc w:val="center"/>
              <w:rPr>
                <w:sz w:val="20"/>
                <w:szCs w:val="20"/>
                <w:lang w:eastAsia="es-ES"/>
              </w:rPr>
            </w:pPr>
            <w:r>
              <w:rPr>
                <w:rFonts w:ascii="Calibri" w:hAnsi="Calibri" w:cs="Calibri"/>
                <w:color w:val="000000"/>
                <w:sz w:val="22"/>
                <w:szCs w:val="22"/>
              </w:rPr>
              <w:t>-15,81%</w:t>
            </w:r>
          </w:p>
        </w:tc>
        <w:tc>
          <w:tcPr>
            <w:tcW w:w="685" w:type="pct"/>
            <w:tcBorders>
              <w:top w:val="nil"/>
              <w:left w:val="nil"/>
              <w:bottom w:val="single" w:sz="8" w:space="0" w:color="auto"/>
              <w:right w:val="single" w:sz="8" w:space="0" w:color="auto"/>
            </w:tcBorders>
            <w:shd w:val="clear" w:color="auto" w:fill="auto"/>
            <w:noWrap/>
            <w:vAlign w:val="bottom"/>
            <w:hideMark/>
          </w:tcPr>
          <w:p w14:paraId="5A9A22DF" w14:textId="3E8B341C" w:rsidR="00DF271D" w:rsidRPr="00C6165A" w:rsidRDefault="00DF271D" w:rsidP="00DF271D">
            <w:pPr>
              <w:jc w:val="right"/>
              <w:rPr>
                <w:sz w:val="20"/>
                <w:szCs w:val="20"/>
                <w:lang w:eastAsia="es-ES"/>
              </w:rPr>
            </w:pPr>
            <w:r>
              <w:rPr>
                <w:rFonts w:ascii="Calibri" w:hAnsi="Calibri" w:cs="Calibri"/>
                <w:color w:val="000000"/>
                <w:sz w:val="22"/>
                <w:szCs w:val="22"/>
              </w:rPr>
              <w:t>2.631.149</w:t>
            </w:r>
          </w:p>
        </w:tc>
        <w:tc>
          <w:tcPr>
            <w:tcW w:w="675" w:type="pct"/>
            <w:tcBorders>
              <w:top w:val="nil"/>
              <w:left w:val="nil"/>
              <w:bottom w:val="single" w:sz="8" w:space="0" w:color="auto"/>
              <w:right w:val="single" w:sz="8" w:space="0" w:color="auto"/>
            </w:tcBorders>
            <w:shd w:val="clear" w:color="auto" w:fill="auto"/>
            <w:noWrap/>
            <w:vAlign w:val="bottom"/>
            <w:hideMark/>
          </w:tcPr>
          <w:p w14:paraId="6638A6A4" w14:textId="2174DA45" w:rsidR="00DF271D" w:rsidRPr="00C6165A" w:rsidRDefault="00DF271D" w:rsidP="00DF271D">
            <w:pPr>
              <w:jc w:val="right"/>
              <w:rPr>
                <w:sz w:val="20"/>
                <w:szCs w:val="20"/>
                <w:lang w:eastAsia="es-ES"/>
              </w:rPr>
            </w:pPr>
            <w:r>
              <w:rPr>
                <w:rFonts w:ascii="Calibri" w:hAnsi="Calibri" w:cs="Calibri"/>
                <w:color w:val="000000"/>
                <w:sz w:val="22"/>
                <w:szCs w:val="22"/>
              </w:rPr>
              <w:t>1.736.069</w:t>
            </w:r>
          </w:p>
        </w:tc>
        <w:tc>
          <w:tcPr>
            <w:tcW w:w="656" w:type="pct"/>
            <w:tcBorders>
              <w:top w:val="nil"/>
              <w:left w:val="nil"/>
              <w:bottom w:val="single" w:sz="8" w:space="0" w:color="auto"/>
              <w:right w:val="single" w:sz="8" w:space="0" w:color="auto"/>
            </w:tcBorders>
            <w:shd w:val="clear" w:color="auto" w:fill="auto"/>
            <w:noWrap/>
            <w:vAlign w:val="bottom"/>
            <w:hideMark/>
          </w:tcPr>
          <w:p w14:paraId="265DD56B" w14:textId="0E7C68DC" w:rsidR="00DF271D" w:rsidRPr="00C6165A" w:rsidRDefault="00DF271D" w:rsidP="00DF271D">
            <w:pPr>
              <w:jc w:val="center"/>
              <w:rPr>
                <w:sz w:val="20"/>
                <w:szCs w:val="20"/>
                <w:lang w:eastAsia="es-ES"/>
              </w:rPr>
            </w:pPr>
            <w:r>
              <w:rPr>
                <w:rFonts w:ascii="Calibri" w:hAnsi="Calibri" w:cs="Calibri"/>
                <w:color w:val="000000"/>
                <w:sz w:val="22"/>
                <w:szCs w:val="22"/>
              </w:rPr>
              <w:t>-34,02%</w:t>
            </w:r>
          </w:p>
        </w:tc>
      </w:tr>
      <w:tr w:rsidR="00DF271D" w:rsidRPr="00C6165A" w14:paraId="1CF188E5" w14:textId="77777777" w:rsidTr="00D47179">
        <w:trPr>
          <w:trHeight w:val="300"/>
        </w:trPr>
        <w:tc>
          <w:tcPr>
            <w:tcW w:w="1001" w:type="pct"/>
            <w:tcBorders>
              <w:top w:val="nil"/>
              <w:left w:val="single" w:sz="8" w:space="0" w:color="auto"/>
              <w:bottom w:val="single" w:sz="8" w:space="0" w:color="auto"/>
              <w:right w:val="single" w:sz="8" w:space="0" w:color="auto"/>
            </w:tcBorders>
            <w:shd w:val="clear" w:color="auto" w:fill="auto"/>
            <w:noWrap/>
            <w:vAlign w:val="center"/>
            <w:hideMark/>
          </w:tcPr>
          <w:p w14:paraId="0E113AF3" w14:textId="77777777" w:rsidR="00DF271D" w:rsidRPr="00C6165A" w:rsidRDefault="00DF271D" w:rsidP="00DF271D">
            <w:pPr>
              <w:jc w:val="left"/>
              <w:rPr>
                <w:sz w:val="20"/>
                <w:szCs w:val="20"/>
                <w:lang w:eastAsia="es-ES"/>
              </w:rPr>
            </w:pPr>
            <w:r w:rsidRPr="00C6165A">
              <w:rPr>
                <w:sz w:val="20"/>
                <w:szCs w:val="20"/>
                <w:lang w:eastAsia="es-ES"/>
              </w:rPr>
              <w:t>Trigo duro</w:t>
            </w:r>
          </w:p>
        </w:tc>
        <w:tc>
          <w:tcPr>
            <w:tcW w:w="658" w:type="pct"/>
            <w:tcBorders>
              <w:top w:val="nil"/>
              <w:left w:val="nil"/>
              <w:bottom w:val="single" w:sz="8" w:space="0" w:color="auto"/>
              <w:right w:val="single" w:sz="8" w:space="0" w:color="auto"/>
            </w:tcBorders>
            <w:shd w:val="clear" w:color="auto" w:fill="auto"/>
            <w:noWrap/>
            <w:vAlign w:val="bottom"/>
            <w:hideMark/>
          </w:tcPr>
          <w:p w14:paraId="460F330D" w14:textId="1C95C330" w:rsidR="00DF271D" w:rsidRPr="00C6165A" w:rsidRDefault="00DF271D" w:rsidP="00DF271D">
            <w:pPr>
              <w:jc w:val="right"/>
              <w:rPr>
                <w:sz w:val="20"/>
                <w:szCs w:val="20"/>
                <w:lang w:eastAsia="es-ES"/>
              </w:rPr>
            </w:pPr>
            <w:r>
              <w:rPr>
                <w:rFonts w:ascii="Calibri" w:hAnsi="Calibri" w:cs="Calibri"/>
                <w:color w:val="000000"/>
                <w:sz w:val="22"/>
                <w:szCs w:val="22"/>
              </w:rPr>
              <w:t>1.466</w:t>
            </w:r>
          </w:p>
        </w:tc>
        <w:tc>
          <w:tcPr>
            <w:tcW w:w="670" w:type="pct"/>
            <w:tcBorders>
              <w:top w:val="nil"/>
              <w:left w:val="nil"/>
              <w:bottom w:val="single" w:sz="8" w:space="0" w:color="auto"/>
              <w:right w:val="single" w:sz="8" w:space="0" w:color="auto"/>
            </w:tcBorders>
            <w:shd w:val="clear" w:color="auto" w:fill="auto"/>
            <w:noWrap/>
            <w:vAlign w:val="bottom"/>
            <w:hideMark/>
          </w:tcPr>
          <w:p w14:paraId="50264B18" w14:textId="65E88501" w:rsidR="00DF271D" w:rsidRPr="00C6165A" w:rsidRDefault="00DF271D" w:rsidP="00DF271D">
            <w:pPr>
              <w:jc w:val="right"/>
              <w:rPr>
                <w:sz w:val="20"/>
                <w:szCs w:val="20"/>
                <w:lang w:eastAsia="es-ES"/>
              </w:rPr>
            </w:pPr>
            <w:r>
              <w:rPr>
                <w:rFonts w:ascii="Calibri" w:hAnsi="Calibri" w:cs="Calibri"/>
                <w:color w:val="000000"/>
                <w:sz w:val="22"/>
                <w:szCs w:val="22"/>
              </w:rPr>
              <w:t>940</w:t>
            </w:r>
          </w:p>
        </w:tc>
        <w:tc>
          <w:tcPr>
            <w:tcW w:w="656" w:type="pct"/>
            <w:tcBorders>
              <w:top w:val="nil"/>
              <w:left w:val="nil"/>
              <w:bottom w:val="single" w:sz="8" w:space="0" w:color="auto"/>
              <w:right w:val="single" w:sz="8" w:space="0" w:color="auto"/>
            </w:tcBorders>
            <w:shd w:val="clear" w:color="auto" w:fill="auto"/>
            <w:noWrap/>
            <w:vAlign w:val="bottom"/>
            <w:hideMark/>
          </w:tcPr>
          <w:p w14:paraId="681BBB99" w14:textId="48356B0B" w:rsidR="00DF271D" w:rsidRPr="00C6165A" w:rsidRDefault="00DF271D" w:rsidP="00DF271D">
            <w:pPr>
              <w:jc w:val="center"/>
              <w:rPr>
                <w:sz w:val="20"/>
                <w:szCs w:val="20"/>
                <w:lang w:eastAsia="es-ES"/>
              </w:rPr>
            </w:pPr>
            <w:r>
              <w:rPr>
                <w:rFonts w:ascii="Calibri" w:hAnsi="Calibri" w:cs="Calibri"/>
                <w:color w:val="000000"/>
                <w:sz w:val="22"/>
                <w:szCs w:val="22"/>
              </w:rPr>
              <w:t>-35,88%</w:t>
            </w:r>
          </w:p>
        </w:tc>
        <w:tc>
          <w:tcPr>
            <w:tcW w:w="685" w:type="pct"/>
            <w:tcBorders>
              <w:top w:val="nil"/>
              <w:left w:val="nil"/>
              <w:bottom w:val="single" w:sz="8" w:space="0" w:color="auto"/>
              <w:right w:val="single" w:sz="8" w:space="0" w:color="auto"/>
            </w:tcBorders>
            <w:shd w:val="clear" w:color="auto" w:fill="auto"/>
            <w:noWrap/>
            <w:vAlign w:val="bottom"/>
            <w:hideMark/>
          </w:tcPr>
          <w:p w14:paraId="0AF8BB4C" w14:textId="140090EB" w:rsidR="00DF271D" w:rsidRPr="00C6165A" w:rsidRDefault="00DF271D" w:rsidP="00DF271D">
            <w:pPr>
              <w:jc w:val="right"/>
              <w:rPr>
                <w:sz w:val="20"/>
                <w:szCs w:val="20"/>
                <w:lang w:eastAsia="es-ES"/>
              </w:rPr>
            </w:pPr>
            <w:r>
              <w:rPr>
                <w:rFonts w:ascii="Calibri" w:hAnsi="Calibri" w:cs="Calibri"/>
                <w:color w:val="000000"/>
                <w:sz w:val="22"/>
                <w:szCs w:val="22"/>
              </w:rPr>
              <w:t>5.177</w:t>
            </w:r>
          </w:p>
        </w:tc>
        <w:tc>
          <w:tcPr>
            <w:tcW w:w="675" w:type="pct"/>
            <w:tcBorders>
              <w:top w:val="nil"/>
              <w:left w:val="nil"/>
              <w:bottom w:val="single" w:sz="8" w:space="0" w:color="auto"/>
              <w:right w:val="single" w:sz="8" w:space="0" w:color="auto"/>
            </w:tcBorders>
            <w:shd w:val="clear" w:color="auto" w:fill="auto"/>
            <w:noWrap/>
            <w:vAlign w:val="bottom"/>
            <w:hideMark/>
          </w:tcPr>
          <w:p w14:paraId="0335F681" w14:textId="2734E6F4" w:rsidR="00DF271D" w:rsidRPr="00C6165A" w:rsidRDefault="00DF271D" w:rsidP="00DF271D">
            <w:pPr>
              <w:jc w:val="right"/>
              <w:rPr>
                <w:sz w:val="20"/>
                <w:szCs w:val="20"/>
                <w:lang w:eastAsia="es-ES"/>
              </w:rPr>
            </w:pPr>
            <w:r>
              <w:rPr>
                <w:rFonts w:ascii="Calibri" w:hAnsi="Calibri" w:cs="Calibri"/>
                <w:color w:val="000000"/>
                <w:sz w:val="22"/>
                <w:szCs w:val="22"/>
              </w:rPr>
              <w:t>2.655</w:t>
            </w:r>
          </w:p>
        </w:tc>
        <w:tc>
          <w:tcPr>
            <w:tcW w:w="656" w:type="pct"/>
            <w:tcBorders>
              <w:top w:val="nil"/>
              <w:left w:val="nil"/>
              <w:bottom w:val="single" w:sz="8" w:space="0" w:color="auto"/>
              <w:right w:val="single" w:sz="8" w:space="0" w:color="auto"/>
            </w:tcBorders>
            <w:shd w:val="clear" w:color="auto" w:fill="auto"/>
            <w:noWrap/>
            <w:vAlign w:val="bottom"/>
            <w:hideMark/>
          </w:tcPr>
          <w:p w14:paraId="483E6690" w14:textId="40706C03" w:rsidR="00DF271D" w:rsidRPr="00C6165A" w:rsidRDefault="00DF271D" w:rsidP="00DF271D">
            <w:pPr>
              <w:jc w:val="center"/>
              <w:rPr>
                <w:sz w:val="20"/>
                <w:szCs w:val="20"/>
                <w:lang w:eastAsia="es-ES"/>
              </w:rPr>
            </w:pPr>
            <w:r>
              <w:rPr>
                <w:rFonts w:ascii="Calibri" w:hAnsi="Calibri" w:cs="Calibri"/>
                <w:color w:val="000000"/>
                <w:sz w:val="22"/>
                <w:szCs w:val="22"/>
              </w:rPr>
              <w:t>-48,72%</w:t>
            </w:r>
          </w:p>
        </w:tc>
      </w:tr>
      <w:tr w:rsidR="00DF271D" w:rsidRPr="00C6165A" w14:paraId="0E241729" w14:textId="77777777" w:rsidTr="00D47179">
        <w:trPr>
          <w:trHeight w:val="300"/>
        </w:trPr>
        <w:tc>
          <w:tcPr>
            <w:tcW w:w="1001" w:type="pct"/>
            <w:tcBorders>
              <w:top w:val="nil"/>
              <w:left w:val="single" w:sz="8" w:space="0" w:color="auto"/>
              <w:bottom w:val="single" w:sz="8" w:space="0" w:color="auto"/>
              <w:right w:val="single" w:sz="8" w:space="0" w:color="auto"/>
            </w:tcBorders>
            <w:shd w:val="clear" w:color="auto" w:fill="auto"/>
            <w:noWrap/>
            <w:vAlign w:val="center"/>
            <w:hideMark/>
          </w:tcPr>
          <w:p w14:paraId="791D76DB" w14:textId="77777777" w:rsidR="00DF271D" w:rsidRPr="00C6165A" w:rsidRDefault="00DF271D" w:rsidP="00DF271D">
            <w:pPr>
              <w:jc w:val="left"/>
              <w:rPr>
                <w:b/>
                <w:bCs/>
                <w:i/>
                <w:iCs/>
                <w:sz w:val="20"/>
                <w:szCs w:val="20"/>
                <w:lang w:eastAsia="es-ES"/>
              </w:rPr>
            </w:pPr>
            <w:r w:rsidRPr="00C6165A">
              <w:rPr>
                <w:b/>
                <w:bCs/>
                <w:i/>
                <w:iCs/>
                <w:sz w:val="20"/>
                <w:szCs w:val="20"/>
                <w:lang w:eastAsia="es-ES"/>
              </w:rPr>
              <w:t>Trigo total</w:t>
            </w:r>
          </w:p>
        </w:tc>
        <w:tc>
          <w:tcPr>
            <w:tcW w:w="658" w:type="pct"/>
            <w:tcBorders>
              <w:top w:val="nil"/>
              <w:left w:val="nil"/>
              <w:bottom w:val="single" w:sz="8" w:space="0" w:color="auto"/>
              <w:right w:val="single" w:sz="8" w:space="0" w:color="auto"/>
            </w:tcBorders>
            <w:shd w:val="clear" w:color="auto" w:fill="auto"/>
            <w:noWrap/>
            <w:vAlign w:val="bottom"/>
            <w:hideMark/>
          </w:tcPr>
          <w:p w14:paraId="7A659C34" w14:textId="0B246179" w:rsidR="00DF271D" w:rsidRPr="00C6165A" w:rsidRDefault="00DF271D" w:rsidP="00DF271D">
            <w:pPr>
              <w:jc w:val="right"/>
              <w:rPr>
                <w:b/>
                <w:bCs/>
                <w:i/>
                <w:iCs/>
                <w:sz w:val="20"/>
                <w:szCs w:val="20"/>
                <w:lang w:eastAsia="es-ES"/>
              </w:rPr>
            </w:pPr>
            <w:r>
              <w:rPr>
                <w:rFonts w:ascii="Calibri" w:hAnsi="Calibri" w:cs="Calibri"/>
                <w:b/>
                <w:bCs/>
                <w:i/>
                <w:iCs/>
                <w:color w:val="000000"/>
                <w:sz w:val="22"/>
                <w:szCs w:val="22"/>
              </w:rPr>
              <w:t>895.571</w:t>
            </w:r>
          </w:p>
        </w:tc>
        <w:tc>
          <w:tcPr>
            <w:tcW w:w="670" w:type="pct"/>
            <w:tcBorders>
              <w:top w:val="nil"/>
              <w:left w:val="nil"/>
              <w:bottom w:val="single" w:sz="8" w:space="0" w:color="auto"/>
              <w:right w:val="single" w:sz="8" w:space="0" w:color="auto"/>
            </w:tcBorders>
            <w:shd w:val="clear" w:color="auto" w:fill="auto"/>
            <w:noWrap/>
            <w:vAlign w:val="bottom"/>
            <w:hideMark/>
          </w:tcPr>
          <w:p w14:paraId="27265F6B" w14:textId="02EE0012" w:rsidR="00DF271D" w:rsidRPr="00C6165A" w:rsidRDefault="00DF271D" w:rsidP="00DF271D">
            <w:pPr>
              <w:jc w:val="right"/>
              <w:rPr>
                <w:b/>
                <w:bCs/>
                <w:i/>
                <w:iCs/>
                <w:sz w:val="20"/>
                <w:szCs w:val="20"/>
                <w:lang w:eastAsia="es-ES"/>
              </w:rPr>
            </w:pPr>
            <w:r>
              <w:rPr>
                <w:rFonts w:ascii="Calibri" w:hAnsi="Calibri" w:cs="Calibri"/>
                <w:b/>
                <w:bCs/>
                <w:i/>
                <w:iCs/>
                <w:color w:val="000000"/>
                <w:sz w:val="22"/>
                <w:szCs w:val="22"/>
              </w:rPr>
              <w:t>753.695</w:t>
            </w:r>
          </w:p>
        </w:tc>
        <w:tc>
          <w:tcPr>
            <w:tcW w:w="656" w:type="pct"/>
            <w:tcBorders>
              <w:top w:val="nil"/>
              <w:left w:val="nil"/>
              <w:bottom w:val="single" w:sz="8" w:space="0" w:color="auto"/>
              <w:right w:val="single" w:sz="8" w:space="0" w:color="auto"/>
            </w:tcBorders>
            <w:shd w:val="clear" w:color="auto" w:fill="auto"/>
            <w:noWrap/>
            <w:vAlign w:val="bottom"/>
            <w:hideMark/>
          </w:tcPr>
          <w:p w14:paraId="06274E56" w14:textId="39F84C87" w:rsidR="00DF271D" w:rsidRPr="00C6165A" w:rsidRDefault="00DF271D" w:rsidP="00DF271D">
            <w:pPr>
              <w:jc w:val="center"/>
              <w:rPr>
                <w:b/>
                <w:bCs/>
                <w:i/>
                <w:iCs/>
                <w:sz w:val="20"/>
                <w:szCs w:val="20"/>
                <w:lang w:eastAsia="es-ES"/>
              </w:rPr>
            </w:pPr>
            <w:r>
              <w:rPr>
                <w:rFonts w:ascii="Calibri" w:hAnsi="Calibri" w:cs="Calibri"/>
                <w:b/>
                <w:bCs/>
                <w:color w:val="000000"/>
                <w:sz w:val="22"/>
                <w:szCs w:val="22"/>
              </w:rPr>
              <w:t>-15,84%</w:t>
            </w:r>
          </w:p>
        </w:tc>
        <w:tc>
          <w:tcPr>
            <w:tcW w:w="685" w:type="pct"/>
            <w:tcBorders>
              <w:top w:val="nil"/>
              <w:left w:val="nil"/>
              <w:bottom w:val="single" w:sz="8" w:space="0" w:color="auto"/>
              <w:right w:val="single" w:sz="8" w:space="0" w:color="auto"/>
            </w:tcBorders>
            <w:shd w:val="clear" w:color="auto" w:fill="auto"/>
            <w:noWrap/>
            <w:vAlign w:val="bottom"/>
            <w:hideMark/>
          </w:tcPr>
          <w:p w14:paraId="2CF4F124" w14:textId="161F8F2F" w:rsidR="00DF271D" w:rsidRPr="00C6165A" w:rsidRDefault="00DF271D" w:rsidP="00DF271D">
            <w:pPr>
              <w:jc w:val="right"/>
              <w:rPr>
                <w:b/>
                <w:bCs/>
                <w:i/>
                <w:iCs/>
                <w:sz w:val="20"/>
                <w:szCs w:val="20"/>
                <w:lang w:eastAsia="es-ES"/>
              </w:rPr>
            </w:pPr>
            <w:r>
              <w:rPr>
                <w:rFonts w:ascii="Calibri" w:hAnsi="Calibri" w:cs="Calibri"/>
                <w:b/>
                <w:bCs/>
                <w:i/>
                <w:iCs/>
                <w:color w:val="000000"/>
                <w:sz w:val="22"/>
                <w:szCs w:val="22"/>
              </w:rPr>
              <w:t>2.636.326</w:t>
            </w:r>
          </w:p>
        </w:tc>
        <w:tc>
          <w:tcPr>
            <w:tcW w:w="675" w:type="pct"/>
            <w:tcBorders>
              <w:top w:val="nil"/>
              <w:left w:val="nil"/>
              <w:bottom w:val="single" w:sz="8" w:space="0" w:color="auto"/>
              <w:right w:val="single" w:sz="8" w:space="0" w:color="auto"/>
            </w:tcBorders>
            <w:shd w:val="clear" w:color="auto" w:fill="auto"/>
            <w:noWrap/>
            <w:vAlign w:val="bottom"/>
            <w:hideMark/>
          </w:tcPr>
          <w:p w14:paraId="4BD3B8E3" w14:textId="3F3A9919" w:rsidR="00DF271D" w:rsidRPr="00C6165A" w:rsidRDefault="00DF271D" w:rsidP="00DF271D">
            <w:pPr>
              <w:jc w:val="right"/>
              <w:rPr>
                <w:b/>
                <w:bCs/>
                <w:i/>
                <w:iCs/>
                <w:sz w:val="20"/>
                <w:szCs w:val="20"/>
                <w:lang w:eastAsia="es-ES"/>
              </w:rPr>
            </w:pPr>
            <w:r>
              <w:rPr>
                <w:rFonts w:ascii="Calibri" w:hAnsi="Calibri" w:cs="Calibri"/>
                <w:b/>
                <w:bCs/>
                <w:i/>
                <w:iCs/>
                <w:color w:val="000000"/>
                <w:sz w:val="22"/>
                <w:szCs w:val="22"/>
              </w:rPr>
              <w:t>1.738.724</w:t>
            </w:r>
          </w:p>
        </w:tc>
        <w:tc>
          <w:tcPr>
            <w:tcW w:w="656" w:type="pct"/>
            <w:tcBorders>
              <w:top w:val="nil"/>
              <w:left w:val="nil"/>
              <w:bottom w:val="single" w:sz="8" w:space="0" w:color="auto"/>
              <w:right w:val="single" w:sz="8" w:space="0" w:color="auto"/>
            </w:tcBorders>
            <w:shd w:val="clear" w:color="auto" w:fill="auto"/>
            <w:noWrap/>
            <w:vAlign w:val="bottom"/>
            <w:hideMark/>
          </w:tcPr>
          <w:p w14:paraId="1468A8E5" w14:textId="745FD82E" w:rsidR="00DF271D" w:rsidRPr="00C6165A" w:rsidRDefault="00DF271D" w:rsidP="00DF271D">
            <w:pPr>
              <w:jc w:val="center"/>
              <w:rPr>
                <w:b/>
                <w:bCs/>
                <w:i/>
                <w:iCs/>
                <w:sz w:val="20"/>
                <w:szCs w:val="20"/>
                <w:lang w:eastAsia="es-ES"/>
              </w:rPr>
            </w:pPr>
            <w:r>
              <w:rPr>
                <w:rFonts w:ascii="Calibri" w:hAnsi="Calibri" w:cs="Calibri"/>
                <w:b/>
                <w:bCs/>
                <w:color w:val="000000"/>
                <w:sz w:val="22"/>
                <w:szCs w:val="22"/>
              </w:rPr>
              <w:t>-34,05%</w:t>
            </w:r>
          </w:p>
        </w:tc>
      </w:tr>
      <w:tr w:rsidR="00DF271D" w:rsidRPr="00C6165A" w14:paraId="2CA7AFAA" w14:textId="77777777" w:rsidTr="00D47179">
        <w:trPr>
          <w:trHeight w:val="300"/>
        </w:trPr>
        <w:tc>
          <w:tcPr>
            <w:tcW w:w="1001" w:type="pct"/>
            <w:tcBorders>
              <w:top w:val="nil"/>
              <w:left w:val="single" w:sz="8" w:space="0" w:color="auto"/>
              <w:bottom w:val="single" w:sz="8" w:space="0" w:color="auto"/>
              <w:right w:val="single" w:sz="8" w:space="0" w:color="auto"/>
            </w:tcBorders>
            <w:shd w:val="clear" w:color="auto" w:fill="auto"/>
            <w:noWrap/>
            <w:vAlign w:val="center"/>
            <w:hideMark/>
          </w:tcPr>
          <w:p w14:paraId="19993BB1" w14:textId="77777777" w:rsidR="00DF271D" w:rsidRPr="00C6165A" w:rsidRDefault="00DF271D" w:rsidP="00DF271D">
            <w:pPr>
              <w:jc w:val="left"/>
              <w:rPr>
                <w:sz w:val="20"/>
                <w:szCs w:val="20"/>
                <w:lang w:eastAsia="es-ES"/>
              </w:rPr>
            </w:pPr>
            <w:r w:rsidRPr="00C6165A">
              <w:rPr>
                <w:sz w:val="20"/>
                <w:szCs w:val="20"/>
                <w:lang w:eastAsia="es-ES"/>
              </w:rPr>
              <w:t>Cebada</w:t>
            </w:r>
          </w:p>
        </w:tc>
        <w:tc>
          <w:tcPr>
            <w:tcW w:w="658" w:type="pct"/>
            <w:tcBorders>
              <w:top w:val="nil"/>
              <w:left w:val="nil"/>
              <w:bottom w:val="single" w:sz="8" w:space="0" w:color="auto"/>
              <w:right w:val="single" w:sz="8" w:space="0" w:color="auto"/>
            </w:tcBorders>
            <w:shd w:val="clear" w:color="auto" w:fill="auto"/>
            <w:noWrap/>
            <w:vAlign w:val="bottom"/>
            <w:hideMark/>
          </w:tcPr>
          <w:p w14:paraId="2693A6D5" w14:textId="6585B36E" w:rsidR="00DF271D" w:rsidRPr="00C6165A" w:rsidRDefault="00DF271D" w:rsidP="00DF271D">
            <w:pPr>
              <w:jc w:val="right"/>
              <w:rPr>
                <w:sz w:val="20"/>
                <w:szCs w:val="20"/>
                <w:lang w:eastAsia="es-ES"/>
              </w:rPr>
            </w:pPr>
            <w:r>
              <w:rPr>
                <w:rFonts w:ascii="Calibri" w:hAnsi="Calibri" w:cs="Calibri"/>
                <w:color w:val="000000"/>
                <w:sz w:val="22"/>
                <w:szCs w:val="22"/>
              </w:rPr>
              <w:t>746.799</w:t>
            </w:r>
          </w:p>
        </w:tc>
        <w:tc>
          <w:tcPr>
            <w:tcW w:w="670" w:type="pct"/>
            <w:tcBorders>
              <w:top w:val="nil"/>
              <w:left w:val="nil"/>
              <w:bottom w:val="single" w:sz="8" w:space="0" w:color="auto"/>
              <w:right w:val="single" w:sz="8" w:space="0" w:color="auto"/>
            </w:tcBorders>
            <w:shd w:val="clear" w:color="auto" w:fill="auto"/>
            <w:noWrap/>
            <w:vAlign w:val="bottom"/>
            <w:hideMark/>
          </w:tcPr>
          <w:p w14:paraId="0973EF55" w14:textId="4963A132" w:rsidR="00DF271D" w:rsidRPr="00C6165A" w:rsidRDefault="00DF271D" w:rsidP="00DF271D">
            <w:pPr>
              <w:jc w:val="right"/>
              <w:rPr>
                <w:sz w:val="20"/>
                <w:szCs w:val="20"/>
                <w:lang w:eastAsia="es-ES"/>
              </w:rPr>
            </w:pPr>
            <w:r>
              <w:rPr>
                <w:rFonts w:ascii="Calibri" w:hAnsi="Calibri" w:cs="Calibri"/>
                <w:color w:val="000000"/>
                <w:sz w:val="22"/>
                <w:szCs w:val="22"/>
              </w:rPr>
              <w:t>704.883</w:t>
            </w:r>
          </w:p>
        </w:tc>
        <w:tc>
          <w:tcPr>
            <w:tcW w:w="656" w:type="pct"/>
            <w:tcBorders>
              <w:top w:val="nil"/>
              <w:left w:val="nil"/>
              <w:bottom w:val="single" w:sz="8" w:space="0" w:color="auto"/>
              <w:right w:val="single" w:sz="8" w:space="0" w:color="auto"/>
            </w:tcBorders>
            <w:shd w:val="clear" w:color="auto" w:fill="auto"/>
            <w:noWrap/>
            <w:vAlign w:val="bottom"/>
            <w:hideMark/>
          </w:tcPr>
          <w:p w14:paraId="3FB13AF7" w14:textId="4035F474" w:rsidR="00DF271D" w:rsidRPr="00C6165A" w:rsidRDefault="00DF271D" w:rsidP="00DF271D">
            <w:pPr>
              <w:jc w:val="center"/>
              <w:rPr>
                <w:sz w:val="20"/>
                <w:szCs w:val="20"/>
                <w:lang w:eastAsia="es-ES"/>
              </w:rPr>
            </w:pPr>
            <w:r>
              <w:rPr>
                <w:rFonts w:ascii="Calibri" w:hAnsi="Calibri" w:cs="Calibri"/>
                <w:color w:val="000000"/>
                <w:sz w:val="22"/>
                <w:szCs w:val="22"/>
              </w:rPr>
              <w:t>-5,61%</w:t>
            </w:r>
          </w:p>
        </w:tc>
        <w:tc>
          <w:tcPr>
            <w:tcW w:w="685" w:type="pct"/>
            <w:tcBorders>
              <w:top w:val="nil"/>
              <w:left w:val="nil"/>
              <w:bottom w:val="single" w:sz="8" w:space="0" w:color="auto"/>
              <w:right w:val="single" w:sz="8" w:space="0" w:color="auto"/>
            </w:tcBorders>
            <w:shd w:val="clear" w:color="auto" w:fill="auto"/>
            <w:noWrap/>
            <w:vAlign w:val="bottom"/>
            <w:hideMark/>
          </w:tcPr>
          <w:p w14:paraId="0D2FDA38" w14:textId="2F84488C" w:rsidR="00DF271D" w:rsidRPr="00C6165A" w:rsidRDefault="00DF271D" w:rsidP="00DF271D">
            <w:pPr>
              <w:jc w:val="right"/>
              <w:rPr>
                <w:sz w:val="20"/>
                <w:szCs w:val="20"/>
                <w:lang w:eastAsia="es-ES"/>
              </w:rPr>
            </w:pPr>
            <w:r>
              <w:rPr>
                <w:rFonts w:ascii="Calibri" w:hAnsi="Calibri" w:cs="Calibri"/>
                <w:color w:val="000000"/>
                <w:sz w:val="22"/>
                <w:szCs w:val="22"/>
              </w:rPr>
              <w:t>2.172.972</w:t>
            </w:r>
          </w:p>
        </w:tc>
        <w:tc>
          <w:tcPr>
            <w:tcW w:w="675" w:type="pct"/>
            <w:tcBorders>
              <w:top w:val="nil"/>
              <w:left w:val="nil"/>
              <w:bottom w:val="single" w:sz="8" w:space="0" w:color="auto"/>
              <w:right w:val="single" w:sz="8" w:space="0" w:color="auto"/>
            </w:tcBorders>
            <w:shd w:val="clear" w:color="auto" w:fill="auto"/>
            <w:noWrap/>
            <w:vAlign w:val="bottom"/>
            <w:hideMark/>
          </w:tcPr>
          <w:p w14:paraId="7FD34A91" w14:textId="2C024FCC" w:rsidR="00DF271D" w:rsidRPr="00C6165A" w:rsidRDefault="00DF271D" w:rsidP="00DF271D">
            <w:pPr>
              <w:jc w:val="right"/>
              <w:rPr>
                <w:sz w:val="20"/>
                <w:szCs w:val="20"/>
                <w:lang w:eastAsia="es-ES"/>
              </w:rPr>
            </w:pPr>
            <w:r>
              <w:rPr>
                <w:rFonts w:ascii="Calibri" w:hAnsi="Calibri" w:cs="Calibri"/>
                <w:color w:val="000000"/>
                <w:sz w:val="22"/>
                <w:szCs w:val="22"/>
              </w:rPr>
              <w:t>1.378.730</w:t>
            </w:r>
          </w:p>
        </w:tc>
        <w:tc>
          <w:tcPr>
            <w:tcW w:w="656" w:type="pct"/>
            <w:tcBorders>
              <w:top w:val="nil"/>
              <w:left w:val="nil"/>
              <w:bottom w:val="single" w:sz="8" w:space="0" w:color="auto"/>
              <w:right w:val="single" w:sz="8" w:space="0" w:color="auto"/>
            </w:tcBorders>
            <w:shd w:val="clear" w:color="auto" w:fill="auto"/>
            <w:noWrap/>
            <w:vAlign w:val="bottom"/>
            <w:hideMark/>
          </w:tcPr>
          <w:p w14:paraId="67E08DAA" w14:textId="1A984005" w:rsidR="00DF271D" w:rsidRPr="00C6165A" w:rsidRDefault="00DF271D" w:rsidP="00DF271D">
            <w:pPr>
              <w:jc w:val="center"/>
              <w:rPr>
                <w:sz w:val="20"/>
                <w:szCs w:val="20"/>
                <w:lang w:eastAsia="es-ES"/>
              </w:rPr>
            </w:pPr>
            <w:r>
              <w:rPr>
                <w:rFonts w:ascii="Calibri" w:hAnsi="Calibri" w:cs="Calibri"/>
                <w:color w:val="000000"/>
                <w:sz w:val="22"/>
                <w:szCs w:val="22"/>
              </w:rPr>
              <w:t>-36,55%</w:t>
            </w:r>
          </w:p>
        </w:tc>
      </w:tr>
      <w:tr w:rsidR="00DF271D" w:rsidRPr="00C6165A" w14:paraId="54106208" w14:textId="77777777" w:rsidTr="00D47179">
        <w:trPr>
          <w:trHeight w:val="300"/>
        </w:trPr>
        <w:tc>
          <w:tcPr>
            <w:tcW w:w="1001" w:type="pct"/>
            <w:tcBorders>
              <w:top w:val="nil"/>
              <w:left w:val="single" w:sz="8" w:space="0" w:color="auto"/>
              <w:bottom w:val="single" w:sz="8" w:space="0" w:color="auto"/>
              <w:right w:val="single" w:sz="8" w:space="0" w:color="auto"/>
            </w:tcBorders>
            <w:shd w:val="clear" w:color="auto" w:fill="auto"/>
            <w:noWrap/>
            <w:vAlign w:val="center"/>
            <w:hideMark/>
          </w:tcPr>
          <w:p w14:paraId="380ADEBB" w14:textId="77777777" w:rsidR="00DF271D" w:rsidRPr="00C6165A" w:rsidRDefault="00DF271D" w:rsidP="00DF271D">
            <w:pPr>
              <w:jc w:val="left"/>
              <w:rPr>
                <w:sz w:val="20"/>
                <w:szCs w:val="20"/>
                <w:lang w:eastAsia="es-ES"/>
              </w:rPr>
            </w:pPr>
            <w:r w:rsidRPr="00C6165A">
              <w:rPr>
                <w:sz w:val="20"/>
                <w:szCs w:val="20"/>
                <w:lang w:eastAsia="es-ES"/>
              </w:rPr>
              <w:t>Avena</w:t>
            </w:r>
          </w:p>
        </w:tc>
        <w:tc>
          <w:tcPr>
            <w:tcW w:w="658" w:type="pct"/>
            <w:tcBorders>
              <w:top w:val="nil"/>
              <w:left w:val="nil"/>
              <w:bottom w:val="single" w:sz="8" w:space="0" w:color="auto"/>
              <w:right w:val="single" w:sz="8" w:space="0" w:color="auto"/>
            </w:tcBorders>
            <w:shd w:val="clear" w:color="auto" w:fill="auto"/>
            <w:noWrap/>
            <w:vAlign w:val="bottom"/>
            <w:hideMark/>
          </w:tcPr>
          <w:p w14:paraId="140F7AD6" w14:textId="3C11C1A2" w:rsidR="00DF271D" w:rsidRPr="00C6165A" w:rsidRDefault="00DF271D" w:rsidP="00DF271D">
            <w:pPr>
              <w:jc w:val="right"/>
              <w:rPr>
                <w:sz w:val="20"/>
                <w:szCs w:val="20"/>
                <w:lang w:eastAsia="es-ES"/>
              </w:rPr>
            </w:pPr>
            <w:r>
              <w:rPr>
                <w:rFonts w:ascii="Calibri" w:hAnsi="Calibri" w:cs="Calibri"/>
                <w:color w:val="000000"/>
                <w:sz w:val="22"/>
                <w:szCs w:val="22"/>
              </w:rPr>
              <w:t>68.035</w:t>
            </w:r>
          </w:p>
        </w:tc>
        <w:tc>
          <w:tcPr>
            <w:tcW w:w="670" w:type="pct"/>
            <w:tcBorders>
              <w:top w:val="nil"/>
              <w:left w:val="nil"/>
              <w:bottom w:val="single" w:sz="8" w:space="0" w:color="auto"/>
              <w:right w:val="single" w:sz="8" w:space="0" w:color="auto"/>
            </w:tcBorders>
            <w:shd w:val="clear" w:color="auto" w:fill="auto"/>
            <w:noWrap/>
            <w:vAlign w:val="bottom"/>
            <w:hideMark/>
          </w:tcPr>
          <w:p w14:paraId="30E8217C" w14:textId="3F5B7AC4" w:rsidR="00DF271D" w:rsidRPr="00C6165A" w:rsidRDefault="00DF271D" w:rsidP="00DF271D">
            <w:pPr>
              <w:jc w:val="right"/>
              <w:rPr>
                <w:sz w:val="20"/>
                <w:szCs w:val="20"/>
                <w:lang w:eastAsia="es-ES"/>
              </w:rPr>
            </w:pPr>
            <w:r>
              <w:rPr>
                <w:rFonts w:ascii="Calibri" w:hAnsi="Calibri" w:cs="Calibri"/>
                <w:color w:val="000000"/>
                <w:sz w:val="22"/>
                <w:szCs w:val="22"/>
              </w:rPr>
              <w:t>67.043</w:t>
            </w:r>
          </w:p>
        </w:tc>
        <w:tc>
          <w:tcPr>
            <w:tcW w:w="656" w:type="pct"/>
            <w:tcBorders>
              <w:top w:val="nil"/>
              <w:left w:val="nil"/>
              <w:bottom w:val="single" w:sz="8" w:space="0" w:color="auto"/>
              <w:right w:val="single" w:sz="8" w:space="0" w:color="auto"/>
            </w:tcBorders>
            <w:shd w:val="clear" w:color="auto" w:fill="auto"/>
            <w:noWrap/>
            <w:vAlign w:val="bottom"/>
            <w:hideMark/>
          </w:tcPr>
          <w:p w14:paraId="54595F4C" w14:textId="0AC8C1CB" w:rsidR="00DF271D" w:rsidRPr="00C6165A" w:rsidRDefault="00DF271D" w:rsidP="00DF271D">
            <w:pPr>
              <w:jc w:val="center"/>
              <w:rPr>
                <w:sz w:val="20"/>
                <w:szCs w:val="20"/>
                <w:lang w:eastAsia="es-ES"/>
              </w:rPr>
            </w:pPr>
            <w:r>
              <w:rPr>
                <w:rFonts w:ascii="Calibri" w:hAnsi="Calibri" w:cs="Calibri"/>
                <w:color w:val="000000"/>
                <w:sz w:val="22"/>
                <w:szCs w:val="22"/>
              </w:rPr>
              <w:t>-1,46%</w:t>
            </w:r>
          </w:p>
        </w:tc>
        <w:tc>
          <w:tcPr>
            <w:tcW w:w="685" w:type="pct"/>
            <w:tcBorders>
              <w:top w:val="nil"/>
              <w:left w:val="nil"/>
              <w:bottom w:val="single" w:sz="8" w:space="0" w:color="auto"/>
              <w:right w:val="single" w:sz="8" w:space="0" w:color="auto"/>
            </w:tcBorders>
            <w:shd w:val="clear" w:color="auto" w:fill="auto"/>
            <w:noWrap/>
            <w:vAlign w:val="bottom"/>
            <w:hideMark/>
          </w:tcPr>
          <w:p w14:paraId="03A9CADE" w14:textId="78FEFD16" w:rsidR="00DF271D" w:rsidRPr="00C6165A" w:rsidRDefault="00DF271D" w:rsidP="00DF271D">
            <w:pPr>
              <w:jc w:val="right"/>
              <w:rPr>
                <w:sz w:val="20"/>
                <w:szCs w:val="20"/>
                <w:lang w:eastAsia="es-ES"/>
              </w:rPr>
            </w:pPr>
            <w:r>
              <w:rPr>
                <w:rFonts w:ascii="Calibri" w:hAnsi="Calibri" w:cs="Calibri"/>
                <w:color w:val="000000"/>
                <w:sz w:val="22"/>
                <w:szCs w:val="22"/>
              </w:rPr>
              <w:t>140.129</w:t>
            </w:r>
          </w:p>
        </w:tc>
        <w:tc>
          <w:tcPr>
            <w:tcW w:w="675" w:type="pct"/>
            <w:tcBorders>
              <w:top w:val="nil"/>
              <w:left w:val="nil"/>
              <w:bottom w:val="single" w:sz="8" w:space="0" w:color="auto"/>
              <w:right w:val="single" w:sz="8" w:space="0" w:color="auto"/>
            </w:tcBorders>
            <w:shd w:val="clear" w:color="auto" w:fill="auto"/>
            <w:noWrap/>
            <w:vAlign w:val="bottom"/>
            <w:hideMark/>
          </w:tcPr>
          <w:p w14:paraId="23D85B7A" w14:textId="5B9C7B12" w:rsidR="00DF271D" w:rsidRPr="00C6165A" w:rsidRDefault="00DF271D" w:rsidP="00DF271D">
            <w:pPr>
              <w:jc w:val="right"/>
              <w:rPr>
                <w:sz w:val="20"/>
                <w:szCs w:val="20"/>
                <w:lang w:eastAsia="es-ES"/>
              </w:rPr>
            </w:pPr>
            <w:r>
              <w:rPr>
                <w:rFonts w:ascii="Calibri" w:hAnsi="Calibri" w:cs="Calibri"/>
                <w:color w:val="000000"/>
                <w:sz w:val="22"/>
                <w:szCs w:val="22"/>
              </w:rPr>
              <w:t>115.475</w:t>
            </w:r>
          </w:p>
        </w:tc>
        <w:tc>
          <w:tcPr>
            <w:tcW w:w="656" w:type="pct"/>
            <w:tcBorders>
              <w:top w:val="nil"/>
              <w:left w:val="nil"/>
              <w:bottom w:val="single" w:sz="8" w:space="0" w:color="auto"/>
              <w:right w:val="single" w:sz="8" w:space="0" w:color="auto"/>
            </w:tcBorders>
            <w:shd w:val="clear" w:color="auto" w:fill="auto"/>
            <w:noWrap/>
            <w:vAlign w:val="bottom"/>
            <w:hideMark/>
          </w:tcPr>
          <w:p w14:paraId="3E3A0CF8" w14:textId="794B9D5D" w:rsidR="00DF271D" w:rsidRPr="00C6165A" w:rsidRDefault="00DF271D" w:rsidP="00DF271D">
            <w:pPr>
              <w:jc w:val="center"/>
              <w:rPr>
                <w:sz w:val="20"/>
                <w:szCs w:val="20"/>
                <w:lang w:eastAsia="es-ES"/>
              </w:rPr>
            </w:pPr>
            <w:r>
              <w:rPr>
                <w:rFonts w:ascii="Calibri" w:hAnsi="Calibri" w:cs="Calibri"/>
                <w:color w:val="000000"/>
                <w:sz w:val="22"/>
                <w:szCs w:val="22"/>
              </w:rPr>
              <w:t>-17,59%</w:t>
            </w:r>
          </w:p>
        </w:tc>
      </w:tr>
      <w:tr w:rsidR="00DF271D" w:rsidRPr="00C6165A" w14:paraId="6F15B800" w14:textId="77777777" w:rsidTr="00D47179">
        <w:trPr>
          <w:trHeight w:val="300"/>
        </w:trPr>
        <w:tc>
          <w:tcPr>
            <w:tcW w:w="1001" w:type="pct"/>
            <w:tcBorders>
              <w:top w:val="nil"/>
              <w:left w:val="single" w:sz="8" w:space="0" w:color="auto"/>
              <w:bottom w:val="single" w:sz="8" w:space="0" w:color="auto"/>
              <w:right w:val="single" w:sz="8" w:space="0" w:color="auto"/>
            </w:tcBorders>
            <w:shd w:val="clear" w:color="auto" w:fill="auto"/>
            <w:noWrap/>
            <w:vAlign w:val="center"/>
            <w:hideMark/>
          </w:tcPr>
          <w:p w14:paraId="138DA1E1" w14:textId="77777777" w:rsidR="00DF271D" w:rsidRPr="00C6165A" w:rsidRDefault="00DF271D" w:rsidP="00DF271D">
            <w:pPr>
              <w:jc w:val="left"/>
              <w:rPr>
                <w:sz w:val="20"/>
                <w:szCs w:val="20"/>
                <w:lang w:eastAsia="es-ES"/>
              </w:rPr>
            </w:pPr>
            <w:r w:rsidRPr="00C6165A">
              <w:rPr>
                <w:sz w:val="20"/>
                <w:szCs w:val="20"/>
                <w:lang w:eastAsia="es-ES"/>
              </w:rPr>
              <w:t>Centeno</w:t>
            </w:r>
          </w:p>
        </w:tc>
        <w:tc>
          <w:tcPr>
            <w:tcW w:w="658" w:type="pct"/>
            <w:tcBorders>
              <w:top w:val="nil"/>
              <w:left w:val="nil"/>
              <w:bottom w:val="single" w:sz="8" w:space="0" w:color="auto"/>
              <w:right w:val="single" w:sz="8" w:space="0" w:color="auto"/>
            </w:tcBorders>
            <w:shd w:val="clear" w:color="auto" w:fill="auto"/>
            <w:noWrap/>
            <w:vAlign w:val="bottom"/>
            <w:hideMark/>
          </w:tcPr>
          <w:p w14:paraId="3B87E777" w14:textId="0EC39961" w:rsidR="00DF271D" w:rsidRPr="00C6165A" w:rsidRDefault="00DF271D" w:rsidP="00DF271D">
            <w:pPr>
              <w:jc w:val="right"/>
              <w:rPr>
                <w:sz w:val="20"/>
                <w:szCs w:val="20"/>
                <w:lang w:eastAsia="es-ES"/>
              </w:rPr>
            </w:pPr>
            <w:r>
              <w:rPr>
                <w:rFonts w:ascii="Calibri" w:hAnsi="Calibri" w:cs="Calibri"/>
                <w:color w:val="000000"/>
                <w:sz w:val="22"/>
                <w:szCs w:val="22"/>
              </w:rPr>
              <w:t>70.941</w:t>
            </w:r>
          </w:p>
        </w:tc>
        <w:tc>
          <w:tcPr>
            <w:tcW w:w="670" w:type="pct"/>
            <w:tcBorders>
              <w:top w:val="nil"/>
              <w:left w:val="nil"/>
              <w:bottom w:val="single" w:sz="8" w:space="0" w:color="auto"/>
              <w:right w:val="single" w:sz="8" w:space="0" w:color="auto"/>
            </w:tcBorders>
            <w:shd w:val="clear" w:color="auto" w:fill="auto"/>
            <w:noWrap/>
            <w:vAlign w:val="bottom"/>
            <w:hideMark/>
          </w:tcPr>
          <w:p w14:paraId="67C798F2" w14:textId="2885483C" w:rsidR="00DF271D" w:rsidRPr="00C6165A" w:rsidRDefault="00DF271D" w:rsidP="00DF271D">
            <w:pPr>
              <w:jc w:val="right"/>
              <w:rPr>
                <w:sz w:val="20"/>
                <w:szCs w:val="20"/>
                <w:lang w:eastAsia="es-ES"/>
              </w:rPr>
            </w:pPr>
            <w:r>
              <w:rPr>
                <w:rFonts w:ascii="Calibri" w:hAnsi="Calibri" w:cs="Calibri"/>
                <w:color w:val="000000"/>
                <w:sz w:val="22"/>
                <w:szCs w:val="22"/>
              </w:rPr>
              <w:t>57.420</w:t>
            </w:r>
          </w:p>
        </w:tc>
        <w:tc>
          <w:tcPr>
            <w:tcW w:w="656" w:type="pct"/>
            <w:tcBorders>
              <w:top w:val="nil"/>
              <w:left w:val="nil"/>
              <w:bottom w:val="single" w:sz="8" w:space="0" w:color="auto"/>
              <w:right w:val="single" w:sz="8" w:space="0" w:color="auto"/>
            </w:tcBorders>
            <w:shd w:val="clear" w:color="auto" w:fill="auto"/>
            <w:noWrap/>
            <w:vAlign w:val="bottom"/>
            <w:hideMark/>
          </w:tcPr>
          <w:p w14:paraId="6F435826" w14:textId="1EB4EE6D" w:rsidR="00DF271D" w:rsidRPr="00C6165A" w:rsidRDefault="00DF271D" w:rsidP="00DF271D">
            <w:pPr>
              <w:jc w:val="center"/>
              <w:rPr>
                <w:sz w:val="20"/>
                <w:szCs w:val="20"/>
                <w:lang w:eastAsia="es-ES"/>
              </w:rPr>
            </w:pPr>
            <w:r>
              <w:rPr>
                <w:rFonts w:ascii="Calibri" w:hAnsi="Calibri" w:cs="Calibri"/>
                <w:color w:val="000000"/>
                <w:sz w:val="22"/>
                <w:szCs w:val="22"/>
              </w:rPr>
              <w:t>-19,06%</w:t>
            </w:r>
          </w:p>
        </w:tc>
        <w:tc>
          <w:tcPr>
            <w:tcW w:w="685" w:type="pct"/>
            <w:tcBorders>
              <w:top w:val="nil"/>
              <w:left w:val="nil"/>
              <w:bottom w:val="single" w:sz="8" w:space="0" w:color="auto"/>
              <w:right w:val="single" w:sz="8" w:space="0" w:color="auto"/>
            </w:tcBorders>
            <w:shd w:val="clear" w:color="auto" w:fill="auto"/>
            <w:noWrap/>
            <w:vAlign w:val="bottom"/>
            <w:hideMark/>
          </w:tcPr>
          <w:p w14:paraId="05999AA7" w14:textId="23419051" w:rsidR="00DF271D" w:rsidRPr="00C6165A" w:rsidRDefault="00DF271D" w:rsidP="00DF271D">
            <w:pPr>
              <w:jc w:val="right"/>
              <w:rPr>
                <w:sz w:val="20"/>
                <w:szCs w:val="20"/>
                <w:lang w:eastAsia="es-ES"/>
              </w:rPr>
            </w:pPr>
            <w:r>
              <w:rPr>
                <w:rFonts w:ascii="Calibri" w:hAnsi="Calibri" w:cs="Calibri"/>
                <w:color w:val="000000"/>
                <w:sz w:val="22"/>
                <w:szCs w:val="22"/>
              </w:rPr>
              <w:t>126.745</w:t>
            </w:r>
          </w:p>
        </w:tc>
        <w:tc>
          <w:tcPr>
            <w:tcW w:w="675" w:type="pct"/>
            <w:tcBorders>
              <w:top w:val="nil"/>
              <w:left w:val="nil"/>
              <w:bottom w:val="single" w:sz="8" w:space="0" w:color="auto"/>
              <w:right w:val="single" w:sz="8" w:space="0" w:color="auto"/>
            </w:tcBorders>
            <w:shd w:val="clear" w:color="auto" w:fill="auto"/>
            <w:noWrap/>
            <w:vAlign w:val="bottom"/>
            <w:hideMark/>
          </w:tcPr>
          <w:p w14:paraId="70CE9B0F" w14:textId="294A5783" w:rsidR="00DF271D" w:rsidRPr="00C6165A" w:rsidRDefault="00DF271D" w:rsidP="00DF271D">
            <w:pPr>
              <w:jc w:val="right"/>
              <w:rPr>
                <w:sz w:val="20"/>
                <w:szCs w:val="20"/>
                <w:lang w:eastAsia="es-ES"/>
              </w:rPr>
            </w:pPr>
            <w:r>
              <w:rPr>
                <w:rFonts w:ascii="Calibri" w:hAnsi="Calibri" w:cs="Calibri"/>
                <w:color w:val="000000"/>
                <w:sz w:val="22"/>
                <w:szCs w:val="22"/>
              </w:rPr>
              <w:t>87.077</w:t>
            </w:r>
          </w:p>
        </w:tc>
        <w:tc>
          <w:tcPr>
            <w:tcW w:w="656" w:type="pct"/>
            <w:tcBorders>
              <w:top w:val="nil"/>
              <w:left w:val="nil"/>
              <w:bottom w:val="single" w:sz="8" w:space="0" w:color="auto"/>
              <w:right w:val="single" w:sz="8" w:space="0" w:color="auto"/>
            </w:tcBorders>
            <w:shd w:val="clear" w:color="auto" w:fill="auto"/>
            <w:noWrap/>
            <w:vAlign w:val="bottom"/>
            <w:hideMark/>
          </w:tcPr>
          <w:p w14:paraId="411F769A" w14:textId="7E6C2FA3" w:rsidR="00DF271D" w:rsidRPr="00C6165A" w:rsidRDefault="00DF271D" w:rsidP="00DF271D">
            <w:pPr>
              <w:jc w:val="center"/>
              <w:rPr>
                <w:sz w:val="20"/>
                <w:szCs w:val="20"/>
                <w:lang w:eastAsia="es-ES"/>
              </w:rPr>
            </w:pPr>
            <w:r>
              <w:rPr>
                <w:rFonts w:ascii="Calibri" w:hAnsi="Calibri" w:cs="Calibri"/>
                <w:color w:val="000000"/>
                <w:sz w:val="22"/>
                <w:szCs w:val="22"/>
              </w:rPr>
              <w:t>-31,30%</w:t>
            </w:r>
          </w:p>
        </w:tc>
      </w:tr>
      <w:tr w:rsidR="00DF271D" w:rsidRPr="00C6165A" w14:paraId="34EF0B85" w14:textId="77777777" w:rsidTr="00D47179">
        <w:trPr>
          <w:trHeight w:val="300"/>
        </w:trPr>
        <w:tc>
          <w:tcPr>
            <w:tcW w:w="1001" w:type="pct"/>
            <w:tcBorders>
              <w:top w:val="nil"/>
              <w:left w:val="single" w:sz="8" w:space="0" w:color="auto"/>
              <w:bottom w:val="single" w:sz="8" w:space="0" w:color="auto"/>
              <w:right w:val="single" w:sz="8" w:space="0" w:color="auto"/>
            </w:tcBorders>
            <w:shd w:val="clear" w:color="auto" w:fill="auto"/>
            <w:noWrap/>
            <w:vAlign w:val="center"/>
            <w:hideMark/>
          </w:tcPr>
          <w:p w14:paraId="2F40D1D6" w14:textId="77777777" w:rsidR="00DF271D" w:rsidRPr="00C6165A" w:rsidRDefault="00DF271D" w:rsidP="00DF271D">
            <w:pPr>
              <w:jc w:val="left"/>
              <w:rPr>
                <w:sz w:val="20"/>
                <w:szCs w:val="20"/>
                <w:lang w:eastAsia="es-ES"/>
              </w:rPr>
            </w:pPr>
            <w:r w:rsidRPr="00C6165A">
              <w:rPr>
                <w:sz w:val="20"/>
                <w:szCs w:val="20"/>
                <w:lang w:eastAsia="es-ES"/>
              </w:rPr>
              <w:t>Triticale</w:t>
            </w:r>
          </w:p>
        </w:tc>
        <w:tc>
          <w:tcPr>
            <w:tcW w:w="658" w:type="pct"/>
            <w:tcBorders>
              <w:top w:val="nil"/>
              <w:left w:val="nil"/>
              <w:bottom w:val="single" w:sz="8" w:space="0" w:color="auto"/>
              <w:right w:val="single" w:sz="8" w:space="0" w:color="auto"/>
            </w:tcBorders>
            <w:shd w:val="clear" w:color="auto" w:fill="auto"/>
            <w:noWrap/>
            <w:vAlign w:val="bottom"/>
            <w:hideMark/>
          </w:tcPr>
          <w:p w14:paraId="64BEBFB4" w14:textId="07088E62" w:rsidR="00DF271D" w:rsidRPr="00C6165A" w:rsidRDefault="00DF271D" w:rsidP="00DF271D">
            <w:pPr>
              <w:jc w:val="right"/>
              <w:rPr>
                <w:sz w:val="20"/>
                <w:szCs w:val="20"/>
                <w:lang w:eastAsia="es-ES"/>
              </w:rPr>
            </w:pPr>
            <w:r>
              <w:rPr>
                <w:rFonts w:ascii="Calibri" w:hAnsi="Calibri" w:cs="Calibri"/>
                <w:color w:val="000000"/>
                <w:sz w:val="22"/>
                <w:szCs w:val="22"/>
              </w:rPr>
              <w:t>44.237</w:t>
            </w:r>
          </w:p>
        </w:tc>
        <w:tc>
          <w:tcPr>
            <w:tcW w:w="670" w:type="pct"/>
            <w:tcBorders>
              <w:top w:val="nil"/>
              <w:left w:val="nil"/>
              <w:bottom w:val="single" w:sz="8" w:space="0" w:color="auto"/>
              <w:right w:val="single" w:sz="8" w:space="0" w:color="auto"/>
            </w:tcBorders>
            <w:shd w:val="clear" w:color="auto" w:fill="auto"/>
            <w:noWrap/>
            <w:vAlign w:val="bottom"/>
            <w:hideMark/>
          </w:tcPr>
          <w:p w14:paraId="04CD48BE" w14:textId="4C7D5ECC" w:rsidR="00DF271D" w:rsidRPr="00C6165A" w:rsidRDefault="00DF271D" w:rsidP="00DF271D">
            <w:pPr>
              <w:jc w:val="right"/>
              <w:rPr>
                <w:sz w:val="20"/>
                <w:szCs w:val="20"/>
                <w:lang w:eastAsia="es-ES"/>
              </w:rPr>
            </w:pPr>
            <w:r>
              <w:rPr>
                <w:rFonts w:ascii="Calibri" w:hAnsi="Calibri" w:cs="Calibri"/>
                <w:color w:val="000000"/>
                <w:sz w:val="22"/>
                <w:szCs w:val="22"/>
              </w:rPr>
              <w:t>30.697</w:t>
            </w:r>
          </w:p>
        </w:tc>
        <w:tc>
          <w:tcPr>
            <w:tcW w:w="656" w:type="pct"/>
            <w:tcBorders>
              <w:top w:val="nil"/>
              <w:left w:val="nil"/>
              <w:bottom w:val="single" w:sz="8" w:space="0" w:color="auto"/>
              <w:right w:val="single" w:sz="8" w:space="0" w:color="auto"/>
            </w:tcBorders>
            <w:shd w:val="clear" w:color="auto" w:fill="auto"/>
            <w:noWrap/>
            <w:vAlign w:val="bottom"/>
            <w:hideMark/>
          </w:tcPr>
          <w:p w14:paraId="526C4729" w14:textId="29CDB30A" w:rsidR="00DF271D" w:rsidRPr="00C6165A" w:rsidRDefault="00DF271D" w:rsidP="00DF271D">
            <w:pPr>
              <w:jc w:val="center"/>
              <w:rPr>
                <w:sz w:val="20"/>
                <w:szCs w:val="20"/>
                <w:lang w:eastAsia="es-ES"/>
              </w:rPr>
            </w:pPr>
            <w:r>
              <w:rPr>
                <w:rFonts w:ascii="Calibri" w:hAnsi="Calibri" w:cs="Calibri"/>
                <w:color w:val="000000"/>
                <w:sz w:val="22"/>
                <w:szCs w:val="22"/>
              </w:rPr>
              <w:t>-30,61%</w:t>
            </w:r>
          </w:p>
        </w:tc>
        <w:tc>
          <w:tcPr>
            <w:tcW w:w="685" w:type="pct"/>
            <w:tcBorders>
              <w:top w:val="nil"/>
              <w:left w:val="nil"/>
              <w:bottom w:val="single" w:sz="8" w:space="0" w:color="auto"/>
              <w:right w:val="single" w:sz="8" w:space="0" w:color="auto"/>
            </w:tcBorders>
            <w:shd w:val="clear" w:color="auto" w:fill="auto"/>
            <w:noWrap/>
            <w:vAlign w:val="bottom"/>
            <w:hideMark/>
          </w:tcPr>
          <w:p w14:paraId="1EF2DB32" w14:textId="3A5BE59D" w:rsidR="00DF271D" w:rsidRPr="00C6165A" w:rsidRDefault="00DF271D" w:rsidP="00DF271D">
            <w:pPr>
              <w:jc w:val="right"/>
              <w:rPr>
                <w:sz w:val="20"/>
                <w:szCs w:val="20"/>
                <w:lang w:eastAsia="es-ES"/>
              </w:rPr>
            </w:pPr>
            <w:r>
              <w:rPr>
                <w:rFonts w:ascii="Calibri" w:hAnsi="Calibri" w:cs="Calibri"/>
                <w:color w:val="000000"/>
                <w:sz w:val="22"/>
                <w:szCs w:val="22"/>
              </w:rPr>
              <w:t>93.623</w:t>
            </w:r>
          </w:p>
        </w:tc>
        <w:tc>
          <w:tcPr>
            <w:tcW w:w="675" w:type="pct"/>
            <w:tcBorders>
              <w:top w:val="nil"/>
              <w:left w:val="nil"/>
              <w:bottom w:val="single" w:sz="8" w:space="0" w:color="auto"/>
              <w:right w:val="single" w:sz="8" w:space="0" w:color="auto"/>
            </w:tcBorders>
            <w:shd w:val="clear" w:color="auto" w:fill="auto"/>
            <w:noWrap/>
            <w:vAlign w:val="bottom"/>
            <w:hideMark/>
          </w:tcPr>
          <w:p w14:paraId="65CFC4D5" w14:textId="61F43A85" w:rsidR="00DF271D" w:rsidRPr="00C6165A" w:rsidRDefault="00DF271D" w:rsidP="00DF271D">
            <w:pPr>
              <w:jc w:val="right"/>
              <w:rPr>
                <w:sz w:val="20"/>
                <w:szCs w:val="20"/>
                <w:lang w:eastAsia="es-ES"/>
              </w:rPr>
            </w:pPr>
            <w:r>
              <w:rPr>
                <w:rFonts w:ascii="Calibri" w:hAnsi="Calibri" w:cs="Calibri"/>
                <w:color w:val="000000"/>
                <w:sz w:val="22"/>
                <w:szCs w:val="22"/>
              </w:rPr>
              <w:t>50.718</w:t>
            </w:r>
          </w:p>
        </w:tc>
        <w:tc>
          <w:tcPr>
            <w:tcW w:w="656" w:type="pct"/>
            <w:tcBorders>
              <w:top w:val="nil"/>
              <w:left w:val="nil"/>
              <w:bottom w:val="single" w:sz="8" w:space="0" w:color="auto"/>
              <w:right w:val="single" w:sz="8" w:space="0" w:color="auto"/>
            </w:tcBorders>
            <w:shd w:val="clear" w:color="auto" w:fill="auto"/>
            <w:noWrap/>
            <w:vAlign w:val="bottom"/>
            <w:hideMark/>
          </w:tcPr>
          <w:p w14:paraId="6EBF1E01" w14:textId="5538946C" w:rsidR="00DF271D" w:rsidRPr="00C6165A" w:rsidRDefault="00DF271D" w:rsidP="00DF271D">
            <w:pPr>
              <w:jc w:val="center"/>
              <w:rPr>
                <w:sz w:val="20"/>
                <w:szCs w:val="20"/>
                <w:lang w:eastAsia="es-ES"/>
              </w:rPr>
            </w:pPr>
            <w:r>
              <w:rPr>
                <w:rFonts w:ascii="Calibri" w:hAnsi="Calibri" w:cs="Calibri"/>
                <w:color w:val="000000"/>
                <w:sz w:val="22"/>
                <w:szCs w:val="22"/>
              </w:rPr>
              <w:t>-45,83%</w:t>
            </w:r>
          </w:p>
        </w:tc>
      </w:tr>
      <w:tr w:rsidR="00DF271D" w:rsidRPr="00C6165A" w14:paraId="4E601F5E" w14:textId="77777777" w:rsidTr="00D47179">
        <w:trPr>
          <w:trHeight w:val="300"/>
        </w:trPr>
        <w:tc>
          <w:tcPr>
            <w:tcW w:w="1001" w:type="pct"/>
            <w:tcBorders>
              <w:top w:val="nil"/>
              <w:left w:val="single" w:sz="8" w:space="0" w:color="auto"/>
              <w:bottom w:val="single" w:sz="8" w:space="0" w:color="auto"/>
              <w:right w:val="single" w:sz="8" w:space="0" w:color="auto"/>
            </w:tcBorders>
            <w:shd w:val="clear" w:color="auto" w:fill="auto"/>
            <w:noWrap/>
            <w:vAlign w:val="center"/>
            <w:hideMark/>
          </w:tcPr>
          <w:p w14:paraId="5199AA3B" w14:textId="77777777" w:rsidR="00DF271D" w:rsidRPr="00C6165A" w:rsidRDefault="00DF271D" w:rsidP="00DF271D">
            <w:pPr>
              <w:jc w:val="left"/>
              <w:rPr>
                <w:b/>
                <w:bCs/>
                <w:i/>
                <w:iCs/>
                <w:sz w:val="20"/>
                <w:szCs w:val="20"/>
                <w:lang w:eastAsia="es-ES"/>
              </w:rPr>
            </w:pPr>
            <w:proofErr w:type="gramStart"/>
            <w:r w:rsidRPr="00C6165A">
              <w:rPr>
                <w:b/>
                <w:bCs/>
                <w:i/>
                <w:iCs/>
                <w:sz w:val="20"/>
                <w:szCs w:val="20"/>
                <w:lang w:eastAsia="es-ES"/>
              </w:rPr>
              <w:lastRenderedPageBreak/>
              <w:t>Total</w:t>
            </w:r>
            <w:proofErr w:type="gramEnd"/>
            <w:r w:rsidRPr="00C6165A">
              <w:rPr>
                <w:b/>
                <w:bCs/>
                <w:i/>
                <w:iCs/>
                <w:sz w:val="20"/>
                <w:szCs w:val="20"/>
                <w:lang w:eastAsia="es-ES"/>
              </w:rPr>
              <w:t xml:space="preserve"> cereales invierno</w:t>
            </w:r>
          </w:p>
        </w:tc>
        <w:tc>
          <w:tcPr>
            <w:tcW w:w="658" w:type="pct"/>
            <w:tcBorders>
              <w:top w:val="nil"/>
              <w:left w:val="nil"/>
              <w:bottom w:val="single" w:sz="8" w:space="0" w:color="auto"/>
              <w:right w:val="single" w:sz="8" w:space="0" w:color="auto"/>
            </w:tcBorders>
            <w:shd w:val="clear" w:color="auto" w:fill="auto"/>
            <w:noWrap/>
            <w:vAlign w:val="center"/>
            <w:hideMark/>
          </w:tcPr>
          <w:p w14:paraId="0F248D20" w14:textId="49908908" w:rsidR="00DF271D" w:rsidRPr="00C6165A" w:rsidRDefault="00DF271D" w:rsidP="00DF271D">
            <w:pPr>
              <w:jc w:val="right"/>
              <w:rPr>
                <w:b/>
                <w:bCs/>
                <w:i/>
                <w:iCs/>
                <w:sz w:val="20"/>
                <w:szCs w:val="20"/>
                <w:lang w:eastAsia="es-ES"/>
              </w:rPr>
            </w:pPr>
            <w:r>
              <w:rPr>
                <w:rFonts w:ascii="Calibri" w:hAnsi="Calibri" w:cs="Calibri"/>
                <w:b/>
                <w:bCs/>
                <w:i/>
                <w:iCs/>
                <w:color w:val="000000"/>
                <w:sz w:val="22"/>
                <w:szCs w:val="22"/>
              </w:rPr>
              <w:t>1.825.583</w:t>
            </w:r>
          </w:p>
        </w:tc>
        <w:tc>
          <w:tcPr>
            <w:tcW w:w="670" w:type="pct"/>
            <w:tcBorders>
              <w:top w:val="nil"/>
              <w:left w:val="nil"/>
              <w:bottom w:val="single" w:sz="8" w:space="0" w:color="auto"/>
              <w:right w:val="single" w:sz="8" w:space="0" w:color="auto"/>
            </w:tcBorders>
            <w:shd w:val="clear" w:color="auto" w:fill="auto"/>
            <w:noWrap/>
            <w:vAlign w:val="center"/>
            <w:hideMark/>
          </w:tcPr>
          <w:p w14:paraId="0846C97D" w14:textId="34AC328D" w:rsidR="00DF271D" w:rsidRPr="00C6165A" w:rsidRDefault="00DF271D" w:rsidP="00DF271D">
            <w:pPr>
              <w:jc w:val="right"/>
              <w:rPr>
                <w:b/>
                <w:bCs/>
                <w:i/>
                <w:iCs/>
                <w:sz w:val="20"/>
                <w:szCs w:val="20"/>
                <w:lang w:eastAsia="es-ES"/>
              </w:rPr>
            </w:pPr>
            <w:r>
              <w:rPr>
                <w:rFonts w:ascii="Calibri" w:hAnsi="Calibri" w:cs="Calibri"/>
                <w:b/>
                <w:bCs/>
                <w:i/>
                <w:iCs/>
                <w:color w:val="000000"/>
                <w:sz w:val="22"/>
                <w:szCs w:val="22"/>
              </w:rPr>
              <w:t>1.613.738</w:t>
            </w:r>
          </w:p>
        </w:tc>
        <w:tc>
          <w:tcPr>
            <w:tcW w:w="656" w:type="pct"/>
            <w:tcBorders>
              <w:top w:val="nil"/>
              <w:left w:val="nil"/>
              <w:bottom w:val="single" w:sz="8" w:space="0" w:color="auto"/>
              <w:right w:val="single" w:sz="8" w:space="0" w:color="auto"/>
            </w:tcBorders>
            <w:shd w:val="clear" w:color="auto" w:fill="auto"/>
            <w:noWrap/>
            <w:vAlign w:val="center"/>
            <w:hideMark/>
          </w:tcPr>
          <w:p w14:paraId="1EAC711E" w14:textId="487C6E60" w:rsidR="00DF271D" w:rsidRPr="00C6165A" w:rsidRDefault="00DF271D" w:rsidP="00DF271D">
            <w:pPr>
              <w:jc w:val="right"/>
              <w:rPr>
                <w:b/>
                <w:bCs/>
                <w:i/>
                <w:iCs/>
                <w:sz w:val="20"/>
                <w:szCs w:val="20"/>
                <w:lang w:eastAsia="es-ES"/>
              </w:rPr>
            </w:pPr>
            <w:r>
              <w:rPr>
                <w:rFonts w:ascii="Calibri" w:hAnsi="Calibri" w:cs="Calibri"/>
                <w:b/>
                <w:bCs/>
                <w:color w:val="000000"/>
                <w:sz w:val="22"/>
                <w:szCs w:val="22"/>
              </w:rPr>
              <w:t>-11,60%</w:t>
            </w:r>
          </w:p>
        </w:tc>
        <w:tc>
          <w:tcPr>
            <w:tcW w:w="685" w:type="pct"/>
            <w:tcBorders>
              <w:top w:val="nil"/>
              <w:left w:val="nil"/>
              <w:bottom w:val="single" w:sz="8" w:space="0" w:color="auto"/>
              <w:right w:val="single" w:sz="8" w:space="0" w:color="auto"/>
            </w:tcBorders>
            <w:shd w:val="clear" w:color="auto" w:fill="auto"/>
            <w:noWrap/>
            <w:vAlign w:val="center"/>
            <w:hideMark/>
          </w:tcPr>
          <w:p w14:paraId="587C41EC" w14:textId="5E68A629" w:rsidR="00DF271D" w:rsidRPr="00C6165A" w:rsidRDefault="00DF271D" w:rsidP="00DF271D">
            <w:pPr>
              <w:jc w:val="right"/>
              <w:rPr>
                <w:b/>
                <w:bCs/>
                <w:i/>
                <w:iCs/>
                <w:sz w:val="20"/>
                <w:szCs w:val="20"/>
                <w:lang w:eastAsia="es-ES"/>
              </w:rPr>
            </w:pPr>
            <w:r>
              <w:rPr>
                <w:rFonts w:ascii="Calibri" w:hAnsi="Calibri" w:cs="Calibri"/>
                <w:b/>
                <w:bCs/>
                <w:i/>
                <w:iCs/>
                <w:color w:val="000000"/>
                <w:sz w:val="22"/>
                <w:szCs w:val="22"/>
              </w:rPr>
              <w:t>5.169.795</w:t>
            </w:r>
          </w:p>
        </w:tc>
        <w:tc>
          <w:tcPr>
            <w:tcW w:w="675" w:type="pct"/>
            <w:tcBorders>
              <w:top w:val="nil"/>
              <w:left w:val="nil"/>
              <w:bottom w:val="single" w:sz="8" w:space="0" w:color="auto"/>
              <w:right w:val="single" w:sz="8" w:space="0" w:color="auto"/>
            </w:tcBorders>
            <w:shd w:val="clear" w:color="auto" w:fill="auto"/>
            <w:noWrap/>
            <w:vAlign w:val="center"/>
            <w:hideMark/>
          </w:tcPr>
          <w:p w14:paraId="31F9D327" w14:textId="004A90A9" w:rsidR="00DF271D" w:rsidRPr="00C6165A" w:rsidRDefault="00DF271D" w:rsidP="00DF271D">
            <w:pPr>
              <w:jc w:val="right"/>
              <w:rPr>
                <w:b/>
                <w:bCs/>
                <w:i/>
                <w:iCs/>
                <w:sz w:val="20"/>
                <w:szCs w:val="20"/>
                <w:lang w:eastAsia="es-ES"/>
              </w:rPr>
            </w:pPr>
            <w:r>
              <w:rPr>
                <w:rFonts w:ascii="Calibri" w:hAnsi="Calibri" w:cs="Calibri"/>
                <w:b/>
                <w:bCs/>
                <w:i/>
                <w:iCs/>
                <w:color w:val="000000"/>
                <w:sz w:val="22"/>
                <w:szCs w:val="22"/>
              </w:rPr>
              <w:t>3.370.724</w:t>
            </w:r>
          </w:p>
        </w:tc>
        <w:tc>
          <w:tcPr>
            <w:tcW w:w="656" w:type="pct"/>
            <w:tcBorders>
              <w:top w:val="nil"/>
              <w:left w:val="nil"/>
              <w:bottom w:val="single" w:sz="8" w:space="0" w:color="auto"/>
              <w:right w:val="single" w:sz="8" w:space="0" w:color="auto"/>
            </w:tcBorders>
            <w:shd w:val="clear" w:color="auto" w:fill="auto"/>
            <w:noWrap/>
            <w:vAlign w:val="center"/>
            <w:hideMark/>
          </w:tcPr>
          <w:p w14:paraId="58263F88" w14:textId="5538E99D" w:rsidR="00DF271D" w:rsidRPr="00C6165A" w:rsidRDefault="00DF271D" w:rsidP="00DF271D">
            <w:pPr>
              <w:jc w:val="right"/>
              <w:rPr>
                <w:b/>
                <w:bCs/>
                <w:i/>
                <w:iCs/>
                <w:sz w:val="20"/>
                <w:szCs w:val="20"/>
                <w:lang w:eastAsia="es-ES"/>
              </w:rPr>
            </w:pPr>
            <w:r>
              <w:rPr>
                <w:rFonts w:ascii="Calibri" w:hAnsi="Calibri" w:cs="Calibri"/>
                <w:b/>
                <w:bCs/>
                <w:color w:val="000000"/>
                <w:sz w:val="22"/>
                <w:szCs w:val="22"/>
              </w:rPr>
              <w:t>-34,80%</w:t>
            </w:r>
          </w:p>
        </w:tc>
      </w:tr>
      <w:tr w:rsidR="003119C8" w:rsidRPr="00C6165A" w14:paraId="17C203B4" w14:textId="77777777" w:rsidTr="00D47179">
        <w:trPr>
          <w:trHeight w:val="288"/>
        </w:trPr>
        <w:tc>
          <w:tcPr>
            <w:tcW w:w="5000" w:type="pct"/>
            <w:gridSpan w:val="7"/>
            <w:tcBorders>
              <w:top w:val="single" w:sz="8" w:space="0" w:color="auto"/>
              <w:left w:val="nil"/>
              <w:bottom w:val="nil"/>
              <w:right w:val="nil"/>
            </w:tcBorders>
            <w:shd w:val="clear" w:color="auto" w:fill="auto"/>
            <w:noWrap/>
            <w:vAlign w:val="center"/>
            <w:hideMark/>
          </w:tcPr>
          <w:p w14:paraId="58A0469E" w14:textId="77777777" w:rsidR="003119C8" w:rsidRPr="00703831" w:rsidRDefault="003119C8" w:rsidP="008D0E49">
            <w:pPr>
              <w:jc w:val="center"/>
              <w:rPr>
                <w:i/>
                <w:iCs/>
                <w:sz w:val="16"/>
                <w:szCs w:val="16"/>
                <w:lang w:eastAsia="es-ES"/>
              </w:rPr>
            </w:pPr>
            <w:r w:rsidRPr="00703831">
              <w:rPr>
                <w:i/>
                <w:iCs/>
                <w:sz w:val="16"/>
                <w:szCs w:val="16"/>
                <w:lang w:eastAsia="es-ES"/>
              </w:rPr>
              <w:t>Fuente: Elaboración propia a partir de los avances de superficies y producciones de la Consejería de Agricultura, Ganadería y Desarrollo Rural</w:t>
            </w:r>
          </w:p>
        </w:tc>
      </w:tr>
    </w:tbl>
    <w:p w14:paraId="2BA48112" w14:textId="60F85A77" w:rsidR="00DC1044" w:rsidRPr="00C6165A" w:rsidRDefault="00DC1044" w:rsidP="00AA49C3"/>
    <w:p w14:paraId="4F41202F" w14:textId="7E09DDCE" w:rsidR="0032315C" w:rsidRPr="00C6165A" w:rsidRDefault="00DC1044" w:rsidP="00AA49C3">
      <w:r w:rsidRPr="00C6165A">
        <w:t xml:space="preserve">La evolución de los precios ha </w:t>
      </w:r>
      <w:r w:rsidR="008D2EF4" w:rsidRPr="00C6165A">
        <w:t>sido</w:t>
      </w:r>
      <w:r w:rsidR="0032315C" w:rsidRPr="00C6165A">
        <w:t xml:space="preserve"> similar</w:t>
      </w:r>
      <w:r w:rsidRPr="00C6165A">
        <w:t xml:space="preserve"> en los diferentes </w:t>
      </w:r>
      <w:r w:rsidR="00154C4C" w:rsidRPr="00C6165A">
        <w:t>cereales</w:t>
      </w:r>
      <w:r w:rsidRPr="00C6165A">
        <w:t xml:space="preserve">, tal y como se aprecia en los gráficos posteriores, </w:t>
      </w:r>
      <w:r w:rsidR="0032315C" w:rsidRPr="00C6165A">
        <w:t>comenz</w:t>
      </w:r>
      <w:r w:rsidR="0031787E">
        <w:t xml:space="preserve">ó </w:t>
      </w:r>
      <w:r w:rsidR="0032315C" w:rsidRPr="00C6165A">
        <w:t xml:space="preserve">el año con precios </w:t>
      </w:r>
      <w:r w:rsidR="008D2EF4" w:rsidRPr="00C6165A">
        <w:t>superiores</w:t>
      </w:r>
      <w:r w:rsidR="0032315C" w:rsidRPr="00C6165A">
        <w:t xml:space="preserve"> a los del año pasado</w:t>
      </w:r>
      <w:r w:rsidR="0031787E">
        <w:t>, tendencia</w:t>
      </w:r>
      <w:r w:rsidR="0032315C" w:rsidRPr="00C6165A">
        <w:t xml:space="preserve"> </w:t>
      </w:r>
      <w:r w:rsidR="00D47179">
        <w:t xml:space="preserve">que se invirtió rápidamente </w:t>
      </w:r>
      <w:r w:rsidR="0031787E">
        <w:t xml:space="preserve">para continuar a la </w:t>
      </w:r>
      <w:r w:rsidR="00DF271D">
        <w:t>baja durante</w:t>
      </w:r>
      <w:r w:rsidR="0032315C" w:rsidRPr="00C6165A">
        <w:t xml:space="preserve"> todo el </w:t>
      </w:r>
      <w:r w:rsidR="00DB4D49" w:rsidRPr="00C6165A">
        <w:t>periodo</w:t>
      </w:r>
      <w:r w:rsidR="00700CE9" w:rsidRPr="00C6165A">
        <w:t>. Los precios se estabilizaron</w:t>
      </w:r>
      <w:r w:rsidR="00DF271D">
        <w:t xml:space="preserve"> ligeramente</w:t>
      </w:r>
      <w:r w:rsidR="0032315C" w:rsidRPr="00C6165A">
        <w:t xml:space="preserve"> a partir </w:t>
      </w:r>
      <w:r w:rsidR="008D2EF4" w:rsidRPr="00C6165A">
        <w:t>de agosto</w:t>
      </w:r>
      <w:r w:rsidR="00700CE9" w:rsidRPr="00C6165A">
        <w:t xml:space="preserve"> y han </w:t>
      </w:r>
      <w:r w:rsidR="00DF271D">
        <w:t>ido bajando</w:t>
      </w:r>
      <w:r w:rsidR="00700CE9" w:rsidRPr="00C6165A">
        <w:t xml:space="preserve"> ligeramente hasta las últimas semanas del año.</w:t>
      </w:r>
    </w:p>
    <w:p w14:paraId="5C645B01" w14:textId="08C5204E" w:rsidR="00B472AF" w:rsidRDefault="00220B64" w:rsidP="00CD4559">
      <w:r w:rsidRPr="00C6165A">
        <w:t>La subida</w:t>
      </w:r>
      <w:r w:rsidR="007242A7" w:rsidRPr="00C6165A">
        <w:t xml:space="preserve"> de precios de los insumos ha superado todas las previsiones, </w:t>
      </w:r>
      <w:r w:rsidRPr="00C6165A">
        <w:t>un encarecimiento</w:t>
      </w:r>
      <w:r w:rsidR="007242A7" w:rsidRPr="00C6165A">
        <w:t xml:space="preserve"> </w:t>
      </w:r>
      <w:r w:rsidRPr="00C6165A">
        <w:t xml:space="preserve">que afecta </w:t>
      </w:r>
      <w:r w:rsidR="007242A7" w:rsidRPr="00C6165A">
        <w:t>a todos los costes de producción</w:t>
      </w:r>
      <w:r w:rsidR="008E561A" w:rsidRPr="00C6165A">
        <w:t>: abonos, gasóleo,</w:t>
      </w:r>
      <w:r w:rsidR="007242A7" w:rsidRPr="00C6165A">
        <w:t xml:space="preserve"> electricidad, </w:t>
      </w:r>
      <w:r w:rsidR="008E561A" w:rsidRPr="00C6165A">
        <w:t>fitosanitarios,</w:t>
      </w:r>
      <w:r w:rsidR="000B4EEF" w:rsidRPr="00C6165A">
        <w:t xml:space="preserve"> repuestos, etc. </w:t>
      </w:r>
      <w:r w:rsidRPr="00C6165A">
        <w:t>que se ha juntado con la meteorología adversa, ausencia de lluvias</w:t>
      </w:r>
      <w:r w:rsidR="0018480D">
        <w:t xml:space="preserve">, </w:t>
      </w:r>
      <w:r w:rsidRPr="00C6165A">
        <w:t>altas temperaturas</w:t>
      </w:r>
      <w:r w:rsidR="00700CE9" w:rsidRPr="00C6165A">
        <w:t>,</w:t>
      </w:r>
      <w:r w:rsidRPr="00C6165A">
        <w:t xml:space="preserve"> </w:t>
      </w:r>
      <w:r w:rsidR="0018480D">
        <w:t xml:space="preserve">heladas y tormentas de granizo, </w:t>
      </w:r>
      <w:r w:rsidR="0031787E">
        <w:t xml:space="preserve">que </w:t>
      </w:r>
      <w:r w:rsidRPr="00C6165A">
        <w:t xml:space="preserve">han producido el asurado del grano y una cosecha inferior a la media de los últimos años. Sin embargo, pese a estas </w:t>
      </w:r>
      <w:r w:rsidR="00700CE9" w:rsidRPr="00C6165A">
        <w:t>dificultades</w:t>
      </w:r>
      <w:r w:rsidRPr="00C6165A">
        <w:t xml:space="preserve">, Castilla y León ha aportado el </w:t>
      </w:r>
      <w:r w:rsidR="00B15196">
        <w:t>38,75</w:t>
      </w:r>
      <w:r w:rsidRPr="00C6165A">
        <w:t>% de la producción nacional, situándose como la comunidad autónoma con mayor producción</w:t>
      </w:r>
      <w:r w:rsidR="003400D5">
        <w:t xml:space="preserve"> de cereales de invierno</w:t>
      </w:r>
      <w:r w:rsidR="0036735D">
        <w:t xml:space="preserve"> y también la primera en superficie, con el 31,66% nacional</w:t>
      </w:r>
      <w:r w:rsidRPr="00C6165A">
        <w:t>.</w:t>
      </w:r>
    </w:p>
    <w:p w14:paraId="1D6FC09C" w14:textId="77777777" w:rsidR="001C5990" w:rsidRPr="00C6165A" w:rsidRDefault="001C5990" w:rsidP="00CD4559"/>
    <w:tbl>
      <w:tblPr>
        <w:tblStyle w:val="Tablaconcuadrcula"/>
        <w:tblW w:w="92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6"/>
        <w:gridCol w:w="4656"/>
      </w:tblGrid>
      <w:tr w:rsidR="006E0CD8" w:rsidRPr="008D0E49" w14:paraId="4912FBD3" w14:textId="77777777" w:rsidTr="00E41B00">
        <w:trPr>
          <w:trHeight w:val="2972"/>
          <w:jc w:val="center"/>
        </w:trPr>
        <w:tc>
          <w:tcPr>
            <w:tcW w:w="4612" w:type="dxa"/>
            <w:tcMar>
              <w:top w:w="113" w:type="dxa"/>
              <w:bottom w:w="113" w:type="dxa"/>
            </w:tcMar>
          </w:tcPr>
          <w:p w14:paraId="0769A19E" w14:textId="316156F9" w:rsidR="00CD4559" w:rsidRPr="008D0E49" w:rsidRDefault="003400D5" w:rsidP="00CD4559">
            <w:r w:rsidRPr="008D0E49">
              <w:rPr>
                <w:noProof/>
              </w:rPr>
              <w:drawing>
                <wp:inline distT="0" distB="0" distL="0" distR="0" wp14:anchorId="6EAEFCEC" wp14:editId="5F7187F2">
                  <wp:extent cx="2797121" cy="1856095"/>
                  <wp:effectExtent l="0" t="0" r="3810" b="0"/>
                  <wp:docPr id="21207248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4209" cy="1874070"/>
                          </a:xfrm>
                          <a:prstGeom prst="rect">
                            <a:avLst/>
                          </a:prstGeom>
                          <a:noFill/>
                        </pic:spPr>
                      </pic:pic>
                    </a:graphicData>
                  </a:graphic>
                </wp:inline>
              </w:drawing>
            </w:r>
          </w:p>
        </w:tc>
        <w:tc>
          <w:tcPr>
            <w:tcW w:w="4612" w:type="dxa"/>
            <w:tcMar>
              <w:top w:w="113" w:type="dxa"/>
              <w:bottom w:w="113" w:type="dxa"/>
            </w:tcMar>
          </w:tcPr>
          <w:p w14:paraId="7A69D4BB" w14:textId="75AD37B2" w:rsidR="00CD4559" w:rsidRPr="008D0E49" w:rsidRDefault="006E0CD8" w:rsidP="00CD4559">
            <w:r w:rsidRPr="008D0E49">
              <w:rPr>
                <w:noProof/>
              </w:rPr>
              <w:drawing>
                <wp:inline distT="0" distB="0" distL="0" distR="0" wp14:anchorId="3DCFF1AE" wp14:editId="0204237D">
                  <wp:extent cx="2811145" cy="1868905"/>
                  <wp:effectExtent l="0" t="0" r="8255" b="0"/>
                  <wp:docPr id="42561642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3460" cy="1877092"/>
                          </a:xfrm>
                          <a:prstGeom prst="rect">
                            <a:avLst/>
                          </a:prstGeom>
                          <a:noFill/>
                        </pic:spPr>
                      </pic:pic>
                    </a:graphicData>
                  </a:graphic>
                </wp:inline>
              </w:drawing>
            </w:r>
          </w:p>
        </w:tc>
      </w:tr>
      <w:tr w:rsidR="006E0CD8" w:rsidRPr="008D0E49" w14:paraId="2C60EFB5" w14:textId="77777777" w:rsidTr="00E41B00">
        <w:trPr>
          <w:trHeight w:val="2972"/>
          <w:jc w:val="center"/>
        </w:trPr>
        <w:tc>
          <w:tcPr>
            <w:tcW w:w="4612" w:type="dxa"/>
            <w:tcMar>
              <w:top w:w="113" w:type="dxa"/>
              <w:bottom w:w="113" w:type="dxa"/>
            </w:tcMar>
          </w:tcPr>
          <w:p w14:paraId="7853AB16" w14:textId="317CE781" w:rsidR="00CD4559" w:rsidRPr="008D0E49" w:rsidRDefault="006E0CD8" w:rsidP="00CD4559">
            <w:r w:rsidRPr="008D0E49">
              <w:rPr>
                <w:noProof/>
              </w:rPr>
              <w:drawing>
                <wp:inline distT="0" distB="0" distL="0" distR="0" wp14:anchorId="157409CA" wp14:editId="66439153">
                  <wp:extent cx="2796540" cy="1822012"/>
                  <wp:effectExtent l="0" t="0" r="3810" b="6985"/>
                  <wp:docPr id="17160959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22184" cy="1838720"/>
                          </a:xfrm>
                          <a:prstGeom prst="rect">
                            <a:avLst/>
                          </a:prstGeom>
                          <a:noFill/>
                        </pic:spPr>
                      </pic:pic>
                    </a:graphicData>
                  </a:graphic>
                </wp:inline>
              </w:drawing>
            </w:r>
          </w:p>
        </w:tc>
        <w:tc>
          <w:tcPr>
            <w:tcW w:w="4612" w:type="dxa"/>
            <w:tcMar>
              <w:top w:w="113" w:type="dxa"/>
              <w:bottom w:w="113" w:type="dxa"/>
            </w:tcMar>
          </w:tcPr>
          <w:p w14:paraId="3CD7583D" w14:textId="109FA787" w:rsidR="00CD4559" w:rsidRPr="008D0E49" w:rsidRDefault="006E0CD8" w:rsidP="00CD4559">
            <w:r w:rsidRPr="008D0E49">
              <w:rPr>
                <w:noProof/>
              </w:rPr>
              <w:drawing>
                <wp:inline distT="0" distB="0" distL="0" distR="0" wp14:anchorId="0EFEF21C" wp14:editId="1129A58C">
                  <wp:extent cx="2811145" cy="1850216"/>
                  <wp:effectExtent l="0" t="0" r="8255" b="0"/>
                  <wp:docPr id="187371264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20346" cy="1856272"/>
                          </a:xfrm>
                          <a:prstGeom prst="rect">
                            <a:avLst/>
                          </a:prstGeom>
                          <a:noFill/>
                        </pic:spPr>
                      </pic:pic>
                    </a:graphicData>
                  </a:graphic>
                </wp:inline>
              </w:drawing>
            </w:r>
          </w:p>
        </w:tc>
      </w:tr>
      <w:tr w:rsidR="006E0CD8" w:rsidRPr="00C6165A" w14:paraId="35B3678D" w14:textId="77777777" w:rsidTr="00E41B00">
        <w:trPr>
          <w:trHeight w:val="110"/>
          <w:jc w:val="center"/>
        </w:trPr>
        <w:tc>
          <w:tcPr>
            <w:tcW w:w="9225" w:type="dxa"/>
            <w:gridSpan w:val="2"/>
            <w:tcMar>
              <w:top w:w="0" w:type="dxa"/>
              <w:bottom w:w="28" w:type="dxa"/>
            </w:tcMar>
          </w:tcPr>
          <w:p w14:paraId="408E7F38" w14:textId="01CBB4D9" w:rsidR="00F043E7" w:rsidRPr="00703831" w:rsidRDefault="00F043E7" w:rsidP="008D0E49">
            <w:pPr>
              <w:tabs>
                <w:tab w:val="left" w:pos="5415"/>
              </w:tabs>
              <w:jc w:val="center"/>
              <w:rPr>
                <w:b/>
                <w:i/>
                <w:iCs/>
              </w:rPr>
            </w:pPr>
            <w:r w:rsidRPr="00703831">
              <w:rPr>
                <w:i/>
                <w:iCs/>
                <w:sz w:val="16"/>
                <w:szCs w:val="16"/>
                <w:lang w:eastAsia="es-ES"/>
              </w:rPr>
              <w:t>Fuente: Elaboración propia a partir de datos del Observatorio de precios de los productos agrícolas y ganaderos de</w:t>
            </w:r>
            <w:r w:rsidR="00703831" w:rsidRPr="00703831">
              <w:rPr>
                <w:i/>
                <w:iCs/>
                <w:sz w:val="16"/>
                <w:szCs w:val="16"/>
                <w:lang w:eastAsia="es-ES"/>
              </w:rPr>
              <w:t xml:space="preserve"> CyL</w:t>
            </w:r>
          </w:p>
        </w:tc>
      </w:tr>
    </w:tbl>
    <w:p w14:paraId="2D67A5C9" w14:textId="77777777" w:rsidR="00E41B00" w:rsidRPr="00C6165A" w:rsidRDefault="00E41B00" w:rsidP="00AA49C3">
      <w:pPr>
        <w:tabs>
          <w:tab w:val="left" w:pos="5415"/>
        </w:tabs>
        <w:rPr>
          <w:b/>
        </w:rPr>
      </w:pPr>
    </w:p>
    <w:p w14:paraId="0CBBB2D0" w14:textId="30D343CF" w:rsidR="00AA49C3" w:rsidRPr="00C6165A" w:rsidRDefault="00AA49C3" w:rsidP="00AA49C3">
      <w:pPr>
        <w:tabs>
          <w:tab w:val="left" w:pos="5415"/>
        </w:tabs>
        <w:rPr>
          <w:b/>
        </w:rPr>
      </w:pPr>
      <w:r w:rsidRPr="00C6165A">
        <w:rPr>
          <w:b/>
        </w:rPr>
        <w:t>Maíz</w:t>
      </w:r>
    </w:p>
    <w:p w14:paraId="17C790AF" w14:textId="2BF131FC" w:rsidR="00AA49C3" w:rsidRPr="00C6165A" w:rsidRDefault="00AA49C3" w:rsidP="00AA49C3"/>
    <w:p w14:paraId="35C11A80" w14:textId="096EEA92" w:rsidR="00786C82" w:rsidRDefault="00AA49C3" w:rsidP="00AA49C3">
      <w:r w:rsidRPr="00C6165A">
        <w:t xml:space="preserve">En esta campaña se han sembrado en nuestra comunidad autónoma </w:t>
      </w:r>
      <w:r w:rsidR="003400D5" w:rsidRPr="003400D5">
        <w:t>102</w:t>
      </w:r>
      <w:r w:rsidR="003400D5">
        <w:t>.</w:t>
      </w:r>
      <w:r w:rsidR="003400D5" w:rsidRPr="003400D5">
        <w:t>334</w:t>
      </w:r>
      <w:r w:rsidR="003400D5">
        <w:t xml:space="preserve"> </w:t>
      </w:r>
      <w:r w:rsidRPr="00C6165A">
        <w:t xml:space="preserve">hectáreas de maíz, una superficie </w:t>
      </w:r>
      <w:r w:rsidR="003400D5">
        <w:t>5,78</w:t>
      </w:r>
      <w:r w:rsidR="00E41B00" w:rsidRPr="00C6165A">
        <w:t>% meno</w:t>
      </w:r>
      <w:r w:rsidRPr="00C6165A">
        <w:t>r a la del año anterior</w:t>
      </w:r>
      <w:r w:rsidR="00D52620" w:rsidRPr="00C6165A">
        <w:t>,</w:t>
      </w:r>
      <w:r w:rsidR="00B81602" w:rsidRPr="00C6165A">
        <w:t xml:space="preserve"> </w:t>
      </w:r>
      <w:r w:rsidRPr="00C6165A">
        <w:t xml:space="preserve">con una estimación de producción de </w:t>
      </w:r>
      <w:r w:rsidR="003400D5" w:rsidRPr="003400D5">
        <w:t>1</w:t>
      </w:r>
      <w:r w:rsidR="003400D5">
        <w:t>.</w:t>
      </w:r>
      <w:r w:rsidR="003400D5" w:rsidRPr="003400D5">
        <w:t>343</w:t>
      </w:r>
      <w:r w:rsidR="003400D5">
        <w:t>.</w:t>
      </w:r>
      <w:r w:rsidR="003400D5" w:rsidRPr="003400D5">
        <w:t>395</w:t>
      </w:r>
      <w:r w:rsidR="003400D5">
        <w:t xml:space="preserve"> </w:t>
      </w:r>
      <w:r w:rsidRPr="00C6165A">
        <w:t xml:space="preserve">toneladas, </w:t>
      </w:r>
      <w:r w:rsidR="0031787E">
        <w:t xml:space="preserve">lo </w:t>
      </w:r>
      <w:r w:rsidRPr="00C6165A">
        <w:t xml:space="preserve">que supone </w:t>
      </w:r>
      <w:r w:rsidR="00E41B00" w:rsidRPr="00C6165A">
        <w:t xml:space="preserve">un </w:t>
      </w:r>
      <w:r w:rsidR="003400D5">
        <w:t>aumento</w:t>
      </w:r>
      <w:r w:rsidR="00E41B00" w:rsidRPr="00C6165A">
        <w:t xml:space="preserve"> </w:t>
      </w:r>
      <w:r w:rsidR="00E41B00" w:rsidRPr="00C6165A">
        <w:lastRenderedPageBreak/>
        <w:t xml:space="preserve">del </w:t>
      </w:r>
      <w:r w:rsidR="003400D5">
        <w:t>1,51</w:t>
      </w:r>
      <w:r w:rsidR="00E41B00" w:rsidRPr="00C6165A">
        <w:t>%</w:t>
      </w:r>
      <w:r w:rsidRPr="00C6165A">
        <w:t xml:space="preserve"> </w:t>
      </w:r>
      <w:r w:rsidR="00905852" w:rsidRPr="00C6165A">
        <w:t xml:space="preserve">respecto a la </w:t>
      </w:r>
      <w:r w:rsidRPr="00C6165A">
        <w:t>pasada campaña.</w:t>
      </w:r>
      <w:r w:rsidR="00101FC0">
        <w:t xml:space="preserve"> </w:t>
      </w:r>
      <w:r w:rsidR="009A6892" w:rsidRPr="00C6165A">
        <w:t>L</w:t>
      </w:r>
      <w:r w:rsidR="00B81602" w:rsidRPr="00C6165A">
        <w:t xml:space="preserve">a cotización de maíz </w:t>
      </w:r>
      <w:r w:rsidR="009A6892" w:rsidRPr="00C6165A">
        <w:t xml:space="preserve">ha seguido una evolución </w:t>
      </w:r>
      <w:r w:rsidR="0036735D">
        <w:t xml:space="preserve">similar al resto de cereales, </w:t>
      </w:r>
      <w:r w:rsidR="003400D5">
        <w:t>de</w:t>
      </w:r>
      <w:r w:rsidR="00ED0AAB" w:rsidRPr="00C6165A">
        <w:t>scendente a lo largo de todo el año</w:t>
      </w:r>
      <w:r w:rsidR="0036735D">
        <w:t>.</w:t>
      </w:r>
      <w:r w:rsidR="009A6892" w:rsidRPr="00C6165A">
        <w:t xml:space="preserve"> </w:t>
      </w:r>
      <w:r w:rsidR="0036735D">
        <w:t>Comenzó</w:t>
      </w:r>
      <w:r w:rsidR="00905852" w:rsidRPr="00C6165A">
        <w:t xml:space="preserve"> con</w:t>
      </w:r>
      <w:r w:rsidR="009A6892" w:rsidRPr="00C6165A">
        <w:t xml:space="preserve"> precios </w:t>
      </w:r>
      <w:r w:rsidR="00ED0AAB" w:rsidRPr="00C6165A">
        <w:t>superiores</w:t>
      </w:r>
      <w:r w:rsidR="009A6892" w:rsidRPr="00C6165A">
        <w:t xml:space="preserve"> </w:t>
      </w:r>
      <w:r w:rsidR="0036735D">
        <w:t>el primer trimestre y presentó</w:t>
      </w:r>
      <w:r w:rsidR="00E41B00" w:rsidRPr="00C6165A">
        <w:t xml:space="preserve"> una importante </w:t>
      </w:r>
      <w:r w:rsidR="003400D5">
        <w:t>bajada</w:t>
      </w:r>
      <w:r w:rsidR="00E41B00" w:rsidRPr="00C6165A">
        <w:t xml:space="preserve"> en el mes de </w:t>
      </w:r>
      <w:r w:rsidR="003400D5">
        <w:t>julio</w:t>
      </w:r>
      <w:r w:rsidR="00905852" w:rsidRPr="00C6165A">
        <w:t xml:space="preserve">. El cultivo ha </w:t>
      </w:r>
      <w:r w:rsidR="003400D5">
        <w:t>obtenido</w:t>
      </w:r>
      <w:r w:rsidR="00753CD1" w:rsidRPr="00C6165A">
        <w:t xml:space="preserve"> el precio máximo </w:t>
      </w:r>
      <w:r w:rsidR="00905852" w:rsidRPr="00C6165A">
        <w:t xml:space="preserve">en </w:t>
      </w:r>
      <w:r w:rsidR="003400D5">
        <w:t>el mes de enero</w:t>
      </w:r>
      <w:r w:rsidR="00E41B00" w:rsidRPr="00C6165A">
        <w:t>, con valores de</w:t>
      </w:r>
      <w:r w:rsidR="00B06680" w:rsidRPr="00C6165A">
        <w:t xml:space="preserve"> </w:t>
      </w:r>
      <w:r w:rsidR="00E41B00" w:rsidRPr="00C6165A">
        <w:t xml:space="preserve">hasta </w:t>
      </w:r>
      <w:r w:rsidR="003400D5">
        <w:t>312</w:t>
      </w:r>
      <w:r w:rsidR="00B06680" w:rsidRPr="00C6165A">
        <w:t xml:space="preserve"> euros por tonelada, un </w:t>
      </w:r>
      <w:r w:rsidR="003400D5">
        <w:t>12,70</w:t>
      </w:r>
      <w:r w:rsidR="00154C4C" w:rsidRPr="00C6165A">
        <w:t>%</w:t>
      </w:r>
      <w:r w:rsidR="00B06680" w:rsidRPr="00C6165A">
        <w:t xml:space="preserve"> superior al del año pasado</w:t>
      </w:r>
      <w:r w:rsidR="0036735D">
        <w:t>, mientras que en los últimos meses del año ha estado un 32% por debajo.</w:t>
      </w:r>
    </w:p>
    <w:p w14:paraId="70229964" w14:textId="77777777" w:rsidR="00325CB1" w:rsidRPr="00C6165A" w:rsidRDefault="00325CB1" w:rsidP="00AA49C3"/>
    <w:p w14:paraId="0CB40581" w14:textId="01E93109" w:rsidR="00AA49C3" w:rsidRPr="00C6165A" w:rsidRDefault="006E0CD8" w:rsidP="00B472AF">
      <w:pPr>
        <w:jc w:val="center"/>
      </w:pPr>
      <w:r>
        <w:rPr>
          <w:noProof/>
        </w:rPr>
        <w:drawing>
          <wp:inline distT="0" distB="0" distL="0" distR="0" wp14:anchorId="116AE1AF" wp14:editId="4D229111">
            <wp:extent cx="3396343" cy="2149764"/>
            <wp:effectExtent l="0" t="0" r="0" b="3175"/>
            <wp:docPr id="98106384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50532" cy="2184064"/>
                    </a:xfrm>
                    <a:prstGeom prst="rect">
                      <a:avLst/>
                    </a:prstGeom>
                    <a:noFill/>
                  </pic:spPr>
                </pic:pic>
              </a:graphicData>
            </a:graphic>
          </wp:inline>
        </w:drawing>
      </w:r>
    </w:p>
    <w:p w14:paraId="5220F9D9" w14:textId="60AA8C6D" w:rsidR="00AA49C3" w:rsidRPr="00703831" w:rsidRDefault="00AA49C3" w:rsidP="00AA49C3">
      <w:pPr>
        <w:spacing w:before="120" w:after="60"/>
        <w:jc w:val="center"/>
        <w:rPr>
          <w:i/>
          <w:iCs/>
          <w:sz w:val="16"/>
          <w:szCs w:val="16"/>
          <w:lang w:eastAsia="es-ES"/>
        </w:rPr>
      </w:pPr>
      <w:r w:rsidRPr="00703831">
        <w:rPr>
          <w:i/>
          <w:iCs/>
          <w:sz w:val="16"/>
          <w:szCs w:val="16"/>
          <w:lang w:eastAsia="es-ES"/>
        </w:rPr>
        <w:t>Fuente: Elaboración propia a partir de datos del Observatorio de precios de los productos agrícolas y ganaderos</w:t>
      </w:r>
      <w:r w:rsidR="00703831" w:rsidRPr="00703831">
        <w:rPr>
          <w:i/>
          <w:iCs/>
          <w:sz w:val="16"/>
          <w:szCs w:val="16"/>
          <w:lang w:eastAsia="es-ES"/>
        </w:rPr>
        <w:t xml:space="preserve"> CyL </w:t>
      </w:r>
    </w:p>
    <w:p w14:paraId="561DD146" w14:textId="6407438B" w:rsidR="00AA49C3" w:rsidRPr="00C6165A" w:rsidRDefault="00AA49C3" w:rsidP="00AA49C3"/>
    <w:p w14:paraId="50F2434B" w14:textId="7C9D9B63" w:rsidR="00AA49C3" w:rsidRPr="00C6165A" w:rsidRDefault="00AA49C3" w:rsidP="00AA49C3">
      <w:pPr>
        <w:rPr>
          <w:b/>
        </w:rPr>
      </w:pPr>
      <w:r w:rsidRPr="00C6165A">
        <w:rPr>
          <w:b/>
        </w:rPr>
        <w:t>Remolacha</w:t>
      </w:r>
      <w:bookmarkStart w:id="2" w:name="remolacha"/>
      <w:bookmarkEnd w:id="2"/>
    </w:p>
    <w:p w14:paraId="790C7E6B" w14:textId="77777777" w:rsidR="00AA49C3" w:rsidRPr="00C6165A" w:rsidRDefault="00AA49C3" w:rsidP="00AA49C3"/>
    <w:p w14:paraId="3AF3D8C4" w14:textId="3C4A2917" w:rsidR="005D3846" w:rsidRDefault="009D0D84" w:rsidP="005D3846">
      <w:r w:rsidRPr="00105F12">
        <w:t>La</w:t>
      </w:r>
      <w:r w:rsidR="00D52620" w:rsidRPr="00105F12">
        <w:t xml:space="preserve"> campaña </w:t>
      </w:r>
      <w:r w:rsidR="007B3440" w:rsidRPr="00105F12">
        <w:t>202</w:t>
      </w:r>
      <w:r w:rsidR="00105F12" w:rsidRPr="00105F12">
        <w:t>2</w:t>
      </w:r>
      <w:r w:rsidR="007B3440" w:rsidRPr="00105F12">
        <w:t>/202</w:t>
      </w:r>
      <w:r w:rsidR="00105F12" w:rsidRPr="00105F12">
        <w:t>3</w:t>
      </w:r>
      <w:r w:rsidR="007B3440" w:rsidRPr="00C6165A">
        <w:t xml:space="preserve"> </w:t>
      </w:r>
      <w:r w:rsidRPr="00C6165A">
        <w:t xml:space="preserve">en la </w:t>
      </w:r>
      <w:r w:rsidR="00CC7FA4" w:rsidRPr="00C6165A">
        <w:t>Z</w:t>
      </w:r>
      <w:r w:rsidRPr="00C6165A">
        <w:t xml:space="preserve">ona </w:t>
      </w:r>
      <w:r w:rsidR="00CC7FA4" w:rsidRPr="00C6165A">
        <w:t>N</w:t>
      </w:r>
      <w:r w:rsidRPr="00C6165A">
        <w:t>orte</w:t>
      </w:r>
      <w:r w:rsidR="00700CE9" w:rsidRPr="00C6165A">
        <w:t xml:space="preserve"> </w:t>
      </w:r>
      <w:r w:rsidR="007B3440">
        <w:t>tuvo</w:t>
      </w:r>
      <w:r w:rsidRPr="00C6165A">
        <w:t xml:space="preserve"> una duración de </w:t>
      </w:r>
      <w:r w:rsidR="00105F12">
        <w:t>201</w:t>
      </w:r>
      <w:r w:rsidRPr="00C6165A">
        <w:t xml:space="preserve"> días, </w:t>
      </w:r>
      <w:r w:rsidR="007B3440">
        <w:t>d</w:t>
      </w:r>
      <w:r w:rsidRPr="00C6165A">
        <w:t xml:space="preserve">el </w:t>
      </w:r>
      <w:r w:rsidR="00105F12">
        <w:t>3</w:t>
      </w:r>
      <w:r w:rsidRPr="00C6165A">
        <w:t xml:space="preserve"> de octubre de 202</w:t>
      </w:r>
      <w:r w:rsidR="00105F12">
        <w:t>2</w:t>
      </w:r>
      <w:r w:rsidRPr="00C6165A">
        <w:t xml:space="preserve"> </w:t>
      </w:r>
      <w:r w:rsidR="007B3440">
        <w:t xml:space="preserve">que empezó </w:t>
      </w:r>
      <w:r w:rsidRPr="00C6165A">
        <w:t>la recepción de remolacha en</w:t>
      </w:r>
      <w:r w:rsidR="00CC7FA4" w:rsidRPr="00C6165A">
        <w:t xml:space="preserve"> Olmedo (</w:t>
      </w:r>
      <w:r w:rsidRPr="00C6165A">
        <w:t>ACOR</w:t>
      </w:r>
      <w:r w:rsidR="00CC7FA4" w:rsidRPr="00C6165A">
        <w:t>)</w:t>
      </w:r>
      <w:r w:rsidR="007B3440">
        <w:t xml:space="preserve"> hasta </w:t>
      </w:r>
      <w:r w:rsidRPr="00C6165A">
        <w:t xml:space="preserve">el </w:t>
      </w:r>
      <w:r w:rsidR="00105F12">
        <w:t>21 de abril de 2023</w:t>
      </w:r>
      <w:r w:rsidRPr="00C6165A">
        <w:t xml:space="preserve"> </w:t>
      </w:r>
      <w:r w:rsidR="007B3440">
        <w:t xml:space="preserve">que cerró </w:t>
      </w:r>
      <w:r w:rsidRPr="00C6165A">
        <w:t xml:space="preserve">la fábrica de </w:t>
      </w:r>
      <w:r w:rsidR="00105F12">
        <w:t>Toro</w:t>
      </w:r>
      <w:r w:rsidRPr="00C6165A">
        <w:t xml:space="preserve"> (Azucarera).</w:t>
      </w:r>
      <w:r w:rsidR="00D52620" w:rsidRPr="00C6165A">
        <w:t xml:space="preserve"> </w:t>
      </w:r>
      <w:r w:rsidR="007B3440">
        <w:t xml:space="preserve">Se recogieron </w:t>
      </w:r>
      <w:r w:rsidR="00A86486" w:rsidRPr="00A86486">
        <w:t>1.520.809 t</w:t>
      </w:r>
      <w:r w:rsidR="00A86486">
        <w:t xml:space="preserve"> </w:t>
      </w:r>
      <w:r w:rsidR="00700CE9" w:rsidRPr="00C6165A">
        <w:t>de remolacha líquida</w:t>
      </w:r>
      <w:r w:rsidR="007B3440">
        <w:t xml:space="preserve"> en la Zona Norte</w:t>
      </w:r>
      <w:r w:rsidR="00700CE9" w:rsidRPr="00C6165A">
        <w:t xml:space="preserve">, que equivalen a </w:t>
      </w:r>
      <w:r w:rsidR="00A86486" w:rsidRPr="00A86486">
        <w:t>1.583.022</w:t>
      </w:r>
      <w:r w:rsidR="00700CE9" w:rsidRPr="00A86486">
        <w:t xml:space="preserve"> t</w:t>
      </w:r>
      <w:r w:rsidR="00700CE9" w:rsidRPr="00C6165A">
        <w:t xml:space="preserve"> de remolacha estandarizada.</w:t>
      </w:r>
      <w:r w:rsidR="00747EF0">
        <w:t xml:space="preserve"> </w:t>
      </w:r>
      <w:r w:rsidR="005D3846" w:rsidRPr="00C6165A">
        <w:t xml:space="preserve">Productivamente se contabilizaron de media en torno a </w:t>
      </w:r>
      <w:r w:rsidR="008006BD">
        <w:t>90,08</w:t>
      </w:r>
      <w:r w:rsidR="005D3846" w:rsidRPr="00C6165A">
        <w:t xml:space="preserve"> toneladas líquidas por hectárea con una riqueza media de </w:t>
      </w:r>
      <w:proofErr w:type="gramStart"/>
      <w:r w:rsidR="008006BD">
        <w:t>16,41</w:t>
      </w:r>
      <w:r w:rsidR="005D3846" w:rsidRPr="00C6165A">
        <w:t>º</w:t>
      </w:r>
      <w:proofErr w:type="gramEnd"/>
      <w:r w:rsidR="005D3846" w:rsidRPr="00C6165A">
        <w:t xml:space="preserve"> polarimétricos, </w:t>
      </w:r>
      <w:r w:rsidR="008006BD">
        <w:t>disminuyendo</w:t>
      </w:r>
      <w:r w:rsidR="005D3846" w:rsidRPr="00C6165A">
        <w:t xml:space="preserve"> la productividad en </w:t>
      </w:r>
      <w:r w:rsidR="008006BD">
        <w:t>casi 12</w:t>
      </w:r>
      <w:r w:rsidR="005D3846" w:rsidRPr="00C6165A">
        <w:t xml:space="preserve"> puntos respecto al periodo anterior y </w:t>
      </w:r>
      <w:r w:rsidR="008006BD">
        <w:t>bajando también la riqueza 1,26 puntos.</w:t>
      </w:r>
      <w:r w:rsidR="005D3846" w:rsidRPr="00C6165A">
        <w:t xml:space="preserve"> En remolacha estándar se obtuvieron </w:t>
      </w:r>
      <w:r w:rsidR="008006BD">
        <w:t xml:space="preserve">94,80 </w:t>
      </w:r>
      <w:r w:rsidR="005D3846" w:rsidRPr="00C6165A">
        <w:t xml:space="preserve">toneladas tipo por hectárea, </w:t>
      </w:r>
      <w:r w:rsidR="00CC7FA4" w:rsidRPr="00C6165A">
        <w:t xml:space="preserve">valor </w:t>
      </w:r>
      <w:r w:rsidR="008006BD">
        <w:t xml:space="preserve">más de 18,5 </w:t>
      </w:r>
      <w:r w:rsidR="0036735D">
        <w:t>t</w:t>
      </w:r>
      <w:r w:rsidR="008006BD">
        <w:t xml:space="preserve"> por debajo </w:t>
      </w:r>
      <w:r w:rsidR="0036735D">
        <w:t>de</w:t>
      </w:r>
      <w:r w:rsidR="008006BD">
        <w:t xml:space="preserve"> la </w:t>
      </w:r>
      <w:r w:rsidR="005D3846" w:rsidRPr="00C6165A">
        <w:t>campaña anterior.</w:t>
      </w:r>
    </w:p>
    <w:p w14:paraId="1E65490D" w14:textId="77777777" w:rsidR="00747EF0" w:rsidRDefault="00747EF0" w:rsidP="00D52620"/>
    <w:p w14:paraId="5E6F75B4" w14:textId="018675E3" w:rsidR="0013033D" w:rsidRPr="00C6165A" w:rsidRDefault="0013033D" w:rsidP="00D52620">
      <w:r w:rsidRPr="00C6165A">
        <w:t xml:space="preserve">Respecto a la </w:t>
      </w:r>
      <w:r w:rsidR="00AB2547">
        <w:t>campaña actual</w:t>
      </w:r>
      <w:r w:rsidR="00DF6761">
        <w:t xml:space="preserve"> 202</w:t>
      </w:r>
      <w:r w:rsidR="0023179A">
        <w:t>3</w:t>
      </w:r>
      <w:r w:rsidR="00DF6761">
        <w:t>/202</w:t>
      </w:r>
      <w:r w:rsidR="0023179A">
        <w:t>4</w:t>
      </w:r>
      <w:r w:rsidR="00AB2547">
        <w:t xml:space="preserve">, la </w:t>
      </w:r>
      <w:r w:rsidRPr="00C6165A">
        <w:t>superficie contratada</w:t>
      </w:r>
      <w:r w:rsidR="00AB2547">
        <w:t xml:space="preserve"> en la Zona Norte asciende a</w:t>
      </w:r>
      <w:r w:rsidR="00DF6761" w:rsidRPr="00DF6761">
        <w:t xml:space="preserve"> </w:t>
      </w:r>
      <w:r w:rsidR="00BE1AB1">
        <w:t>2</w:t>
      </w:r>
      <w:r w:rsidR="00DF6761">
        <w:t>6.880 ha,</w:t>
      </w:r>
      <w:r w:rsidR="00AB2547">
        <w:t xml:space="preserve"> </w:t>
      </w:r>
      <w:r w:rsidRPr="00C6165A">
        <w:t xml:space="preserve">el </w:t>
      </w:r>
      <w:r w:rsidR="00BE1AB1">
        <w:t>91</w:t>
      </w:r>
      <w:r w:rsidRPr="00C6165A">
        <w:t>% en Castilla y León</w:t>
      </w:r>
      <w:r w:rsidR="00A145BF">
        <w:t xml:space="preserve"> (</w:t>
      </w:r>
      <w:r w:rsidR="00BE1AB1">
        <w:t>24.461</w:t>
      </w:r>
      <w:r w:rsidR="00A145BF">
        <w:t xml:space="preserve"> has)</w:t>
      </w:r>
      <w:r w:rsidR="00DF6761">
        <w:t xml:space="preserve">. </w:t>
      </w:r>
      <w:r w:rsidR="00BE1AB1">
        <w:t>El aumento</w:t>
      </w:r>
      <w:r w:rsidR="00B100FA">
        <w:t xml:space="preserve"> de las </w:t>
      </w:r>
      <w:r w:rsidR="00DF6761">
        <w:t>siembra</w:t>
      </w:r>
      <w:r w:rsidR="00B100FA">
        <w:t>s en Castilla y León de</w:t>
      </w:r>
      <w:r w:rsidR="00DF6761">
        <w:t xml:space="preserve"> </w:t>
      </w:r>
      <w:r w:rsidR="00A145BF">
        <w:t xml:space="preserve">más de </w:t>
      </w:r>
      <w:r w:rsidR="00BE1AB1">
        <w:t>10</w:t>
      </w:r>
      <w:r w:rsidR="00A145BF">
        <w:t>.000</w:t>
      </w:r>
      <w:r w:rsidR="00DF6761">
        <w:t xml:space="preserve"> has supone una </w:t>
      </w:r>
      <w:r w:rsidR="00BE1AB1">
        <w:t>subida</w:t>
      </w:r>
      <w:r w:rsidR="00DF6761">
        <w:t xml:space="preserve"> del </w:t>
      </w:r>
      <w:r w:rsidR="00BE1AB1">
        <w:t>59,24</w:t>
      </w:r>
      <w:r w:rsidR="00DF6761">
        <w:t>% respecto al período anterior</w:t>
      </w:r>
      <w:r w:rsidR="0031787E">
        <w:t>,</w:t>
      </w:r>
      <w:r w:rsidR="00DF6761">
        <w:t xml:space="preserve"> </w:t>
      </w:r>
      <w:r w:rsidR="005D3846" w:rsidRPr="00C6165A">
        <w:t>comparad</w:t>
      </w:r>
      <w:r w:rsidR="00331ED7" w:rsidRPr="00C6165A">
        <w:t>o</w:t>
      </w:r>
      <w:r w:rsidR="005D3846" w:rsidRPr="00C6165A">
        <w:t xml:space="preserve"> </w:t>
      </w:r>
      <w:r w:rsidR="00B100FA">
        <w:t>con la superficie regional de</w:t>
      </w:r>
      <w:r w:rsidR="005D3846" w:rsidRPr="00C6165A">
        <w:t xml:space="preserve"> la última campaña normal en 2018</w:t>
      </w:r>
      <w:r w:rsidR="00331ED7" w:rsidRPr="00C6165A">
        <w:t>,</w:t>
      </w:r>
      <w:r w:rsidR="005D3846" w:rsidRPr="00C6165A">
        <w:t xml:space="preserve"> </w:t>
      </w:r>
      <w:r w:rsidR="00331ED7" w:rsidRPr="00C6165A">
        <w:t xml:space="preserve">supone </w:t>
      </w:r>
      <w:r w:rsidR="00BE1AB1">
        <w:t>un aumento</w:t>
      </w:r>
      <w:r w:rsidR="00331ED7" w:rsidRPr="00C6165A">
        <w:t xml:space="preserve"> de superficie del </w:t>
      </w:r>
      <w:r w:rsidR="00BE1AB1">
        <w:t>29,26</w:t>
      </w:r>
      <w:r w:rsidR="00331ED7" w:rsidRPr="00C6165A">
        <w:t>%.</w:t>
      </w:r>
    </w:p>
    <w:p w14:paraId="1200A045" w14:textId="09CE210B" w:rsidR="009A130E" w:rsidRDefault="00BE1AB1" w:rsidP="003B084D">
      <w:r>
        <w:t xml:space="preserve">Se rompe así por tanto la </w:t>
      </w:r>
      <w:r w:rsidR="00CD503D">
        <w:t>bajada interanual de superficie</w:t>
      </w:r>
      <w:r w:rsidR="00843482">
        <w:t xml:space="preserve">. Esta subida, pese al </w:t>
      </w:r>
      <w:r w:rsidR="005270F4" w:rsidRPr="00C6165A">
        <w:t xml:space="preserve">aumento de los costes de </w:t>
      </w:r>
      <w:r w:rsidR="00700CE9" w:rsidRPr="00C6165A">
        <w:t>producción</w:t>
      </w:r>
      <w:r w:rsidR="005270F4" w:rsidRPr="00C6165A">
        <w:t xml:space="preserve"> que aun respaldados por </w:t>
      </w:r>
      <w:r w:rsidR="0031787E">
        <w:t>unas</w:t>
      </w:r>
      <w:r w:rsidR="005270F4" w:rsidRPr="00C6165A">
        <w:t xml:space="preserve"> ayudas directas que no son suficientes</w:t>
      </w:r>
      <w:r w:rsidR="00843482">
        <w:t xml:space="preserve">, se debe </w:t>
      </w:r>
      <w:r w:rsidR="0031787E">
        <w:t>al alza</w:t>
      </w:r>
      <w:r w:rsidR="00843482">
        <w:t xml:space="preserve"> de los precios de la remolacha pagados por la industria.</w:t>
      </w:r>
      <w:r w:rsidR="00747EF0">
        <w:t xml:space="preserve"> </w:t>
      </w:r>
      <w:r w:rsidR="00700CE9" w:rsidRPr="00C6165A">
        <w:t xml:space="preserve">En este momento la comunidad está en plena campaña de recolección, iniciada </w:t>
      </w:r>
      <w:r w:rsidR="00186A9C" w:rsidRPr="00C6165A">
        <w:t>el 3 de octubre de 202</w:t>
      </w:r>
      <w:r w:rsidR="00843482">
        <w:t xml:space="preserve">3 </w:t>
      </w:r>
      <w:r w:rsidR="00700CE9" w:rsidRPr="00C6165A">
        <w:t xml:space="preserve">con la apertura de la fábrica de </w:t>
      </w:r>
      <w:r w:rsidR="00186A9C" w:rsidRPr="00C6165A">
        <w:t>Toro (Azucarera), seguida</w:t>
      </w:r>
      <w:r w:rsidR="00700CE9" w:rsidRPr="00C6165A">
        <w:t xml:space="preserve"> de </w:t>
      </w:r>
      <w:r w:rsidR="00186A9C" w:rsidRPr="00C6165A">
        <w:t xml:space="preserve">la apertura de Olmedo (ACOR) el </w:t>
      </w:r>
      <w:r w:rsidR="00843482">
        <w:t>18</w:t>
      </w:r>
      <w:r w:rsidR="00186A9C" w:rsidRPr="00C6165A">
        <w:t xml:space="preserve"> de octubre.</w:t>
      </w:r>
      <w:r w:rsidR="0031787E">
        <w:t xml:space="preserve"> </w:t>
      </w:r>
      <w:r w:rsidR="00700CE9" w:rsidRPr="008C5CE6">
        <w:t>Las previsiones apuntan resultados de riqueza en azúcar</w:t>
      </w:r>
      <w:r w:rsidR="008C5CE6" w:rsidRPr="008C5CE6">
        <w:t xml:space="preserve"> </w:t>
      </w:r>
      <w:r w:rsidR="0036735D">
        <w:t xml:space="preserve">catastróficos. </w:t>
      </w:r>
    </w:p>
    <w:p w14:paraId="0B350A72" w14:textId="7E72F0BE" w:rsidR="00CD503D" w:rsidRDefault="00CD503D" w:rsidP="00CD503D">
      <w:r>
        <w:lastRenderedPageBreak/>
        <w:t xml:space="preserve">Desde </w:t>
      </w:r>
      <w:r w:rsidR="00843482">
        <w:t>la campaña pasada</w:t>
      </w:r>
      <w:r>
        <w:t xml:space="preserve"> el precio del azúcar en los mercados se ha disparado,</w:t>
      </w:r>
      <w:r w:rsidRPr="00C6165A">
        <w:t xml:space="preserve"> </w:t>
      </w:r>
      <w:r w:rsidR="00843482">
        <w:t>y</w:t>
      </w:r>
      <w:r w:rsidR="009A130E">
        <w:t>,</w:t>
      </w:r>
      <w:r w:rsidR="00843482">
        <w:t xml:space="preserve"> gracias a las peticiones de </w:t>
      </w:r>
      <w:r>
        <w:t>ASAJA</w:t>
      </w:r>
      <w:r w:rsidR="009A130E">
        <w:t>,</w:t>
      </w:r>
      <w:r>
        <w:t xml:space="preserve"> </w:t>
      </w:r>
      <w:r w:rsidR="00843482">
        <w:t>se ha repercutido</w:t>
      </w:r>
      <w:r>
        <w:t xml:space="preserve"> al agricultor ese incremento haciendo </w:t>
      </w:r>
      <w:r w:rsidRPr="00C6165A">
        <w:t>un reparto justo</w:t>
      </w:r>
      <w:r>
        <w:t xml:space="preserve"> conforme a las nuevas cotizaciones</w:t>
      </w:r>
      <w:r w:rsidR="0031787E">
        <w:t>.</w:t>
      </w:r>
    </w:p>
    <w:p w14:paraId="460B2068" w14:textId="77777777" w:rsidR="009F1A4E" w:rsidRDefault="009F1A4E" w:rsidP="00CD503D"/>
    <w:p w14:paraId="42AB144C" w14:textId="5553AD3A" w:rsidR="009F1A4E" w:rsidRDefault="00564ADD" w:rsidP="00564ADD">
      <w:pPr>
        <w:jc w:val="center"/>
      </w:pPr>
      <w:r>
        <w:rPr>
          <w:noProof/>
        </w:rPr>
        <w:drawing>
          <wp:inline distT="0" distB="0" distL="0" distR="0" wp14:anchorId="6D0B1DEF" wp14:editId="6566B054">
            <wp:extent cx="4060116" cy="2049553"/>
            <wp:effectExtent l="0" t="0" r="0" b="8255"/>
            <wp:docPr id="264548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74780" cy="2056955"/>
                    </a:xfrm>
                    <a:prstGeom prst="rect">
                      <a:avLst/>
                    </a:prstGeom>
                    <a:noFill/>
                  </pic:spPr>
                </pic:pic>
              </a:graphicData>
            </a:graphic>
          </wp:inline>
        </w:drawing>
      </w:r>
    </w:p>
    <w:p w14:paraId="09D39709" w14:textId="0A376BED" w:rsidR="00564ADD" w:rsidRPr="00703831" w:rsidRDefault="00564ADD" w:rsidP="00564ADD">
      <w:pPr>
        <w:jc w:val="center"/>
        <w:rPr>
          <w:i/>
          <w:iCs/>
          <w:sz w:val="16"/>
          <w:szCs w:val="16"/>
        </w:rPr>
      </w:pPr>
      <w:r w:rsidRPr="00703831">
        <w:rPr>
          <w:i/>
          <w:iCs/>
          <w:sz w:val="16"/>
          <w:szCs w:val="16"/>
        </w:rPr>
        <w:t xml:space="preserve">Fuente: Elaboración propia a partir de datos del Observatorio de precios de los productos agrícolas y ganaderos </w:t>
      </w:r>
      <w:r w:rsidR="00703831" w:rsidRPr="00703831">
        <w:rPr>
          <w:i/>
          <w:iCs/>
          <w:sz w:val="16"/>
          <w:szCs w:val="16"/>
        </w:rPr>
        <w:t>CyL</w:t>
      </w:r>
    </w:p>
    <w:p w14:paraId="0EC52CF5" w14:textId="77777777" w:rsidR="00564ADD" w:rsidRPr="00C6165A" w:rsidRDefault="00564ADD" w:rsidP="00564ADD">
      <w:pPr>
        <w:jc w:val="center"/>
      </w:pPr>
    </w:p>
    <w:p w14:paraId="4CC0B08B" w14:textId="5505888E" w:rsidR="00AA49C3" w:rsidRPr="00C6165A" w:rsidRDefault="00AA49C3" w:rsidP="00AA49C3">
      <w:pPr>
        <w:rPr>
          <w:b/>
        </w:rPr>
      </w:pPr>
      <w:r w:rsidRPr="00C6165A">
        <w:rPr>
          <w:b/>
        </w:rPr>
        <w:t>Patatas</w:t>
      </w:r>
    </w:p>
    <w:p w14:paraId="1741AB9A" w14:textId="77777777" w:rsidR="00AA49C3" w:rsidRPr="00C6165A" w:rsidRDefault="00AA49C3" w:rsidP="00AA49C3"/>
    <w:p w14:paraId="45105523" w14:textId="700AD03E" w:rsidR="00DD4D06" w:rsidRPr="00C6165A" w:rsidRDefault="00953DCF" w:rsidP="00953DCF">
      <w:pPr>
        <w:tabs>
          <w:tab w:val="left" w:pos="1095"/>
        </w:tabs>
      </w:pPr>
      <w:r w:rsidRPr="00C6165A">
        <w:t>La superficie plantada de patata</w:t>
      </w:r>
      <w:r w:rsidR="00186A9C" w:rsidRPr="00C6165A">
        <w:t xml:space="preserve"> en 202</w:t>
      </w:r>
      <w:r w:rsidR="00D5473E">
        <w:t>3</w:t>
      </w:r>
      <w:r w:rsidRPr="00C6165A">
        <w:t xml:space="preserve"> en Castilla y León ha sido de 16.</w:t>
      </w:r>
      <w:r w:rsidR="00D5473E">
        <w:t>924</w:t>
      </w:r>
      <w:r w:rsidRPr="00C6165A">
        <w:t xml:space="preserve"> hectáreas, que supone un </w:t>
      </w:r>
      <w:r w:rsidR="00D5473E">
        <w:t>aumento del</w:t>
      </w:r>
      <w:r w:rsidRPr="00C6165A">
        <w:t xml:space="preserve"> </w:t>
      </w:r>
      <w:r w:rsidR="00D5473E">
        <w:t>3,13</w:t>
      </w:r>
      <w:r w:rsidRPr="00C6165A">
        <w:t>% respecto a la campaña anterior</w:t>
      </w:r>
      <w:r w:rsidR="00DD4D06" w:rsidRPr="00C6165A">
        <w:t>.</w:t>
      </w:r>
    </w:p>
    <w:p w14:paraId="19ACCEFD" w14:textId="59239650" w:rsidR="00953DCF" w:rsidRPr="00C6165A" w:rsidRDefault="00DD4D06" w:rsidP="00953DCF">
      <w:pPr>
        <w:tabs>
          <w:tab w:val="left" w:pos="1095"/>
        </w:tabs>
      </w:pPr>
      <w:r w:rsidRPr="00C6165A">
        <w:t>Los rendimientos estimados, según las últimas estadísticas oficiales</w:t>
      </w:r>
      <w:r w:rsidR="00F23B5C">
        <w:t>,</w:t>
      </w:r>
      <w:r w:rsidRPr="00C6165A">
        <w:t xml:space="preserve"> son de </w:t>
      </w:r>
      <w:r w:rsidR="00D5473E">
        <w:t>47,29</w:t>
      </w:r>
      <w:r w:rsidRPr="00C6165A">
        <w:t xml:space="preserve"> toneladas por hectárea, </w:t>
      </w:r>
      <w:r w:rsidR="0020423D">
        <w:t xml:space="preserve">9,16% </w:t>
      </w:r>
      <w:r w:rsidR="00D5473E">
        <w:t>superior</w:t>
      </w:r>
      <w:r w:rsidRPr="00C6165A">
        <w:t xml:space="preserve">es a los de la campaña anterior, lo que supondría una producción total de </w:t>
      </w:r>
      <w:r w:rsidR="00D5473E">
        <w:t>800.409</w:t>
      </w:r>
      <w:r w:rsidRPr="00C6165A">
        <w:t xml:space="preserve"> toneladas</w:t>
      </w:r>
      <w:r w:rsidR="0020423D">
        <w:t>. Globalmente</w:t>
      </w:r>
      <w:r w:rsidRPr="00C6165A">
        <w:t xml:space="preserve"> un </w:t>
      </w:r>
      <w:r w:rsidR="00D5473E">
        <w:t>12,56</w:t>
      </w:r>
      <w:r w:rsidRPr="00C6165A">
        <w:t>%</w:t>
      </w:r>
      <w:r w:rsidR="00953DCF" w:rsidRPr="00C6165A">
        <w:t xml:space="preserve"> </w:t>
      </w:r>
      <w:r w:rsidR="00D5473E">
        <w:t>más</w:t>
      </w:r>
      <w:r w:rsidRPr="00C6165A">
        <w:t xml:space="preserve"> que la campaña anterior y un </w:t>
      </w:r>
      <w:r w:rsidR="00D5473E">
        <w:t>3,9</w:t>
      </w:r>
      <w:r w:rsidRPr="00C6165A">
        <w:t xml:space="preserve">% </w:t>
      </w:r>
      <w:r w:rsidR="00D5473E">
        <w:t>superior</w:t>
      </w:r>
      <w:r w:rsidRPr="00C6165A">
        <w:t xml:space="preserve"> a la media de los últimos años.</w:t>
      </w:r>
    </w:p>
    <w:p w14:paraId="7F0700EA" w14:textId="1829DD1B" w:rsidR="00DD4D06" w:rsidRPr="00C6165A" w:rsidRDefault="00FF0FDC" w:rsidP="00AA49C3">
      <w:pPr>
        <w:tabs>
          <w:tab w:val="left" w:pos="1095"/>
        </w:tabs>
      </w:pPr>
      <w:r w:rsidRPr="00C6165A">
        <w:t xml:space="preserve">Los precios de la patata en Castilla y León comenzaron su cotización en el mes de julio en torno a los </w:t>
      </w:r>
      <w:r w:rsidR="00D5473E">
        <w:t>31,24</w:t>
      </w:r>
      <w:r w:rsidRPr="00C6165A">
        <w:t xml:space="preserve"> céntimos por kilo, precio un </w:t>
      </w:r>
      <w:r w:rsidR="00D5473E">
        <w:t>22</w:t>
      </w:r>
      <w:r w:rsidRPr="00C6165A">
        <w:t xml:space="preserve">% </w:t>
      </w:r>
      <w:r w:rsidR="00D5473E">
        <w:t>inferio</w:t>
      </w:r>
      <w:r w:rsidRPr="00C6165A">
        <w:t>r al de 202</w:t>
      </w:r>
      <w:r w:rsidR="00D5473E">
        <w:t>2</w:t>
      </w:r>
      <w:r w:rsidRPr="00C6165A">
        <w:t xml:space="preserve"> en las mismas fechas. La tendencia ha </w:t>
      </w:r>
      <w:r w:rsidR="00186A9C" w:rsidRPr="00C6165A">
        <w:t>s</w:t>
      </w:r>
      <w:r w:rsidRPr="00C6165A">
        <w:t>ido</w:t>
      </w:r>
      <w:r w:rsidR="00D5473E">
        <w:t xml:space="preserve"> fluctuante, bajando a finales de julio y agosto, subiendo hasta los 31,64 céntimos por kilo en septiembre y bajando de nuevo hasta noviembre, </w:t>
      </w:r>
      <w:r w:rsidR="0031787E">
        <w:t>cuando el precio</w:t>
      </w:r>
      <w:r w:rsidR="00D5473E">
        <w:t xml:space="preserve"> ha marcado en 30,46 céntimos por kilo, casi un 18% inferior a las mismas fechas del año anterior.</w:t>
      </w:r>
      <w:r w:rsidRPr="00C6165A">
        <w:t xml:space="preserve"> </w:t>
      </w:r>
    </w:p>
    <w:p w14:paraId="002D8770" w14:textId="77777777" w:rsidR="00C02ED4" w:rsidRPr="00C6165A" w:rsidRDefault="00C02ED4" w:rsidP="00AA49C3">
      <w:pPr>
        <w:tabs>
          <w:tab w:val="left" w:pos="1095"/>
        </w:tabs>
      </w:pPr>
    </w:p>
    <w:p w14:paraId="188AF511" w14:textId="3BD43473" w:rsidR="002F27CB" w:rsidRPr="00C6165A" w:rsidRDefault="0020423D" w:rsidP="00842DE8">
      <w:pPr>
        <w:tabs>
          <w:tab w:val="left" w:pos="1095"/>
        </w:tabs>
        <w:jc w:val="center"/>
      </w:pPr>
      <w:r>
        <w:rPr>
          <w:noProof/>
        </w:rPr>
        <w:drawing>
          <wp:inline distT="0" distB="0" distL="0" distR="0" wp14:anchorId="7B3F98AF" wp14:editId="58770CF2">
            <wp:extent cx="4214991" cy="2543060"/>
            <wp:effectExtent l="0" t="0" r="0" b="0"/>
            <wp:docPr id="136192722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14991" cy="2543060"/>
                    </a:xfrm>
                    <a:prstGeom prst="rect">
                      <a:avLst/>
                    </a:prstGeom>
                    <a:noFill/>
                  </pic:spPr>
                </pic:pic>
              </a:graphicData>
            </a:graphic>
          </wp:inline>
        </w:drawing>
      </w:r>
    </w:p>
    <w:p w14:paraId="25E839FC" w14:textId="5ECA6479" w:rsidR="002323BB" w:rsidRPr="00703831" w:rsidRDefault="002323BB" w:rsidP="00842DE8">
      <w:pPr>
        <w:spacing w:before="120" w:after="60"/>
        <w:jc w:val="center"/>
        <w:rPr>
          <w:i/>
          <w:iCs/>
          <w:sz w:val="16"/>
          <w:szCs w:val="16"/>
          <w:lang w:eastAsia="es-ES"/>
        </w:rPr>
      </w:pPr>
      <w:r w:rsidRPr="00703831">
        <w:rPr>
          <w:i/>
          <w:iCs/>
          <w:sz w:val="16"/>
          <w:szCs w:val="16"/>
          <w:lang w:eastAsia="es-ES"/>
        </w:rPr>
        <w:t xml:space="preserve">Fuente: Elaboración propia a partir de datos del Observatorio de precios de los productos agrícolas y ganaderos </w:t>
      </w:r>
      <w:r w:rsidR="00703831" w:rsidRPr="00703831">
        <w:rPr>
          <w:i/>
          <w:iCs/>
          <w:sz w:val="16"/>
          <w:szCs w:val="16"/>
          <w:lang w:eastAsia="es-ES"/>
        </w:rPr>
        <w:t>CyL</w:t>
      </w:r>
    </w:p>
    <w:p w14:paraId="749AFA8C" w14:textId="149A2B94" w:rsidR="00AA49C3" w:rsidRPr="00C6165A" w:rsidRDefault="00AA49C3" w:rsidP="00AA49C3">
      <w:pPr>
        <w:tabs>
          <w:tab w:val="left" w:pos="1095"/>
        </w:tabs>
        <w:rPr>
          <w:b/>
        </w:rPr>
      </w:pPr>
      <w:r w:rsidRPr="00C6165A">
        <w:rPr>
          <w:b/>
        </w:rPr>
        <w:lastRenderedPageBreak/>
        <w:t>Leguminosas grano</w:t>
      </w:r>
    </w:p>
    <w:p w14:paraId="788AB9BA" w14:textId="77777777" w:rsidR="00AA49C3" w:rsidRPr="00C6165A" w:rsidRDefault="00AA49C3" w:rsidP="00AA49C3">
      <w:pPr>
        <w:tabs>
          <w:tab w:val="left" w:pos="1095"/>
        </w:tabs>
      </w:pPr>
    </w:p>
    <w:p w14:paraId="383484F4" w14:textId="0AFBF446" w:rsidR="001C634D" w:rsidRDefault="00F44BDD" w:rsidP="00AA49C3">
      <w:pPr>
        <w:tabs>
          <w:tab w:val="left" w:pos="1095"/>
        </w:tabs>
      </w:pPr>
      <w:r w:rsidRPr="00C6165A">
        <w:t>La superficie total de leguminosas grano cultivada en 202</w:t>
      </w:r>
      <w:r w:rsidR="009A130E">
        <w:t>3</w:t>
      </w:r>
      <w:r w:rsidRPr="00C6165A">
        <w:t xml:space="preserve"> fue de </w:t>
      </w:r>
      <w:r w:rsidR="009A130E">
        <w:t>179.447</w:t>
      </w:r>
      <w:r w:rsidRPr="00C6165A">
        <w:t xml:space="preserve"> hectáreas. Esta cifra es un </w:t>
      </w:r>
      <w:r w:rsidR="009A130E">
        <w:t>62,4</w:t>
      </w:r>
      <w:r w:rsidRPr="00C6165A">
        <w:t>% superior a la de 202</w:t>
      </w:r>
      <w:r w:rsidR="009A130E">
        <w:t>2</w:t>
      </w:r>
      <w:r w:rsidR="0018480D">
        <w:t xml:space="preserve"> (110.500 </w:t>
      </w:r>
      <w:r w:rsidR="0018480D" w:rsidRPr="00C6165A">
        <w:t>hectáreas</w:t>
      </w:r>
      <w:r w:rsidR="0018480D">
        <w:t>), incremento provocado por la exigencia para optar a algunos de los ecorregimenes de la nueva PAC</w:t>
      </w:r>
      <w:r w:rsidRPr="00C6165A">
        <w:t>.</w:t>
      </w:r>
      <w:r w:rsidR="0020423D">
        <w:t xml:space="preserve"> L</w:t>
      </w:r>
      <w:r w:rsidRPr="00C6165A">
        <w:t xml:space="preserve">a producción </w:t>
      </w:r>
      <w:r w:rsidR="00C400A9">
        <w:t xml:space="preserve">ha sido </w:t>
      </w:r>
      <w:r w:rsidR="0031787E">
        <w:t>muy mala</w:t>
      </w:r>
      <w:r w:rsidR="00C400A9">
        <w:t xml:space="preserve"> y </w:t>
      </w:r>
      <w:r w:rsidRPr="00C6165A">
        <w:t xml:space="preserve">se han recogido </w:t>
      </w:r>
      <w:r w:rsidR="009A130E">
        <w:t>95.619</w:t>
      </w:r>
      <w:r w:rsidRPr="00C6165A">
        <w:t xml:space="preserve"> toneladas</w:t>
      </w:r>
      <w:r w:rsidR="00C400A9">
        <w:t xml:space="preserve">, un </w:t>
      </w:r>
      <w:r w:rsidR="009A130E">
        <w:t>8</w:t>
      </w:r>
      <w:r w:rsidRPr="00C6165A">
        <w:t xml:space="preserve">,5% </w:t>
      </w:r>
      <w:r w:rsidR="00C400A9">
        <w:t xml:space="preserve">más que </w:t>
      </w:r>
      <w:r w:rsidRPr="00C6165A">
        <w:t>el año anterior</w:t>
      </w:r>
      <w:r w:rsidR="00C400A9">
        <w:t>, con una producción media de 533 kg/ha, muy inferior a los 797 kg/ha obtenidos en 2022.</w:t>
      </w:r>
    </w:p>
    <w:p w14:paraId="371D057D" w14:textId="0C6EF4ED" w:rsidR="00C400A9" w:rsidRPr="00C6165A" w:rsidRDefault="00C400A9" w:rsidP="00AA49C3">
      <w:pPr>
        <w:tabs>
          <w:tab w:val="left" w:pos="1095"/>
        </w:tabs>
      </w:pPr>
      <w:r>
        <w:t>Dos terceras partes de la superficie se corresponden con el cultivo de guisantes secos y vezas, para los que el año ha sido nefasto pese al incremento de superficie. En guisante se duplicó la superficie</w:t>
      </w:r>
      <w:r w:rsidR="0031787E">
        <w:t>,</w:t>
      </w:r>
      <w:r>
        <w:t xml:space="preserve"> pasando de 42.765 ha a 81.310 ha y, aun así, se obtuvo menos cosecha total.</w:t>
      </w:r>
    </w:p>
    <w:p w14:paraId="20308698" w14:textId="39319033" w:rsidR="00AA49C3" w:rsidRPr="00C6165A" w:rsidRDefault="00AA49C3" w:rsidP="00AA49C3">
      <w:pPr>
        <w:tabs>
          <w:tab w:val="left" w:pos="1095"/>
        </w:tabs>
      </w:pPr>
      <w:r w:rsidRPr="00C6165A">
        <w:t xml:space="preserve">En la siguiente tabla se puede ver la evolución de la superficie y producción por cultivos respecto a </w:t>
      </w:r>
      <w:r w:rsidR="00AD1117" w:rsidRPr="00C6165A">
        <w:t>20</w:t>
      </w:r>
      <w:r w:rsidR="00F44BDD" w:rsidRPr="00C6165A">
        <w:t>2</w:t>
      </w:r>
      <w:r w:rsidR="009A130E">
        <w:t>2</w:t>
      </w:r>
      <w:r w:rsidRPr="00C6165A">
        <w:t>:</w:t>
      </w:r>
    </w:p>
    <w:p w14:paraId="57DA4546" w14:textId="6BA0821E" w:rsidR="0068303F" w:rsidRDefault="0068303F" w:rsidP="00AA49C3">
      <w:pPr>
        <w:tabs>
          <w:tab w:val="left" w:pos="1095"/>
        </w:tabs>
      </w:pPr>
    </w:p>
    <w:tbl>
      <w:tblPr>
        <w:tblW w:w="8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9"/>
        <w:gridCol w:w="971"/>
        <w:gridCol w:w="1158"/>
        <w:gridCol w:w="1200"/>
        <w:gridCol w:w="935"/>
        <w:gridCol w:w="998"/>
        <w:gridCol w:w="1538"/>
      </w:tblGrid>
      <w:tr w:rsidR="00C6165A" w:rsidRPr="00C6165A" w14:paraId="6B4E1B01" w14:textId="77777777" w:rsidTr="00A35A55">
        <w:trPr>
          <w:trHeight w:val="315"/>
          <w:jc w:val="center"/>
        </w:trPr>
        <w:tc>
          <w:tcPr>
            <w:tcW w:w="1699" w:type="dxa"/>
            <w:tcBorders>
              <w:top w:val="nil"/>
              <w:left w:val="nil"/>
              <w:bottom w:val="nil"/>
              <w:right w:val="single" w:sz="4" w:space="0" w:color="auto"/>
            </w:tcBorders>
            <w:shd w:val="clear" w:color="auto" w:fill="auto"/>
            <w:noWrap/>
            <w:vAlign w:val="center"/>
            <w:hideMark/>
          </w:tcPr>
          <w:p w14:paraId="39CBD8B1" w14:textId="77777777" w:rsidR="0068303F" w:rsidRPr="00C6165A" w:rsidRDefault="0068303F" w:rsidP="0068303F">
            <w:pPr>
              <w:jc w:val="left"/>
              <w:rPr>
                <w:sz w:val="22"/>
                <w:szCs w:val="22"/>
                <w:lang w:eastAsia="es-ES"/>
              </w:rPr>
            </w:pPr>
            <w:r w:rsidRPr="00C6165A">
              <w:rPr>
                <w:sz w:val="22"/>
                <w:szCs w:val="22"/>
                <w:lang w:eastAsia="es-ES"/>
              </w:rPr>
              <w:t> </w:t>
            </w:r>
          </w:p>
        </w:tc>
        <w:tc>
          <w:tcPr>
            <w:tcW w:w="3329" w:type="dxa"/>
            <w:gridSpan w:val="3"/>
            <w:tcBorders>
              <w:left w:val="single" w:sz="4" w:space="0" w:color="auto"/>
            </w:tcBorders>
            <w:shd w:val="clear" w:color="auto" w:fill="auto"/>
            <w:noWrap/>
            <w:vAlign w:val="center"/>
            <w:hideMark/>
          </w:tcPr>
          <w:p w14:paraId="5C44C927" w14:textId="77777777" w:rsidR="0068303F" w:rsidRPr="00C6165A" w:rsidRDefault="0068303F" w:rsidP="0068303F">
            <w:pPr>
              <w:jc w:val="center"/>
              <w:rPr>
                <w:b/>
                <w:bCs/>
                <w:sz w:val="22"/>
                <w:szCs w:val="22"/>
                <w:lang w:eastAsia="es-ES"/>
              </w:rPr>
            </w:pPr>
            <w:r w:rsidRPr="00C6165A">
              <w:rPr>
                <w:b/>
                <w:bCs/>
                <w:sz w:val="22"/>
                <w:szCs w:val="22"/>
                <w:lang w:eastAsia="es-ES"/>
              </w:rPr>
              <w:t>Superficie (ha)</w:t>
            </w:r>
          </w:p>
        </w:tc>
        <w:tc>
          <w:tcPr>
            <w:tcW w:w="3471" w:type="dxa"/>
            <w:gridSpan w:val="3"/>
            <w:shd w:val="clear" w:color="auto" w:fill="auto"/>
            <w:noWrap/>
            <w:vAlign w:val="center"/>
            <w:hideMark/>
          </w:tcPr>
          <w:p w14:paraId="55E5C89D" w14:textId="77777777" w:rsidR="0068303F" w:rsidRPr="00C6165A" w:rsidRDefault="0068303F" w:rsidP="0068303F">
            <w:pPr>
              <w:jc w:val="center"/>
              <w:rPr>
                <w:b/>
                <w:bCs/>
                <w:sz w:val="22"/>
                <w:szCs w:val="22"/>
                <w:lang w:eastAsia="es-ES"/>
              </w:rPr>
            </w:pPr>
            <w:r w:rsidRPr="00C6165A">
              <w:rPr>
                <w:b/>
                <w:bCs/>
                <w:sz w:val="22"/>
                <w:szCs w:val="22"/>
                <w:lang w:eastAsia="es-ES"/>
              </w:rPr>
              <w:t>Producción (t)</w:t>
            </w:r>
          </w:p>
        </w:tc>
      </w:tr>
      <w:tr w:rsidR="00C6165A" w:rsidRPr="00C6165A" w14:paraId="691B16E4" w14:textId="77777777" w:rsidTr="00A35A55">
        <w:trPr>
          <w:trHeight w:val="315"/>
          <w:jc w:val="center"/>
        </w:trPr>
        <w:tc>
          <w:tcPr>
            <w:tcW w:w="1699" w:type="dxa"/>
            <w:tcBorders>
              <w:top w:val="nil"/>
              <w:left w:val="nil"/>
              <w:bottom w:val="single" w:sz="4" w:space="0" w:color="auto"/>
              <w:right w:val="single" w:sz="4" w:space="0" w:color="auto"/>
            </w:tcBorders>
            <w:shd w:val="clear" w:color="auto" w:fill="auto"/>
            <w:noWrap/>
            <w:vAlign w:val="center"/>
            <w:hideMark/>
          </w:tcPr>
          <w:p w14:paraId="2E6EEBC0" w14:textId="77777777" w:rsidR="003C6EF6" w:rsidRPr="00C6165A" w:rsidRDefault="003C6EF6" w:rsidP="003C6EF6">
            <w:pPr>
              <w:jc w:val="left"/>
              <w:rPr>
                <w:sz w:val="22"/>
                <w:szCs w:val="22"/>
                <w:lang w:eastAsia="es-ES"/>
              </w:rPr>
            </w:pPr>
            <w:r w:rsidRPr="00C6165A">
              <w:rPr>
                <w:sz w:val="22"/>
                <w:szCs w:val="22"/>
                <w:lang w:eastAsia="es-ES"/>
              </w:rPr>
              <w:t> </w:t>
            </w:r>
          </w:p>
        </w:tc>
        <w:tc>
          <w:tcPr>
            <w:tcW w:w="971" w:type="dxa"/>
            <w:tcBorders>
              <w:left w:val="single" w:sz="4" w:space="0" w:color="auto"/>
            </w:tcBorders>
            <w:shd w:val="clear" w:color="auto" w:fill="auto"/>
            <w:noWrap/>
            <w:vAlign w:val="center"/>
            <w:hideMark/>
          </w:tcPr>
          <w:p w14:paraId="7056FE49" w14:textId="682DA3D7" w:rsidR="003C6EF6" w:rsidRPr="00C6165A" w:rsidRDefault="00F44BDD" w:rsidP="003C6EF6">
            <w:pPr>
              <w:jc w:val="center"/>
              <w:rPr>
                <w:b/>
                <w:bCs/>
                <w:sz w:val="22"/>
                <w:szCs w:val="22"/>
                <w:lang w:eastAsia="es-ES"/>
              </w:rPr>
            </w:pPr>
            <w:r w:rsidRPr="00C6165A">
              <w:rPr>
                <w:b/>
                <w:bCs/>
                <w:sz w:val="22"/>
                <w:szCs w:val="22"/>
              </w:rPr>
              <w:t>202</w:t>
            </w:r>
            <w:r w:rsidR="009A130E">
              <w:rPr>
                <w:b/>
                <w:bCs/>
                <w:sz w:val="22"/>
                <w:szCs w:val="22"/>
              </w:rPr>
              <w:t>2</w:t>
            </w:r>
          </w:p>
        </w:tc>
        <w:tc>
          <w:tcPr>
            <w:tcW w:w="1158" w:type="dxa"/>
            <w:shd w:val="clear" w:color="auto" w:fill="auto"/>
            <w:noWrap/>
            <w:vAlign w:val="center"/>
            <w:hideMark/>
          </w:tcPr>
          <w:p w14:paraId="5466390B" w14:textId="488997D3" w:rsidR="003C6EF6" w:rsidRPr="00C6165A" w:rsidRDefault="00F44BDD" w:rsidP="003C6EF6">
            <w:pPr>
              <w:jc w:val="center"/>
              <w:rPr>
                <w:b/>
                <w:bCs/>
                <w:sz w:val="22"/>
                <w:szCs w:val="22"/>
                <w:lang w:eastAsia="es-ES"/>
              </w:rPr>
            </w:pPr>
            <w:r w:rsidRPr="00C6165A">
              <w:rPr>
                <w:b/>
                <w:bCs/>
                <w:sz w:val="22"/>
                <w:szCs w:val="22"/>
              </w:rPr>
              <w:t>202</w:t>
            </w:r>
            <w:r w:rsidR="009A130E">
              <w:rPr>
                <w:b/>
                <w:bCs/>
                <w:sz w:val="22"/>
                <w:szCs w:val="22"/>
              </w:rPr>
              <w:t>3</w:t>
            </w:r>
          </w:p>
        </w:tc>
        <w:tc>
          <w:tcPr>
            <w:tcW w:w="1200" w:type="dxa"/>
            <w:shd w:val="clear" w:color="auto" w:fill="auto"/>
            <w:noWrap/>
            <w:vAlign w:val="center"/>
            <w:hideMark/>
          </w:tcPr>
          <w:p w14:paraId="70A74504" w14:textId="67DFE762" w:rsidR="003C6EF6" w:rsidRPr="00C6165A" w:rsidRDefault="003C6EF6" w:rsidP="003C6EF6">
            <w:pPr>
              <w:jc w:val="center"/>
              <w:rPr>
                <w:b/>
                <w:bCs/>
                <w:sz w:val="22"/>
                <w:szCs w:val="22"/>
                <w:lang w:eastAsia="es-ES"/>
              </w:rPr>
            </w:pPr>
            <w:r w:rsidRPr="00C6165A">
              <w:rPr>
                <w:b/>
                <w:bCs/>
                <w:sz w:val="22"/>
                <w:szCs w:val="22"/>
              </w:rPr>
              <w:t>Variación (%)</w:t>
            </w:r>
          </w:p>
        </w:tc>
        <w:tc>
          <w:tcPr>
            <w:tcW w:w="935" w:type="dxa"/>
            <w:shd w:val="clear" w:color="auto" w:fill="auto"/>
            <w:noWrap/>
            <w:vAlign w:val="center"/>
            <w:hideMark/>
          </w:tcPr>
          <w:p w14:paraId="5C0FAB7A" w14:textId="436C3389" w:rsidR="003C6EF6" w:rsidRPr="00C6165A" w:rsidRDefault="00F44BDD" w:rsidP="003C6EF6">
            <w:pPr>
              <w:jc w:val="center"/>
              <w:rPr>
                <w:b/>
                <w:bCs/>
                <w:sz w:val="22"/>
                <w:szCs w:val="22"/>
                <w:lang w:eastAsia="es-ES"/>
              </w:rPr>
            </w:pPr>
            <w:r w:rsidRPr="00C6165A">
              <w:rPr>
                <w:b/>
                <w:bCs/>
                <w:sz w:val="22"/>
                <w:szCs w:val="22"/>
              </w:rPr>
              <w:t>202</w:t>
            </w:r>
            <w:r w:rsidR="009A130E">
              <w:rPr>
                <w:b/>
                <w:bCs/>
                <w:sz w:val="22"/>
                <w:szCs w:val="22"/>
              </w:rPr>
              <w:t>2</w:t>
            </w:r>
          </w:p>
        </w:tc>
        <w:tc>
          <w:tcPr>
            <w:tcW w:w="998" w:type="dxa"/>
            <w:shd w:val="clear" w:color="auto" w:fill="auto"/>
            <w:noWrap/>
            <w:vAlign w:val="center"/>
            <w:hideMark/>
          </w:tcPr>
          <w:p w14:paraId="60325F6E" w14:textId="19AFF197" w:rsidR="003C6EF6" w:rsidRPr="00C6165A" w:rsidRDefault="009A130E" w:rsidP="003C6EF6">
            <w:pPr>
              <w:jc w:val="center"/>
              <w:rPr>
                <w:b/>
                <w:bCs/>
                <w:sz w:val="22"/>
                <w:szCs w:val="22"/>
                <w:lang w:eastAsia="es-ES"/>
              </w:rPr>
            </w:pPr>
            <w:r>
              <w:rPr>
                <w:b/>
                <w:bCs/>
                <w:sz w:val="22"/>
                <w:szCs w:val="22"/>
              </w:rPr>
              <w:t>2023</w:t>
            </w:r>
          </w:p>
        </w:tc>
        <w:tc>
          <w:tcPr>
            <w:tcW w:w="1538" w:type="dxa"/>
            <w:shd w:val="clear" w:color="auto" w:fill="auto"/>
            <w:noWrap/>
            <w:vAlign w:val="center"/>
            <w:hideMark/>
          </w:tcPr>
          <w:p w14:paraId="0783DF53" w14:textId="4337A2D2" w:rsidR="003C6EF6" w:rsidRPr="00C6165A" w:rsidRDefault="003C6EF6" w:rsidP="003C6EF6">
            <w:pPr>
              <w:jc w:val="center"/>
              <w:rPr>
                <w:b/>
                <w:bCs/>
                <w:sz w:val="22"/>
                <w:szCs w:val="22"/>
                <w:lang w:eastAsia="es-ES"/>
              </w:rPr>
            </w:pPr>
            <w:r w:rsidRPr="00C6165A">
              <w:rPr>
                <w:b/>
                <w:bCs/>
                <w:sz w:val="22"/>
                <w:szCs w:val="22"/>
              </w:rPr>
              <w:t>Variación (%)</w:t>
            </w:r>
          </w:p>
        </w:tc>
      </w:tr>
      <w:tr w:rsidR="009A130E" w:rsidRPr="00C6165A" w14:paraId="617A6622" w14:textId="77777777" w:rsidTr="009A130E">
        <w:trPr>
          <w:trHeight w:val="315"/>
          <w:jc w:val="center"/>
        </w:trPr>
        <w:tc>
          <w:tcPr>
            <w:tcW w:w="1699" w:type="dxa"/>
            <w:tcBorders>
              <w:top w:val="single" w:sz="4" w:space="0" w:color="auto"/>
            </w:tcBorders>
            <w:shd w:val="clear" w:color="auto" w:fill="auto"/>
            <w:noWrap/>
            <w:vAlign w:val="center"/>
            <w:hideMark/>
          </w:tcPr>
          <w:p w14:paraId="4F4A1B51" w14:textId="77777777" w:rsidR="009A130E" w:rsidRPr="00C6165A" w:rsidRDefault="009A130E" w:rsidP="009A130E">
            <w:pPr>
              <w:jc w:val="left"/>
              <w:rPr>
                <w:sz w:val="22"/>
                <w:szCs w:val="22"/>
                <w:lang w:eastAsia="es-ES"/>
              </w:rPr>
            </w:pPr>
            <w:r w:rsidRPr="00C6165A">
              <w:rPr>
                <w:sz w:val="22"/>
                <w:szCs w:val="22"/>
                <w:lang w:eastAsia="es-ES"/>
              </w:rPr>
              <w:t>Judías secas</w:t>
            </w:r>
          </w:p>
        </w:tc>
        <w:tc>
          <w:tcPr>
            <w:tcW w:w="971" w:type="dxa"/>
            <w:shd w:val="clear" w:color="auto" w:fill="auto"/>
            <w:noWrap/>
            <w:vAlign w:val="center"/>
          </w:tcPr>
          <w:p w14:paraId="6906E13E" w14:textId="2A893114" w:rsidR="009A130E" w:rsidRPr="009A130E" w:rsidRDefault="009A130E" w:rsidP="009A130E">
            <w:pPr>
              <w:jc w:val="center"/>
              <w:rPr>
                <w:sz w:val="22"/>
                <w:szCs w:val="22"/>
                <w:lang w:eastAsia="es-ES"/>
              </w:rPr>
            </w:pPr>
            <w:r w:rsidRPr="009A130E">
              <w:rPr>
                <w:sz w:val="20"/>
                <w:szCs w:val="20"/>
              </w:rPr>
              <w:t>3.660</w:t>
            </w:r>
          </w:p>
        </w:tc>
        <w:tc>
          <w:tcPr>
            <w:tcW w:w="1158" w:type="dxa"/>
            <w:shd w:val="clear" w:color="auto" w:fill="auto"/>
            <w:noWrap/>
            <w:vAlign w:val="center"/>
          </w:tcPr>
          <w:p w14:paraId="47FBFA2A" w14:textId="6C2CA01C" w:rsidR="009A130E" w:rsidRPr="009A130E" w:rsidRDefault="009A130E" w:rsidP="009A130E">
            <w:pPr>
              <w:jc w:val="center"/>
              <w:rPr>
                <w:sz w:val="22"/>
                <w:szCs w:val="22"/>
                <w:lang w:eastAsia="es-ES"/>
              </w:rPr>
            </w:pPr>
            <w:r w:rsidRPr="009A130E">
              <w:rPr>
                <w:sz w:val="20"/>
                <w:szCs w:val="20"/>
              </w:rPr>
              <w:t>4.860</w:t>
            </w:r>
          </w:p>
        </w:tc>
        <w:tc>
          <w:tcPr>
            <w:tcW w:w="1200" w:type="dxa"/>
            <w:shd w:val="clear" w:color="auto" w:fill="auto"/>
            <w:noWrap/>
            <w:vAlign w:val="center"/>
          </w:tcPr>
          <w:p w14:paraId="28B8F3A7" w14:textId="070735D5" w:rsidR="009A130E" w:rsidRPr="009A130E" w:rsidRDefault="009A130E" w:rsidP="009A130E">
            <w:pPr>
              <w:jc w:val="center"/>
              <w:rPr>
                <w:sz w:val="22"/>
                <w:szCs w:val="22"/>
                <w:lang w:eastAsia="es-ES"/>
              </w:rPr>
            </w:pPr>
            <w:r w:rsidRPr="009A130E">
              <w:rPr>
                <w:sz w:val="20"/>
                <w:szCs w:val="20"/>
              </w:rPr>
              <w:t>32,8%</w:t>
            </w:r>
          </w:p>
        </w:tc>
        <w:tc>
          <w:tcPr>
            <w:tcW w:w="935" w:type="dxa"/>
            <w:shd w:val="clear" w:color="auto" w:fill="auto"/>
            <w:noWrap/>
            <w:vAlign w:val="center"/>
          </w:tcPr>
          <w:p w14:paraId="5A6811B4" w14:textId="3AA8CFF8" w:rsidR="009A130E" w:rsidRPr="009A130E" w:rsidRDefault="009A130E" w:rsidP="009A130E">
            <w:pPr>
              <w:jc w:val="center"/>
              <w:rPr>
                <w:sz w:val="22"/>
                <w:szCs w:val="22"/>
                <w:lang w:eastAsia="es-ES"/>
              </w:rPr>
            </w:pPr>
            <w:r w:rsidRPr="009A130E">
              <w:rPr>
                <w:sz w:val="20"/>
                <w:szCs w:val="20"/>
              </w:rPr>
              <w:t>6.910</w:t>
            </w:r>
          </w:p>
        </w:tc>
        <w:tc>
          <w:tcPr>
            <w:tcW w:w="998" w:type="dxa"/>
            <w:shd w:val="clear" w:color="auto" w:fill="auto"/>
            <w:noWrap/>
            <w:vAlign w:val="center"/>
          </w:tcPr>
          <w:p w14:paraId="657BFD88" w14:textId="793F41A5" w:rsidR="009A130E" w:rsidRPr="009A130E" w:rsidRDefault="009A130E" w:rsidP="009A130E">
            <w:pPr>
              <w:jc w:val="center"/>
              <w:rPr>
                <w:sz w:val="22"/>
                <w:szCs w:val="22"/>
                <w:lang w:eastAsia="es-ES"/>
              </w:rPr>
            </w:pPr>
            <w:r w:rsidRPr="009A130E">
              <w:rPr>
                <w:sz w:val="20"/>
                <w:szCs w:val="20"/>
              </w:rPr>
              <w:t>10.842</w:t>
            </w:r>
          </w:p>
        </w:tc>
        <w:tc>
          <w:tcPr>
            <w:tcW w:w="1538" w:type="dxa"/>
            <w:shd w:val="clear" w:color="auto" w:fill="auto"/>
            <w:noWrap/>
            <w:vAlign w:val="center"/>
          </w:tcPr>
          <w:p w14:paraId="60BA2DC2" w14:textId="0AC64E02" w:rsidR="009A130E" w:rsidRPr="009A130E" w:rsidRDefault="009A130E" w:rsidP="009A130E">
            <w:pPr>
              <w:jc w:val="center"/>
              <w:rPr>
                <w:sz w:val="22"/>
                <w:szCs w:val="22"/>
                <w:lang w:eastAsia="es-ES"/>
              </w:rPr>
            </w:pPr>
            <w:r w:rsidRPr="009A130E">
              <w:rPr>
                <w:sz w:val="20"/>
                <w:szCs w:val="20"/>
              </w:rPr>
              <w:t>56,9%</w:t>
            </w:r>
          </w:p>
        </w:tc>
      </w:tr>
      <w:tr w:rsidR="009A130E" w:rsidRPr="00C6165A" w14:paraId="7D89BFAF" w14:textId="77777777" w:rsidTr="009A130E">
        <w:trPr>
          <w:trHeight w:val="315"/>
          <w:jc w:val="center"/>
        </w:trPr>
        <w:tc>
          <w:tcPr>
            <w:tcW w:w="1699" w:type="dxa"/>
            <w:shd w:val="clear" w:color="auto" w:fill="auto"/>
            <w:noWrap/>
            <w:vAlign w:val="center"/>
            <w:hideMark/>
          </w:tcPr>
          <w:p w14:paraId="2FAD0D74" w14:textId="77777777" w:rsidR="009A130E" w:rsidRPr="00C6165A" w:rsidRDefault="009A130E" w:rsidP="009A130E">
            <w:pPr>
              <w:jc w:val="left"/>
              <w:rPr>
                <w:sz w:val="22"/>
                <w:szCs w:val="22"/>
                <w:lang w:eastAsia="es-ES"/>
              </w:rPr>
            </w:pPr>
            <w:r w:rsidRPr="00C6165A">
              <w:rPr>
                <w:sz w:val="22"/>
                <w:szCs w:val="22"/>
                <w:lang w:eastAsia="es-ES"/>
              </w:rPr>
              <w:t>Habas secas</w:t>
            </w:r>
          </w:p>
        </w:tc>
        <w:tc>
          <w:tcPr>
            <w:tcW w:w="971" w:type="dxa"/>
            <w:shd w:val="clear" w:color="auto" w:fill="auto"/>
            <w:noWrap/>
            <w:vAlign w:val="center"/>
          </w:tcPr>
          <w:p w14:paraId="1CE9F296" w14:textId="74AB47F7" w:rsidR="009A130E" w:rsidRPr="009A130E" w:rsidRDefault="009A130E" w:rsidP="009A130E">
            <w:pPr>
              <w:jc w:val="center"/>
              <w:rPr>
                <w:sz w:val="22"/>
                <w:szCs w:val="22"/>
                <w:lang w:eastAsia="es-ES"/>
              </w:rPr>
            </w:pPr>
            <w:r w:rsidRPr="009A130E">
              <w:rPr>
                <w:sz w:val="20"/>
                <w:szCs w:val="20"/>
              </w:rPr>
              <w:t>268</w:t>
            </w:r>
          </w:p>
        </w:tc>
        <w:tc>
          <w:tcPr>
            <w:tcW w:w="1158" w:type="dxa"/>
            <w:shd w:val="clear" w:color="auto" w:fill="auto"/>
            <w:noWrap/>
            <w:vAlign w:val="center"/>
          </w:tcPr>
          <w:p w14:paraId="560C16FE" w14:textId="69F4B322" w:rsidR="009A130E" w:rsidRPr="009A130E" w:rsidRDefault="009A130E" w:rsidP="009A130E">
            <w:pPr>
              <w:jc w:val="center"/>
              <w:rPr>
                <w:sz w:val="22"/>
                <w:szCs w:val="22"/>
                <w:lang w:eastAsia="es-ES"/>
              </w:rPr>
            </w:pPr>
            <w:r w:rsidRPr="009A130E">
              <w:rPr>
                <w:sz w:val="20"/>
                <w:szCs w:val="20"/>
              </w:rPr>
              <w:t>623</w:t>
            </w:r>
          </w:p>
        </w:tc>
        <w:tc>
          <w:tcPr>
            <w:tcW w:w="1200" w:type="dxa"/>
            <w:shd w:val="clear" w:color="auto" w:fill="auto"/>
            <w:noWrap/>
            <w:vAlign w:val="center"/>
          </w:tcPr>
          <w:p w14:paraId="28DAF873" w14:textId="6B890879" w:rsidR="009A130E" w:rsidRPr="009A130E" w:rsidRDefault="009A130E" w:rsidP="009A130E">
            <w:pPr>
              <w:jc w:val="center"/>
              <w:rPr>
                <w:sz w:val="22"/>
                <w:szCs w:val="22"/>
                <w:lang w:eastAsia="es-ES"/>
              </w:rPr>
            </w:pPr>
            <w:r w:rsidRPr="009A130E">
              <w:rPr>
                <w:sz w:val="20"/>
                <w:szCs w:val="20"/>
              </w:rPr>
              <w:t>132,5%</w:t>
            </w:r>
          </w:p>
        </w:tc>
        <w:tc>
          <w:tcPr>
            <w:tcW w:w="935" w:type="dxa"/>
            <w:shd w:val="clear" w:color="auto" w:fill="auto"/>
            <w:noWrap/>
            <w:vAlign w:val="center"/>
          </w:tcPr>
          <w:p w14:paraId="737A1603" w14:textId="03170418" w:rsidR="009A130E" w:rsidRPr="009A130E" w:rsidRDefault="009A130E" w:rsidP="009A130E">
            <w:pPr>
              <w:jc w:val="center"/>
              <w:rPr>
                <w:sz w:val="22"/>
                <w:szCs w:val="22"/>
                <w:lang w:eastAsia="es-ES"/>
              </w:rPr>
            </w:pPr>
            <w:r w:rsidRPr="009A130E">
              <w:rPr>
                <w:sz w:val="20"/>
                <w:szCs w:val="20"/>
              </w:rPr>
              <w:t>481</w:t>
            </w:r>
          </w:p>
        </w:tc>
        <w:tc>
          <w:tcPr>
            <w:tcW w:w="998" w:type="dxa"/>
            <w:shd w:val="clear" w:color="auto" w:fill="auto"/>
            <w:noWrap/>
            <w:vAlign w:val="center"/>
          </w:tcPr>
          <w:p w14:paraId="2DAB60CF" w14:textId="2504C332" w:rsidR="009A130E" w:rsidRPr="009A130E" w:rsidRDefault="009A130E" w:rsidP="009A130E">
            <w:pPr>
              <w:jc w:val="center"/>
              <w:rPr>
                <w:sz w:val="22"/>
                <w:szCs w:val="22"/>
                <w:lang w:eastAsia="es-ES"/>
              </w:rPr>
            </w:pPr>
            <w:r w:rsidRPr="009A130E">
              <w:rPr>
                <w:sz w:val="20"/>
                <w:szCs w:val="20"/>
              </w:rPr>
              <w:t>1.219</w:t>
            </w:r>
          </w:p>
        </w:tc>
        <w:tc>
          <w:tcPr>
            <w:tcW w:w="1538" w:type="dxa"/>
            <w:shd w:val="clear" w:color="auto" w:fill="auto"/>
            <w:noWrap/>
            <w:vAlign w:val="center"/>
          </w:tcPr>
          <w:p w14:paraId="22ADB872" w14:textId="42C10AAA" w:rsidR="009A130E" w:rsidRPr="009A130E" w:rsidRDefault="009A130E" w:rsidP="009A130E">
            <w:pPr>
              <w:jc w:val="center"/>
              <w:rPr>
                <w:sz w:val="22"/>
                <w:szCs w:val="22"/>
                <w:lang w:eastAsia="es-ES"/>
              </w:rPr>
            </w:pPr>
            <w:r w:rsidRPr="009A130E">
              <w:rPr>
                <w:sz w:val="20"/>
                <w:szCs w:val="20"/>
              </w:rPr>
              <w:t>153,4%</w:t>
            </w:r>
          </w:p>
        </w:tc>
      </w:tr>
      <w:tr w:rsidR="009A130E" w:rsidRPr="00C6165A" w14:paraId="0163D6AA" w14:textId="77777777" w:rsidTr="009A130E">
        <w:trPr>
          <w:trHeight w:val="315"/>
          <w:jc w:val="center"/>
        </w:trPr>
        <w:tc>
          <w:tcPr>
            <w:tcW w:w="1699" w:type="dxa"/>
            <w:shd w:val="clear" w:color="auto" w:fill="auto"/>
            <w:noWrap/>
            <w:vAlign w:val="center"/>
            <w:hideMark/>
          </w:tcPr>
          <w:p w14:paraId="288B8759" w14:textId="77777777" w:rsidR="009A130E" w:rsidRPr="00C6165A" w:rsidRDefault="009A130E" w:rsidP="009A130E">
            <w:pPr>
              <w:jc w:val="left"/>
              <w:rPr>
                <w:sz w:val="22"/>
                <w:szCs w:val="22"/>
                <w:lang w:eastAsia="es-ES"/>
              </w:rPr>
            </w:pPr>
            <w:r w:rsidRPr="00C6165A">
              <w:rPr>
                <w:sz w:val="22"/>
                <w:szCs w:val="22"/>
                <w:lang w:eastAsia="es-ES"/>
              </w:rPr>
              <w:t xml:space="preserve">Lentejas </w:t>
            </w:r>
          </w:p>
        </w:tc>
        <w:tc>
          <w:tcPr>
            <w:tcW w:w="971" w:type="dxa"/>
            <w:shd w:val="clear" w:color="auto" w:fill="auto"/>
            <w:noWrap/>
            <w:vAlign w:val="center"/>
          </w:tcPr>
          <w:p w14:paraId="0BD43508" w14:textId="02C300C4" w:rsidR="009A130E" w:rsidRPr="009A130E" w:rsidRDefault="009A130E" w:rsidP="009A130E">
            <w:pPr>
              <w:jc w:val="center"/>
              <w:rPr>
                <w:sz w:val="22"/>
                <w:szCs w:val="22"/>
                <w:lang w:eastAsia="es-ES"/>
              </w:rPr>
            </w:pPr>
            <w:r w:rsidRPr="009A130E">
              <w:rPr>
                <w:sz w:val="20"/>
                <w:szCs w:val="20"/>
              </w:rPr>
              <w:t>11.614</w:t>
            </w:r>
          </w:p>
        </w:tc>
        <w:tc>
          <w:tcPr>
            <w:tcW w:w="1158" w:type="dxa"/>
            <w:shd w:val="clear" w:color="auto" w:fill="auto"/>
            <w:noWrap/>
            <w:vAlign w:val="center"/>
          </w:tcPr>
          <w:p w14:paraId="67032342" w14:textId="0E010CFD" w:rsidR="009A130E" w:rsidRPr="009A130E" w:rsidRDefault="009A130E" w:rsidP="009A130E">
            <w:pPr>
              <w:jc w:val="center"/>
              <w:rPr>
                <w:sz w:val="22"/>
                <w:szCs w:val="22"/>
                <w:lang w:eastAsia="es-ES"/>
              </w:rPr>
            </w:pPr>
            <w:r w:rsidRPr="009A130E">
              <w:rPr>
                <w:sz w:val="20"/>
                <w:szCs w:val="20"/>
              </w:rPr>
              <w:t>13.119</w:t>
            </w:r>
          </w:p>
        </w:tc>
        <w:tc>
          <w:tcPr>
            <w:tcW w:w="1200" w:type="dxa"/>
            <w:shd w:val="clear" w:color="auto" w:fill="auto"/>
            <w:noWrap/>
            <w:vAlign w:val="center"/>
          </w:tcPr>
          <w:p w14:paraId="7E6C9362" w14:textId="595BF8B6" w:rsidR="009A130E" w:rsidRPr="009A130E" w:rsidRDefault="009A130E" w:rsidP="009A130E">
            <w:pPr>
              <w:jc w:val="center"/>
              <w:rPr>
                <w:sz w:val="22"/>
                <w:szCs w:val="22"/>
                <w:lang w:eastAsia="es-ES"/>
              </w:rPr>
            </w:pPr>
            <w:r w:rsidRPr="009A130E">
              <w:rPr>
                <w:sz w:val="20"/>
                <w:szCs w:val="20"/>
              </w:rPr>
              <w:t>13,0%</w:t>
            </w:r>
          </w:p>
        </w:tc>
        <w:tc>
          <w:tcPr>
            <w:tcW w:w="935" w:type="dxa"/>
            <w:shd w:val="clear" w:color="auto" w:fill="auto"/>
            <w:noWrap/>
            <w:vAlign w:val="center"/>
          </w:tcPr>
          <w:p w14:paraId="265F12D6" w14:textId="386154CE" w:rsidR="009A130E" w:rsidRPr="009A130E" w:rsidRDefault="009A130E" w:rsidP="009A130E">
            <w:pPr>
              <w:jc w:val="center"/>
              <w:rPr>
                <w:sz w:val="22"/>
                <w:szCs w:val="22"/>
                <w:lang w:eastAsia="es-ES"/>
              </w:rPr>
            </w:pPr>
            <w:r w:rsidRPr="009A130E">
              <w:rPr>
                <w:sz w:val="20"/>
                <w:szCs w:val="20"/>
              </w:rPr>
              <w:t>5.724</w:t>
            </w:r>
          </w:p>
        </w:tc>
        <w:tc>
          <w:tcPr>
            <w:tcW w:w="998" w:type="dxa"/>
            <w:shd w:val="clear" w:color="auto" w:fill="auto"/>
            <w:noWrap/>
            <w:vAlign w:val="center"/>
          </w:tcPr>
          <w:p w14:paraId="28625583" w14:textId="08FF31E4" w:rsidR="009A130E" w:rsidRPr="009A130E" w:rsidRDefault="009A130E" w:rsidP="009A130E">
            <w:pPr>
              <w:jc w:val="center"/>
              <w:rPr>
                <w:sz w:val="22"/>
                <w:szCs w:val="22"/>
                <w:lang w:eastAsia="es-ES"/>
              </w:rPr>
            </w:pPr>
            <w:r w:rsidRPr="009A130E">
              <w:rPr>
                <w:sz w:val="20"/>
                <w:szCs w:val="20"/>
              </w:rPr>
              <w:t>4.874</w:t>
            </w:r>
          </w:p>
        </w:tc>
        <w:tc>
          <w:tcPr>
            <w:tcW w:w="1538" w:type="dxa"/>
            <w:shd w:val="clear" w:color="auto" w:fill="auto"/>
            <w:noWrap/>
            <w:vAlign w:val="center"/>
          </w:tcPr>
          <w:p w14:paraId="5F775E27" w14:textId="41299D25" w:rsidR="009A130E" w:rsidRPr="009A130E" w:rsidRDefault="009A130E" w:rsidP="009A130E">
            <w:pPr>
              <w:jc w:val="center"/>
              <w:rPr>
                <w:sz w:val="22"/>
                <w:szCs w:val="22"/>
                <w:lang w:eastAsia="es-ES"/>
              </w:rPr>
            </w:pPr>
            <w:r w:rsidRPr="009A130E">
              <w:rPr>
                <w:sz w:val="20"/>
                <w:szCs w:val="20"/>
              </w:rPr>
              <w:t>-14,8%</w:t>
            </w:r>
          </w:p>
        </w:tc>
      </w:tr>
      <w:tr w:rsidR="009A130E" w:rsidRPr="00C6165A" w14:paraId="02316791" w14:textId="77777777" w:rsidTr="009A130E">
        <w:trPr>
          <w:trHeight w:val="315"/>
          <w:jc w:val="center"/>
        </w:trPr>
        <w:tc>
          <w:tcPr>
            <w:tcW w:w="1699" w:type="dxa"/>
            <w:shd w:val="clear" w:color="auto" w:fill="auto"/>
            <w:noWrap/>
            <w:vAlign w:val="center"/>
            <w:hideMark/>
          </w:tcPr>
          <w:p w14:paraId="6E2ED8B9" w14:textId="77777777" w:rsidR="009A130E" w:rsidRPr="00C6165A" w:rsidRDefault="009A130E" w:rsidP="009A130E">
            <w:pPr>
              <w:jc w:val="left"/>
              <w:rPr>
                <w:sz w:val="22"/>
                <w:szCs w:val="22"/>
                <w:lang w:eastAsia="es-ES"/>
              </w:rPr>
            </w:pPr>
            <w:r w:rsidRPr="00C6165A">
              <w:rPr>
                <w:sz w:val="22"/>
                <w:szCs w:val="22"/>
                <w:lang w:eastAsia="es-ES"/>
              </w:rPr>
              <w:t>Garbanzos</w:t>
            </w:r>
          </w:p>
        </w:tc>
        <w:tc>
          <w:tcPr>
            <w:tcW w:w="971" w:type="dxa"/>
            <w:shd w:val="clear" w:color="auto" w:fill="auto"/>
            <w:noWrap/>
            <w:vAlign w:val="center"/>
          </w:tcPr>
          <w:p w14:paraId="163D2E6B" w14:textId="747E5973" w:rsidR="009A130E" w:rsidRPr="009A130E" w:rsidRDefault="009A130E" w:rsidP="009A130E">
            <w:pPr>
              <w:jc w:val="center"/>
              <w:rPr>
                <w:sz w:val="22"/>
                <w:szCs w:val="22"/>
                <w:lang w:eastAsia="es-ES"/>
              </w:rPr>
            </w:pPr>
            <w:r w:rsidRPr="009A130E">
              <w:rPr>
                <w:sz w:val="20"/>
                <w:szCs w:val="20"/>
              </w:rPr>
              <w:t>8.118</w:t>
            </w:r>
          </w:p>
        </w:tc>
        <w:tc>
          <w:tcPr>
            <w:tcW w:w="1158" w:type="dxa"/>
            <w:shd w:val="clear" w:color="auto" w:fill="auto"/>
            <w:noWrap/>
            <w:vAlign w:val="center"/>
          </w:tcPr>
          <w:p w14:paraId="442A6B9A" w14:textId="2E3A75C8" w:rsidR="009A130E" w:rsidRPr="009A130E" w:rsidRDefault="009A130E" w:rsidP="009A130E">
            <w:pPr>
              <w:jc w:val="center"/>
              <w:rPr>
                <w:sz w:val="22"/>
                <w:szCs w:val="22"/>
                <w:lang w:eastAsia="es-ES"/>
              </w:rPr>
            </w:pPr>
            <w:r w:rsidRPr="009A130E">
              <w:rPr>
                <w:sz w:val="20"/>
                <w:szCs w:val="20"/>
              </w:rPr>
              <w:t>19.886</w:t>
            </w:r>
          </w:p>
        </w:tc>
        <w:tc>
          <w:tcPr>
            <w:tcW w:w="1200" w:type="dxa"/>
            <w:shd w:val="clear" w:color="auto" w:fill="auto"/>
            <w:noWrap/>
            <w:vAlign w:val="center"/>
          </w:tcPr>
          <w:p w14:paraId="2A6EDDA5" w14:textId="13C54DCE" w:rsidR="009A130E" w:rsidRPr="009A130E" w:rsidRDefault="009A130E" w:rsidP="009A130E">
            <w:pPr>
              <w:jc w:val="center"/>
              <w:rPr>
                <w:sz w:val="22"/>
                <w:szCs w:val="22"/>
                <w:lang w:eastAsia="es-ES"/>
              </w:rPr>
            </w:pPr>
            <w:r w:rsidRPr="009A130E">
              <w:rPr>
                <w:sz w:val="20"/>
                <w:szCs w:val="20"/>
              </w:rPr>
              <w:t>145,0%</w:t>
            </w:r>
          </w:p>
        </w:tc>
        <w:tc>
          <w:tcPr>
            <w:tcW w:w="935" w:type="dxa"/>
            <w:shd w:val="clear" w:color="auto" w:fill="auto"/>
            <w:noWrap/>
            <w:vAlign w:val="center"/>
          </w:tcPr>
          <w:p w14:paraId="7A39CF97" w14:textId="13468AA4" w:rsidR="009A130E" w:rsidRPr="009A130E" w:rsidRDefault="009A130E" w:rsidP="009A130E">
            <w:pPr>
              <w:jc w:val="center"/>
              <w:rPr>
                <w:sz w:val="22"/>
                <w:szCs w:val="22"/>
                <w:lang w:eastAsia="es-ES"/>
              </w:rPr>
            </w:pPr>
            <w:r w:rsidRPr="009A130E">
              <w:rPr>
                <w:sz w:val="20"/>
                <w:szCs w:val="20"/>
              </w:rPr>
              <w:t>4.400</w:t>
            </w:r>
          </w:p>
        </w:tc>
        <w:tc>
          <w:tcPr>
            <w:tcW w:w="998" w:type="dxa"/>
            <w:shd w:val="clear" w:color="auto" w:fill="auto"/>
            <w:noWrap/>
            <w:vAlign w:val="center"/>
          </w:tcPr>
          <w:p w14:paraId="16DDCD18" w14:textId="14416EE7" w:rsidR="009A130E" w:rsidRPr="009A130E" w:rsidRDefault="009A130E" w:rsidP="009A130E">
            <w:pPr>
              <w:jc w:val="center"/>
              <w:rPr>
                <w:sz w:val="22"/>
                <w:szCs w:val="22"/>
                <w:lang w:eastAsia="es-ES"/>
              </w:rPr>
            </w:pPr>
            <w:r w:rsidRPr="009A130E">
              <w:rPr>
                <w:sz w:val="20"/>
                <w:szCs w:val="20"/>
              </w:rPr>
              <w:t>16.117</w:t>
            </w:r>
          </w:p>
        </w:tc>
        <w:tc>
          <w:tcPr>
            <w:tcW w:w="1538" w:type="dxa"/>
            <w:shd w:val="clear" w:color="auto" w:fill="auto"/>
            <w:noWrap/>
            <w:vAlign w:val="center"/>
          </w:tcPr>
          <w:p w14:paraId="5611C14C" w14:textId="2D4845AC" w:rsidR="009A130E" w:rsidRPr="009A130E" w:rsidRDefault="009A130E" w:rsidP="009A130E">
            <w:pPr>
              <w:jc w:val="center"/>
              <w:rPr>
                <w:sz w:val="22"/>
                <w:szCs w:val="22"/>
                <w:lang w:eastAsia="es-ES"/>
              </w:rPr>
            </w:pPr>
            <w:r w:rsidRPr="009A130E">
              <w:rPr>
                <w:sz w:val="20"/>
                <w:szCs w:val="20"/>
              </w:rPr>
              <w:t>266,3%</w:t>
            </w:r>
          </w:p>
        </w:tc>
      </w:tr>
      <w:tr w:rsidR="009A130E" w:rsidRPr="00C6165A" w14:paraId="4C8401A5" w14:textId="77777777" w:rsidTr="009A130E">
        <w:trPr>
          <w:trHeight w:val="315"/>
          <w:jc w:val="center"/>
        </w:trPr>
        <w:tc>
          <w:tcPr>
            <w:tcW w:w="1699" w:type="dxa"/>
            <w:shd w:val="clear" w:color="auto" w:fill="auto"/>
            <w:noWrap/>
            <w:vAlign w:val="center"/>
            <w:hideMark/>
          </w:tcPr>
          <w:p w14:paraId="3C5EC8D1" w14:textId="77777777" w:rsidR="009A130E" w:rsidRPr="00C6165A" w:rsidRDefault="009A130E" w:rsidP="009A130E">
            <w:pPr>
              <w:jc w:val="left"/>
              <w:rPr>
                <w:sz w:val="22"/>
                <w:szCs w:val="22"/>
                <w:lang w:eastAsia="es-ES"/>
              </w:rPr>
            </w:pPr>
            <w:r w:rsidRPr="00C6165A">
              <w:rPr>
                <w:sz w:val="22"/>
                <w:szCs w:val="22"/>
                <w:lang w:eastAsia="es-ES"/>
              </w:rPr>
              <w:t>Guisantes secos</w:t>
            </w:r>
          </w:p>
        </w:tc>
        <w:tc>
          <w:tcPr>
            <w:tcW w:w="971" w:type="dxa"/>
            <w:shd w:val="clear" w:color="auto" w:fill="auto"/>
            <w:noWrap/>
            <w:vAlign w:val="center"/>
          </w:tcPr>
          <w:p w14:paraId="1B4ADB0A" w14:textId="48A5A256" w:rsidR="009A130E" w:rsidRPr="009A130E" w:rsidRDefault="009A130E" w:rsidP="009A130E">
            <w:pPr>
              <w:jc w:val="center"/>
              <w:rPr>
                <w:sz w:val="22"/>
                <w:szCs w:val="22"/>
                <w:lang w:eastAsia="es-ES"/>
              </w:rPr>
            </w:pPr>
            <w:r w:rsidRPr="009A130E">
              <w:rPr>
                <w:sz w:val="20"/>
                <w:szCs w:val="20"/>
              </w:rPr>
              <w:t>42.765</w:t>
            </w:r>
          </w:p>
        </w:tc>
        <w:tc>
          <w:tcPr>
            <w:tcW w:w="1158" w:type="dxa"/>
            <w:shd w:val="clear" w:color="auto" w:fill="auto"/>
            <w:noWrap/>
            <w:vAlign w:val="center"/>
          </w:tcPr>
          <w:p w14:paraId="21C1C256" w14:textId="1551A8B1" w:rsidR="009A130E" w:rsidRPr="009A130E" w:rsidRDefault="009A130E" w:rsidP="009A130E">
            <w:pPr>
              <w:jc w:val="center"/>
              <w:rPr>
                <w:sz w:val="22"/>
                <w:szCs w:val="22"/>
                <w:lang w:eastAsia="es-ES"/>
              </w:rPr>
            </w:pPr>
            <w:r w:rsidRPr="009A130E">
              <w:rPr>
                <w:sz w:val="20"/>
                <w:szCs w:val="20"/>
              </w:rPr>
              <w:t>81.310</w:t>
            </w:r>
          </w:p>
        </w:tc>
        <w:tc>
          <w:tcPr>
            <w:tcW w:w="1200" w:type="dxa"/>
            <w:shd w:val="clear" w:color="auto" w:fill="auto"/>
            <w:noWrap/>
            <w:vAlign w:val="center"/>
          </w:tcPr>
          <w:p w14:paraId="21491D75" w14:textId="78C153E8" w:rsidR="009A130E" w:rsidRPr="009A130E" w:rsidRDefault="009A130E" w:rsidP="009A130E">
            <w:pPr>
              <w:jc w:val="center"/>
              <w:rPr>
                <w:sz w:val="22"/>
                <w:szCs w:val="22"/>
                <w:lang w:eastAsia="es-ES"/>
              </w:rPr>
            </w:pPr>
            <w:r w:rsidRPr="009A130E">
              <w:rPr>
                <w:sz w:val="20"/>
                <w:szCs w:val="20"/>
              </w:rPr>
              <w:t>90,1%</w:t>
            </w:r>
          </w:p>
        </w:tc>
        <w:tc>
          <w:tcPr>
            <w:tcW w:w="935" w:type="dxa"/>
            <w:shd w:val="clear" w:color="auto" w:fill="auto"/>
            <w:noWrap/>
            <w:vAlign w:val="center"/>
          </w:tcPr>
          <w:p w14:paraId="0CFBDE89" w14:textId="2BBCE1AB" w:rsidR="009A130E" w:rsidRPr="009A130E" w:rsidRDefault="009A130E" w:rsidP="009A130E">
            <w:pPr>
              <w:jc w:val="center"/>
              <w:rPr>
                <w:sz w:val="22"/>
                <w:szCs w:val="22"/>
                <w:lang w:eastAsia="es-ES"/>
              </w:rPr>
            </w:pPr>
            <w:r w:rsidRPr="009A130E">
              <w:rPr>
                <w:sz w:val="20"/>
                <w:szCs w:val="20"/>
              </w:rPr>
              <w:t>41.221</w:t>
            </w:r>
          </w:p>
        </w:tc>
        <w:tc>
          <w:tcPr>
            <w:tcW w:w="998" w:type="dxa"/>
            <w:shd w:val="clear" w:color="auto" w:fill="auto"/>
            <w:noWrap/>
            <w:vAlign w:val="center"/>
          </w:tcPr>
          <w:p w14:paraId="3594D6C2" w14:textId="082A36AA" w:rsidR="009A130E" w:rsidRPr="009A130E" w:rsidRDefault="009A130E" w:rsidP="009A130E">
            <w:pPr>
              <w:jc w:val="center"/>
              <w:rPr>
                <w:sz w:val="22"/>
                <w:szCs w:val="22"/>
                <w:lang w:eastAsia="es-ES"/>
              </w:rPr>
            </w:pPr>
            <w:r w:rsidRPr="009A130E">
              <w:rPr>
                <w:sz w:val="20"/>
                <w:szCs w:val="20"/>
              </w:rPr>
              <w:t>38.061</w:t>
            </w:r>
          </w:p>
        </w:tc>
        <w:tc>
          <w:tcPr>
            <w:tcW w:w="1538" w:type="dxa"/>
            <w:shd w:val="clear" w:color="auto" w:fill="auto"/>
            <w:noWrap/>
            <w:vAlign w:val="center"/>
          </w:tcPr>
          <w:p w14:paraId="29FF91AA" w14:textId="567FCD8E" w:rsidR="009A130E" w:rsidRPr="009A130E" w:rsidRDefault="009A130E" w:rsidP="009A130E">
            <w:pPr>
              <w:jc w:val="center"/>
              <w:rPr>
                <w:sz w:val="22"/>
                <w:szCs w:val="22"/>
                <w:lang w:eastAsia="es-ES"/>
              </w:rPr>
            </w:pPr>
            <w:r w:rsidRPr="009A130E">
              <w:rPr>
                <w:sz w:val="20"/>
                <w:szCs w:val="20"/>
              </w:rPr>
              <w:t>-7,7%</w:t>
            </w:r>
          </w:p>
        </w:tc>
      </w:tr>
      <w:tr w:rsidR="009A130E" w:rsidRPr="00C6165A" w14:paraId="473C10B9" w14:textId="77777777" w:rsidTr="009A130E">
        <w:trPr>
          <w:trHeight w:val="315"/>
          <w:jc w:val="center"/>
        </w:trPr>
        <w:tc>
          <w:tcPr>
            <w:tcW w:w="1699" w:type="dxa"/>
            <w:shd w:val="clear" w:color="auto" w:fill="auto"/>
            <w:noWrap/>
            <w:vAlign w:val="center"/>
            <w:hideMark/>
          </w:tcPr>
          <w:p w14:paraId="7F3FFD71" w14:textId="77777777" w:rsidR="009A130E" w:rsidRPr="00C6165A" w:rsidRDefault="009A130E" w:rsidP="009A130E">
            <w:pPr>
              <w:jc w:val="left"/>
              <w:rPr>
                <w:sz w:val="22"/>
                <w:szCs w:val="22"/>
                <w:lang w:eastAsia="es-ES"/>
              </w:rPr>
            </w:pPr>
            <w:r w:rsidRPr="00C6165A">
              <w:rPr>
                <w:sz w:val="22"/>
                <w:szCs w:val="22"/>
                <w:lang w:eastAsia="es-ES"/>
              </w:rPr>
              <w:t>Veza</w:t>
            </w:r>
          </w:p>
        </w:tc>
        <w:tc>
          <w:tcPr>
            <w:tcW w:w="971" w:type="dxa"/>
            <w:shd w:val="clear" w:color="auto" w:fill="auto"/>
            <w:noWrap/>
            <w:vAlign w:val="center"/>
          </w:tcPr>
          <w:p w14:paraId="54EAC479" w14:textId="7FFDAA75" w:rsidR="009A130E" w:rsidRPr="009A130E" w:rsidRDefault="009A130E" w:rsidP="009A130E">
            <w:pPr>
              <w:jc w:val="center"/>
              <w:rPr>
                <w:sz w:val="22"/>
                <w:szCs w:val="22"/>
                <w:lang w:eastAsia="es-ES"/>
              </w:rPr>
            </w:pPr>
            <w:r w:rsidRPr="009A130E">
              <w:rPr>
                <w:sz w:val="20"/>
                <w:szCs w:val="20"/>
              </w:rPr>
              <w:t>35.406</w:t>
            </w:r>
          </w:p>
        </w:tc>
        <w:tc>
          <w:tcPr>
            <w:tcW w:w="1158" w:type="dxa"/>
            <w:shd w:val="clear" w:color="auto" w:fill="auto"/>
            <w:noWrap/>
            <w:vAlign w:val="center"/>
          </w:tcPr>
          <w:p w14:paraId="4D802980" w14:textId="41813D98" w:rsidR="009A130E" w:rsidRPr="009A130E" w:rsidRDefault="009A130E" w:rsidP="009A130E">
            <w:pPr>
              <w:jc w:val="center"/>
              <w:rPr>
                <w:sz w:val="22"/>
                <w:szCs w:val="22"/>
                <w:lang w:eastAsia="es-ES"/>
              </w:rPr>
            </w:pPr>
            <w:r w:rsidRPr="009A130E">
              <w:rPr>
                <w:sz w:val="20"/>
                <w:szCs w:val="20"/>
              </w:rPr>
              <w:t>37.322</w:t>
            </w:r>
          </w:p>
        </w:tc>
        <w:tc>
          <w:tcPr>
            <w:tcW w:w="1200" w:type="dxa"/>
            <w:shd w:val="clear" w:color="auto" w:fill="auto"/>
            <w:noWrap/>
            <w:vAlign w:val="center"/>
          </w:tcPr>
          <w:p w14:paraId="48C501A5" w14:textId="1624CA10" w:rsidR="009A130E" w:rsidRPr="009A130E" w:rsidRDefault="009A130E" w:rsidP="009A130E">
            <w:pPr>
              <w:jc w:val="center"/>
              <w:rPr>
                <w:sz w:val="22"/>
                <w:szCs w:val="22"/>
                <w:lang w:eastAsia="es-ES"/>
              </w:rPr>
            </w:pPr>
            <w:r w:rsidRPr="009A130E">
              <w:rPr>
                <w:sz w:val="20"/>
                <w:szCs w:val="20"/>
              </w:rPr>
              <w:t>5,4%</w:t>
            </w:r>
          </w:p>
        </w:tc>
        <w:tc>
          <w:tcPr>
            <w:tcW w:w="935" w:type="dxa"/>
            <w:shd w:val="clear" w:color="auto" w:fill="auto"/>
            <w:noWrap/>
            <w:vAlign w:val="center"/>
          </w:tcPr>
          <w:p w14:paraId="48DCF13B" w14:textId="1C687320" w:rsidR="009A130E" w:rsidRPr="009A130E" w:rsidRDefault="009A130E" w:rsidP="009A130E">
            <w:pPr>
              <w:jc w:val="center"/>
              <w:rPr>
                <w:sz w:val="22"/>
                <w:szCs w:val="22"/>
                <w:lang w:eastAsia="es-ES"/>
              </w:rPr>
            </w:pPr>
            <w:r w:rsidRPr="009A130E">
              <w:rPr>
                <w:sz w:val="20"/>
                <w:szCs w:val="20"/>
              </w:rPr>
              <w:t>21.305</w:t>
            </w:r>
          </w:p>
        </w:tc>
        <w:tc>
          <w:tcPr>
            <w:tcW w:w="998" w:type="dxa"/>
            <w:shd w:val="clear" w:color="auto" w:fill="auto"/>
            <w:noWrap/>
            <w:vAlign w:val="center"/>
          </w:tcPr>
          <w:p w14:paraId="5F1F398D" w14:textId="6E1545A6" w:rsidR="009A130E" w:rsidRPr="009A130E" w:rsidRDefault="009A130E" w:rsidP="009A130E">
            <w:pPr>
              <w:jc w:val="center"/>
              <w:rPr>
                <w:sz w:val="22"/>
                <w:szCs w:val="22"/>
                <w:lang w:eastAsia="es-ES"/>
              </w:rPr>
            </w:pPr>
            <w:r w:rsidRPr="009A130E">
              <w:rPr>
                <w:sz w:val="20"/>
                <w:szCs w:val="20"/>
              </w:rPr>
              <w:t>16.669</w:t>
            </w:r>
          </w:p>
        </w:tc>
        <w:tc>
          <w:tcPr>
            <w:tcW w:w="1538" w:type="dxa"/>
            <w:shd w:val="clear" w:color="auto" w:fill="auto"/>
            <w:noWrap/>
            <w:vAlign w:val="center"/>
          </w:tcPr>
          <w:p w14:paraId="4BEFBD40" w14:textId="411DE5E5" w:rsidR="009A130E" w:rsidRPr="009A130E" w:rsidRDefault="009A130E" w:rsidP="009A130E">
            <w:pPr>
              <w:jc w:val="center"/>
              <w:rPr>
                <w:sz w:val="22"/>
                <w:szCs w:val="22"/>
                <w:lang w:eastAsia="es-ES"/>
              </w:rPr>
            </w:pPr>
            <w:r w:rsidRPr="009A130E">
              <w:rPr>
                <w:sz w:val="20"/>
                <w:szCs w:val="20"/>
              </w:rPr>
              <w:t>-21,8%</w:t>
            </w:r>
          </w:p>
        </w:tc>
      </w:tr>
      <w:tr w:rsidR="009A130E" w:rsidRPr="00C6165A" w14:paraId="667D6029" w14:textId="77777777" w:rsidTr="009A130E">
        <w:trPr>
          <w:trHeight w:val="315"/>
          <w:jc w:val="center"/>
        </w:trPr>
        <w:tc>
          <w:tcPr>
            <w:tcW w:w="1699" w:type="dxa"/>
            <w:shd w:val="clear" w:color="auto" w:fill="auto"/>
            <w:noWrap/>
            <w:vAlign w:val="center"/>
            <w:hideMark/>
          </w:tcPr>
          <w:p w14:paraId="665A6631" w14:textId="77777777" w:rsidR="009A130E" w:rsidRPr="00C6165A" w:rsidRDefault="009A130E" w:rsidP="009A130E">
            <w:pPr>
              <w:jc w:val="left"/>
              <w:rPr>
                <w:sz w:val="22"/>
                <w:szCs w:val="22"/>
                <w:lang w:eastAsia="es-ES"/>
              </w:rPr>
            </w:pPr>
            <w:r w:rsidRPr="00C6165A">
              <w:rPr>
                <w:sz w:val="22"/>
                <w:szCs w:val="22"/>
                <w:lang w:eastAsia="es-ES"/>
              </w:rPr>
              <w:t>Altramuz dulce</w:t>
            </w:r>
          </w:p>
        </w:tc>
        <w:tc>
          <w:tcPr>
            <w:tcW w:w="971" w:type="dxa"/>
            <w:shd w:val="clear" w:color="auto" w:fill="auto"/>
            <w:noWrap/>
            <w:vAlign w:val="center"/>
          </w:tcPr>
          <w:p w14:paraId="350F4F9A" w14:textId="33094DF2" w:rsidR="009A130E" w:rsidRPr="009A130E" w:rsidRDefault="009A130E" w:rsidP="009A130E">
            <w:pPr>
              <w:jc w:val="center"/>
              <w:rPr>
                <w:sz w:val="22"/>
                <w:szCs w:val="22"/>
                <w:lang w:eastAsia="es-ES"/>
              </w:rPr>
            </w:pPr>
            <w:r w:rsidRPr="009A130E">
              <w:rPr>
                <w:sz w:val="20"/>
                <w:szCs w:val="20"/>
              </w:rPr>
              <w:t>63</w:t>
            </w:r>
          </w:p>
        </w:tc>
        <w:tc>
          <w:tcPr>
            <w:tcW w:w="1158" w:type="dxa"/>
            <w:shd w:val="clear" w:color="auto" w:fill="auto"/>
            <w:noWrap/>
            <w:vAlign w:val="center"/>
          </w:tcPr>
          <w:p w14:paraId="276D8CB5" w14:textId="070008E5" w:rsidR="009A130E" w:rsidRPr="009A130E" w:rsidRDefault="009A130E" w:rsidP="009A130E">
            <w:pPr>
              <w:jc w:val="center"/>
              <w:rPr>
                <w:sz w:val="22"/>
                <w:szCs w:val="22"/>
                <w:lang w:eastAsia="es-ES"/>
              </w:rPr>
            </w:pPr>
            <w:r w:rsidRPr="009A130E">
              <w:rPr>
                <w:sz w:val="20"/>
                <w:szCs w:val="20"/>
              </w:rPr>
              <w:t>191</w:t>
            </w:r>
          </w:p>
        </w:tc>
        <w:tc>
          <w:tcPr>
            <w:tcW w:w="1200" w:type="dxa"/>
            <w:shd w:val="clear" w:color="auto" w:fill="auto"/>
            <w:noWrap/>
            <w:vAlign w:val="center"/>
          </w:tcPr>
          <w:p w14:paraId="30BBB35A" w14:textId="2761F3B6" w:rsidR="009A130E" w:rsidRPr="009A130E" w:rsidRDefault="009A130E" w:rsidP="009A130E">
            <w:pPr>
              <w:jc w:val="center"/>
              <w:rPr>
                <w:sz w:val="22"/>
                <w:szCs w:val="22"/>
                <w:lang w:eastAsia="es-ES"/>
              </w:rPr>
            </w:pPr>
            <w:r w:rsidRPr="009A130E">
              <w:rPr>
                <w:sz w:val="20"/>
                <w:szCs w:val="20"/>
              </w:rPr>
              <w:t>203,2%</w:t>
            </w:r>
          </w:p>
        </w:tc>
        <w:tc>
          <w:tcPr>
            <w:tcW w:w="935" w:type="dxa"/>
            <w:shd w:val="clear" w:color="auto" w:fill="auto"/>
            <w:noWrap/>
            <w:vAlign w:val="center"/>
          </w:tcPr>
          <w:p w14:paraId="2BDC54FE" w14:textId="73CF61A2" w:rsidR="009A130E" w:rsidRPr="009A130E" w:rsidRDefault="009A130E" w:rsidP="009A130E">
            <w:pPr>
              <w:jc w:val="center"/>
              <w:rPr>
                <w:sz w:val="22"/>
                <w:szCs w:val="22"/>
                <w:lang w:eastAsia="es-ES"/>
              </w:rPr>
            </w:pPr>
            <w:r w:rsidRPr="009A130E">
              <w:rPr>
                <w:sz w:val="20"/>
                <w:szCs w:val="20"/>
              </w:rPr>
              <w:t>38</w:t>
            </w:r>
          </w:p>
        </w:tc>
        <w:tc>
          <w:tcPr>
            <w:tcW w:w="998" w:type="dxa"/>
            <w:shd w:val="clear" w:color="auto" w:fill="auto"/>
            <w:noWrap/>
            <w:vAlign w:val="center"/>
          </w:tcPr>
          <w:p w14:paraId="3EB5712F" w14:textId="75E17FDB" w:rsidR="009A130E" w:rsidRPr="009A130E" w:rsidRDefault="009A130E" w:rsidP="009A130E">
            <w:pPr>
              <w:jc w:val="center"/>
              <w:rPr>
                <w:sz w:val="22"/>
                <w:szCs w:val="22"/>
                <w:lang w:eastAsia="es-ES"/>
              </w:rPr>
            </w:pPr>
            <w:r w:rsidRPr="009A130E">
              <w:rPr>
                <w:sz w:val="20"/>
                <w:szCs w:val="20"/>
              </w:rPr>
              <w:t>64</w:t>
            </w:r>
          </w:p>
        </w:tc>
        <w:tc>
          <w:tcPr>
            <w:tcW w:w="1538" w:type="dxa"/>
            <w:shd w:val="clear" w:color="auto" w:fill="auto"/>
            <w:noWrap/>
            <w:vAlign w:val="center"/>
          </w:tcPr>
          <w:p w14:paraId="51C3FAE7" w14:textId="66F2E613" w:rsidR="009A130E" w:rsidRPr="009A130E" w:rsidRDefault="009A130E" w:rsidP="009A130E">
            <w:pPr>
              <w:jc w:val="center"/>
              <w:rPr>
                <w:sz w:val="22"/>
                <w:szCs w:val="22"/>
                <w:lang w:eastAsia="es-ES"/>
              </w:rPr>
            </w:pPr>
            <w:r w:rsidRPr="009A130E">
              <w:rPr>
                <w:sz w:val="20"/>
                <w:szCs w:val="20"/>
              </w:rPr>
              <w:t>68,4%</w:t>
            </w:r>
          </w:p>
        </w:tc>
      </w:tr>
      <w:tr w:rsidR="009A130E" w:rsidRPr="00C6165A" w14:paraId="39F1648E" w14:textId="77777777" w:rsidTr="009A130E">
        <w:trPr>
          <w:trHeight w:val="315"/>
          <w:jc w:val="center"/>
        </w:trPr>
        <w:tc>
          <w:tcPr>
            <w:tcW w:w="1699" w:type="dxa"/>
            <w:shd w:val="clear" w:color="auto" w:fill="auto"/>
            <w:noWrap/>
            <w:vAlign w:val="center"/>
            <w:hideMark/>
          </w:tcPr>
          <w:p w14:paraId="72DEE27A" w14:textId="77777777" w:rsidR="009A130E" w:rsidRPr="00C6165A" w:rsidRDefault="009A130E" w:rsidP="009A130E">
            <w:pPr>
              <w:jc w:val="left"/>
              <w:rPr>
                <w:sz w:val="22"/>
                <w:szCs w:val="22"/>
                <w:lang w:eastAsia="es-ES"/>
              </w:rPr>
            </w:pPr>
            <w:r w:rsidRPr="00C6165A">
              <w:rPr>
                <w:sz w:val="22"/>
                <w:szCs w:val="22"/>
                <w:lang w:eastAsia="es-ES"/>
              </w:rPr>
              <w:t>Yeros</w:t>
            </w:r>
          </w:p>
        </w:tc>
        <w:tc>
          <w:tcPr>
            <w:tcW w:w="971" w:type="dxa"/>
            <w:shd w:val="clear" w:color="auto" w:fill="auto"/>
            <w:noWrap/>
            <w:vAlign w:val="center"/>
          </w:tcPr>
          <w:p w14:paraId="6BA35D80" w14:textId="0F7147F0" w:rsidR="009A130E" w:rsidRPr="009A130E" w:rsidRDefault="009A130E" w:rsidP="009A130E">
            <w:pPr>
              <w:jc w:val="center"/>
              <w:rPr>
                <w:sz w:val="22"/>
                <w:szCs w:val="22"/>
                <w:lang w:eastAsia="es-ES"/>
              </w:rPr>
            </w:pPr>
            <w:r w:rsidRPr="009A130E">
              <w:rPr>
                <w:sz w:val="20"/>
                <w:szCs w:val="20"/>
              </w:rPr>
              <w:t>8.602</w:t>
            </w:r>
          </w:p>
        </w:tc>
        <w:tc>
          <w:tcPr>
            <w:tcW w:w="1158" w:type="dxa"/>
            <w:shd w:val="clear" w:color="auto" w:fill="auto"/>
            <w:noWrap/>
            <w:vAlign w:val="center"/>
          </w:tcPr>
          <w:p w14:paraId="7546E903" w14:textId="07E17E49" w:rsidR="009A130E" w:rsidRPr="009A130E" w:rsidRDefault="009A130E" w:rsidP="009A130E">
            <w:pPr>
              <w:jc w:val="center"/>
              <w:rPr>
                <w:sz w:val="22"/>
                <w:szCs w:val="22"/>
                <w:lang w:eastAsia="es-ES"/>
              </w:rPr>
            </w:pPr>
            <w:r w:rsidRPr="009A130E">
              <w:rPr>
                <w:sz w:val="20"/>
                <w:szCs w:val="20"/>
              </w:rPr>
              <w:t>22.136</w:t>
            </w:r>
          </w:p>
        </w:tc>
        <w:tc>
          <w:tcPr>
            <w:tcW w:w="1200" w:type="dxa"/>
            <w:shd w:val="clear" w:color="auto" w:fill="auto"/>
            <w:noWrap/>
            <w:vAlign w:val="center"/>
          </w:tcPr>
          <w:p w14:paraId="3C661F7C" w14:textId="70B65D8E" w:rsidR="009A130E" w:rsidRPr="009A130E" w:rsidRDefault="009A130E" w:rsidP="009A130E">
            <w:pPr>
              <w:jc w:val="center"/>
              <w:rPr>
                <w:sz w:val="22"/>
                <w:szCs w:val="22"/>
                <w:lang w:eastAsia="es-ES"/>
              </w:rPr>
            </w:pPr>
            <w:r w:rsidRPr="009A130E">
              <w:rPr>
                <w:sz w:val="20"/>
                <w:szCs w:val="20"/>
              </w:rPr>
              <w:t>157,3%</w:t>
            </w:r>
          </w:p>
        </w:tc>
        <w:tc>
          <w:tcPr>
            <w:tcW w:w="935" w:type="dxa"/>
            <w:shd w:val="clear" w:color="auto" w:fill="auto"/>
            <w:noWrap/>
            <w:vAlign w:val="center"/>
          </w:tcPr>
          <w:p w14:paraId="34D2BA94" w14:textId="1F3002C7" w:rsidR="009A130E" w:rsidRPr="009A130E" w:rsidRDefault="009A130E" w:rsidP="009A130E">
            <w:pPr>
              <w:jc w:val="center"/>
              <w:rPr>
                <w:sz w:val="22"/>
                <w:szCs w:val="22"/>
                <w:lang w:eastAsia="es-ES"/>
              </w:rPr>
            </w:pPr>
            <w:r w:rsidRPr="009A130E">
              <w:rPr>
                <w:sz w:val="20"/>
                <w:szCs w:val="20"/>
              </w:rPr>
              <w:t>8.034</w:t>
            </w:r>
          </w:p>
        </w:tc>
        <w:tc>
          <w:tcPr>
            <w:tcW w:w="998" w:type="dxa"/>
            <w:shd w:val="clear" w:color="auto" w:fill="auto"/>
            <w:noWrap/>
            <w:vAlign w:val="center"/>
          </w:tcPr>
          <w:p w14:paraId="134C9423" w14:textId="0FE75F3E" w:rsidR="009A130E" w:rsidRPr="009A130E" w:rsidRDefault="009A130E" w:rsidP="009A130E">
            <w:pPr>
              <w:jc w:val="center"/>
              <w:rPr>
                <w:sz w:val="22"/>
                <w:szCs w:val="22"/>
                <w:lang w:eastAsia="es-ES"/>
              </w:rPr>
            </w:pPr>
            <w:r w:rsidRPr="009A130E">
              <w:rPr>
                <w:sz w:val="20"/>
                <w:szCs w:val="20"/>
              </w:rPr>
              <w:t>7.773</w:t>
            </w:r>
          </w:p>
        </w:tc>
        <w:tc>
          <w:tcPr>
            <w:tcW w:w="1538" w:type="dxa"/>
            <w:shd w:val="clear" w:color="auto" w:fill="auto"/>
            <w:noWrap/>
            <w:vAlign w:val="center"/>
          </w:tcPr>
          <w:p w14:paraId="7BDBCA6B" w14:textId="3A3D83EC" w:rsidR="009A130E" w:rsidRPr="009A130E" w:rsidRDefault="009A130E" w:rsidP="009A130E">
            <w:pPr>
              <w:jc w:val="center"/>
              <w:rPr>
                <w:sz w:val="22"/>
                <w:szCs w:val="22"/>
                <w:lang w:eastAsia="es-ES"/>
              </w:rPr>
            </w:pPr>
            <w:r w:rsidRPr="009A130E">
              <w:rPr>
                <w:sz w:val="20"/>
                <w:szCs w:val="20"/>
              </w:rPr>
              <w:t>-3,2%</w:t>
            </w:r>
          </w:p>
        </w:tc>
      </w:tr>
      <w:tr w:rsidR="009A130E" w:rsidRPr="00C6165A" w14:paraId="610C90D9" w14:textId="77777777" w:rsidTr="009A130E">
        <w:trPr>
          <w:trHeight w:val="315"/>
          <w:jc w:val="center"/>
        </w:trPr>
        <w:tc>
          <w:tcPr>
            <w:tcW w:w="1699" w:type="dxa"/>
            <w:tcBorders>
              <w:bottom w:val="single" w:sz="4" w:space="0" w:color="auto"/>
            </w:tcBorders>
            <w:shd w:val="clear" w:color="auto" w:fill="auto"/>
            <w:noWrap/>
            <w:vAlign w:val="center"/>
            <w:hideMark/>
          </w:tcPr>
          <w:p w14:paraId="7CAB74D2" w14:textId="77777777" w:rsidR="009A130E" w:rsidRPr="00C6165A" w:rsidRDefault="009A130E" w:rsidP="009A130E">
            <w:pPr>
              <w:jc w:val="left"/>
              <w:rPr>
                <w:b/>
                <w:bCs/>
                <w:i/>
                <w:iCs/>
                <w:sz w:val="22"/>
                <w:szCs w:val="22"/>
                <w:lang w:eastAsia="es-ES"/>
              </w:rPr>
            </w:pPr>
            <w:r w:rsidRPr="00C6165A">
              <w:rPr>
                <w:b/>
                <w:bCs/>
                <w:i/>
                <w:iCs/>
                <w:sz w:val="22"/>
                <w:szCs w:val="22"/>
                <w:lang w:eastAsia="es-ES"/>
              </w:rPr>
              <w:t>Total</w:t>
            </w:r>
          </w:p>
        </w:tc>
        <w:tc>
          <w:tcPr>
            <w:tcW w:w="971" w:type="dxa"/>
            <w:tcBorders>
              <w:bottom w:val="single" w:sz="4" w:space="0" w:color="auto"/>
            </w:tcBorders>
            <w:shd w:val="clear" w:color="auto" w:fill="auto"/>
            <w:noWrap/>
            <w:vAlign w:val="center"/>
          </w:tcPr>
          <w:p w14:paraId="58ADA94E" w14:textId="64FAC9A0" w:rsidR="009A130E" w:rsidRPr="009A130E" w:rsidRDefault="009A130E" w:rsidP="009A130E">
            <w:pPr>
              <w:jc w:val="center"/>
              <w:rPr>
                <w:b/>
                <w:bCs/>
                <w:i/>
                <w:iCs/>
                <w:sz w:val="22"/>
                <w:szCs w:val="22"/>
                <w:lang w:eastAsia="es-ES"/>
              </w:rPr>
            </w:pPr>
            <w:r w:rsidRPr="009A130E">
              <w:rPr>
                <w:b/>
                <w:bCs/>
                <w:i/>
                <w:iCs/>
                <w:sz w:val="20"/>
                <w:szCs w:val="20"/>
              </w:rPr>
              <w:t>110.496</w:t>
            </w:r>
          </w:p>
        </w:tc>
        <w:tc>
          <w:tcPr>
            <w:tcW w:w="1158" w:type="dxa"/>
            <w:tcBorders>
              <w:bottom w:val="single" w:sz="4" w:space="0" w:color="auto"/>
            </w:tcBorders>
            <w:shd w:val="clear" w:color="auto" w:fill="auto"/>
            <w:noWrap/>
            <w:vAlign w:val="center"/>
          </w:tcPr>
          <w:p w14:paraId="1944E97C" w14:textId="0415F79D" w:rsidR="009A130E" w:rsidRPr="009A130E" w:rsidRDefault="009A130E" w:rsidP="009A130E">
            <w:pPr>
              <w:jc w:val="center"/>
              <w:rPr>
                <w:b/>
                <w:bCs/>
                <w:i/>
                <w:iCs/>
                <w:sz w:val="22"/>
                <w:szCs w:val="22"/>
                <w:lang w:eastAsia="es-ES"/>
              </w:rPr>
            </w:pPr>
            <w:r w:rsidRPr="009A130E">
              <w:rPr>
                <w:b/>
                <w:bCs/>
                <w:i/>
                <w:iCs/>
                <w:sz w:val="20"/>
                <w:szCs w:val="20"/>
              </w:rPr>
              <w:t>179.447</w:t>
            </w:r>
          </w:p>
        </w:tc>
        <w:tc>
          <w:tcPr>
            <w:tcW w:w="1200" w:type="dxa"/>
            <w:tcBorders>
              <w:bottom w:val="single" w:sz="4" w:space="0" w:color="auto"/>
            </w:tcBorders>
            <w:shd w:val="clear" w:color="auto" w:fill="auto"/>
            <w:noWrap/>
            <w:vAlign w:val="center"/>
          </w:tcPr>
          <w:p w14:paraId="03BDECDA" w14:textId="59C8F882" w:rsidR="009A130E" w:rsidRPr="009A130E" w:rsidRDefault="009A130E" w:rsidP="009A130E">
            <w:pPr>
              <w:jc w:val="center"/>
              <w:rPr>
                <w:b/>
                <w:bCs/>
                <w:i/>
                <w:iCs/>
                <w:sz w:val="22"/>
                <w:szCs w:val="22"/>
                <w:lang w:eastAsia="es-ES"/>
              </w:rPr>
            </w:pPr>
            <w:r w:rsidRPr="009A130E">
              <w:rPr>
                <w:b/>
                <w:bCs/>
                <w:i/>
                <w:iCs/>
                <w:sz w:val="20"/>
                <w:szCs w:val="20"/>
              </w:rPr>
              <w:t>62,4%</w:t>
            </w:r>
          </w:p>
        </w:tc>
        <w:tc>
          <w:tcPr>
            <w:tcW w:w="935" w:type="dxa"/>
            <w:tcBorders>
              <w:bottom w:val="single" w:sz="4" w:space="0" w:color="auto"/>
            </w:tcBorders>
            <w:shd w:val="clear" w:color="auto" w:fill="auto"/>
            <w:noWrap/>
            <w:vAlign w:val="center"/>
          </w:tcPr>
          <w:p w14:paraId="28342084" w14:textId="0DF26F18" w:rsidR="009A130E" w:rsidRPr="009A130E" w:rsidRDefault="009A130E" w:rsidP="009A130E">
            <w:pPr>
              <w:jc w:val="center"/>
              <w:rPr>
                <w:b/>
                <w:bCs/>
                <w:i/>
                <w:iCs/>
                <w:sz w:val="22"/>
                <w:szCs w:val="22"/>
                <w:lang w:eastAsia="es-ES"/>
              </w:rPr>
            </w:pPr>
            <w:r w:rsidRPr="009A130E">
              <w:rPr>
                <w:b/>
                <w:bCs/>
                <w:i/>
                <w:iCs/>
                <w:sz w:val="20"/>
                <w:szCs w:val="20"/>
              </w:rPr>
              <w:t>88.113</w:t>
            </w:r>
          </w:p>
        </w:tc>
        <w:tc>
          <w:tcPr>
            <w:tcW w:w="998" w:type="dxa"/>
            <w:tcBorders>
              <w:bottom w:val="single" w:sz="4" w:space="0" w:color="auto"/>
            </w:tcBorders>
            <w:shd w:val="clear" w:color="auto" w:fill="auto"/>
            <w:noWrap/>
            <w:vAlign w:val="center"/>
          </w:tcPr>
          <w:p w14:paraId="72D04011" w14:textId="289C935C" w:rsidR="009A130E" w:rsidRPr="009A130E" w:rsidRDefault="009A130E" w:rsidP="009A130E">
            <w:pPr>
              <w:jc w:val="center"/>
              <w:rPr>
                <w:b/>
                <w:bCs/>
                <w:i/>
                <w:iCs/>
                <w:sz w:val="22"/>
                <w:szCs w:val="22"/>
                <w:lang w:eastAsia="es-ES"/>
              </w:rPr>
            </w:pPr>
            <w:r w:rsidRPr="009A130E">
              <w:rPr>
                <w:b/>
                <w:bCs/>
                <w:i/>
                <w:iCs/>
                <w:sz w:val="20"/>
                <w:szCs w:val="20"/>
              </w:rPr>
              <w:t>95.619</w:t>
            </w:r>
          </w:p>
        </w:tc>
        <w:tc>
          <w:tcPr>
            <w:tcW w:w="1538" w:type="dxa"/>
            <w:tcBorders>
              <w:bottom w:val="single" w:sz="4" w:space="0" w:color="auto"/>
            </w:tcBorders>
            <w:shd w:val="clear" w:color="auto" w:fill="auto"/>
            <w:noWrap/>
            <w:vAlign w:val="center"/>
          </w:tcPr>
          <w:p w14:paraId="3A36BD65" w14:textId="19CDE746" w:rsidR="009A130E" w:rsidRPr="009A130E" w:rsidRDefault="009A130E" w:rsidP="009A130E">
            <w:pPr>
              <w:jc w:val="center"/>
              <w:rPr>
                <w:b/>
                <w:bCs/>
                <w:i/>
                <w:iCs/>
                <w:sz w:val="22"/>
                <w:szCs w:val="22"/>
                <w:lang w:eastAsia="es-ES"/>
              </w:rPr>
            </w:pPr>
            <w:r w:rsidRPr="009A130E">
              <w:rPr>
                <w:b/>
                <w:bCs/>
                <w:i/>
                <w:iCs/>
                <w:sz w:val="20"/>
                <w:szCs w:val="20"/>
              </w:rPr>
              <w:t>8,5%</w:t>
            </w:r>
          </w:p>
        </w:tc>
      </w:tr>
      <w:tr w:rsidR="003C6EF6" w:rsidRPr="00C6165A" w14:paraId="0DC182DD" w14:textId="77777777" w:rsidTr="00A35A55">
        <w:trPr>
          <w:trHeight w:val="315"/>
          <w:jc w:val="center"/>
        </w:trPr>
        <w:tc>
          <w:tcPr>
            <w:tcW w:w="8499" w:type="dxa"/>
            <w:gridSpan w:val="7"/>
            <w:tcBorders>
              <w:left w:val="nil"/>
              <w:bottom w:val="nil"/>
              <w:right w:val="nil"/>
            </w:tcBorders>
            <w:shd w:val="clear" w:color="auto" w:fill="auto"/>
            <w:noWrap/>
            <w:vAlign w:val="center"/>
          </w:tcPr>
          <w:p w14:paraId="4707B542" w14:textId="4EA64CDF" w:rsidR="0068303F" w:rsidRPr="00703831" w:rsidRDefault="00897B8A" w:rsidP="0068303F">
            <w:pPr>
              <w:jc w:val="center"/>
              <w:rPr>
                <w:b/>
                <w:bCs/>
                <w:i/>
                <w:iCs/>
                <w:sz w:val="16"/>
                <w:szCs w:val="16"/>
                <w:lang w:eastAsia="es-ES"/>
              </w:rPr>
            </w:pPr>
            <w:r w:rsidRPr="00703831">
              <w:rPr>
                <w:i/>
                <w:iCs/>
                <w:sz w:val="16"/>
                <w:szCs w:val="16"/>
                <w:lang w:eastAsia="es-ES"/>
              </w:rPr>
              <w:t>Fuente: Elaboración propia a partir de los avances de superficies y producciones de la Consejería de Agricultura</w:t>
            </w:r>
            <w:r w:rsidR="00CB5999" w:rsidRPr="00703831">
              <w:rPr>
                <w:i/>
                <w:iCs/>
                <w:sz w:val="16"/>
                <w:szCs w:val="16"/>
                <w:lang w:eastAsia="es-ES"/>
              </w:rPr>
              <w:t>, Ganadería y Desarrollo Rural</w:t>
            </w:r>
          </w:p>
        </w:tc>
      </w:tr>
    </w:tbl>
    <w:p w14:paraId="400E38FA" w14:textId="77777777" w:rsidR="00AA49C3" w:rsidRPr="00C6165A" w:rsidRDefault="00AA49C3" w:rsidP="00AA49C3">
      <w:pPr>
        <w:tabs>
          <w:tab w:val="left" w:pos="1095"/>
        </w:tabs>
      </w:pPr>
    </w:p>
    <w:p w14:paraId="7CAC9A92" w14:textId="61FD8458" w:rsidR="00AA49C3" w:rsidRPr="00C6165A" w:rsidRDefault="00516581" w:rsidP="00AA49C3">
      <w:pPr>
        <w:tabs>
          <w:tab w:val="left" w:pos="1095"/>
        </w:tabs>
      </w:pPr>
      <w:r w:rsidRPr="00C6165A">
        <w:t>Respecto a</w:t>
      </w:r>
      <w:r w:rsidR="00AA49C3" w:rsidRPr="00C6165A">
        <w:t xml:space="preserve"> los precios</w:t>
      </w:r>
      <w:r w:rsidRPr="00C6165A">
        <w:t xml:space="preserve">, en las siguientes gráficas </w:t>
      </w:r>
      <w:r w:rsidR="00AA49C3" w:rsidRPr="00C6165A">
        <w:t xml:space="preserve">de las principales leguminosas grano se pueden ver </w:t>
      </w:r>
      <w:r w:rsidRPr="00C6165A">
        <w:t>las variaciones</w:t>
      </w:r>
      <w:r w:rsidR="00AA49C3" w:rsidRPr="00C6165A">
        <w:t xml:space="preserve">, </w:t>
      </w:r>
      <w:r w:rsidR="009B4D40" w:rsidRPr="00C6165A">
        <w:t>apreciándose</w:t>
      </w:r>
      <w:r w:rsidR="008C3AEE" w:rsidRPr="00C6165A">
        <w:t xml:space="preserve"> en todas ellas que los precios de salida a venta son muy superiores a los de la campaña anterior. </w:t>
      </w:r>
      <w:r w:rsidR="00186A9C" w:rsidRPr="00C6165A">
        <w:t>En algunos casos se han duplicado, como ocurre con</w:t>
      </w:r>
      <w:r w:rsidR="00731393" w:rsidRPr="00C6165A">
        <w:t xml:space="preserve"> la veza grano, situándose en el mes de </w:t>
      </w:r>
      <w:r w:rsidR="009A130E">
        <w:t>septiembre</w:t>
      </w:r>
      <w:r w:rsidR="00731393" w:rsidRPr="00C6165A">
        <w:t xml:space="preserve"> a </w:t>
      </w:r>
      <w:r w:rsidR="009A130E">
        <w:t>1</w:t>
      </w:r>
      <w:r w:rsidR="00731393" w:rsidRPr="00C6165A">
        <w:t>,</w:t>
      </w:r>
      <w:r w:rsidR="009A130E">
        <w:t>32</w:t>
      </w:r>
      <w:r w:rsidR="00731393" w:rsidRPr="00C6165A">
        <w:t xml:space="preserve"> euros el kilo</w:t>
      </w:r>
      <w:r w:rsidR="00C400A9">
        <w:t>, fruto de la escasez de producto y de la mayor demanda para las siembras por exigencias de la nueva PAC.</w:t>
      </w:r>
    </w:p>
    <w:p w14:paraId="3ADCCD55" w14:textId="77777777" w:rsidR="006D0214" w:rsidRPr="00C6165A" w:rsidRDefault="006D0214" w:rsidP="00AA49C3">
      <w:pPr>
        <w:tabs>
          <w:tab w:val="left" w:pos="1095"/>
        </w:tabs>
      </w:pPr>
    </w:p>
    <w:tbl>
      <w:tblPr>
        <w:tblStyle w:val="Tablaconcuadrcula"/>
        <w:tblW w:w="984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26"/>
      </w:tblGrid>
      <w:tr w:rsidR="009A130E" w:rsidRPr="00C6165A" w14:paraId="446E4094" w14:textId="77777777" w:rsidTr="00516581">
        <w:tc>
          <w:tcPr>
            <w:tcW w:w="4857" w:type="dxa"/>
            <w:tcMar>
              <w:top w:w="113" w:type="dxa"/>
              <w:bottom w:w="113" w:type="dxa"/>
            </w:tcMar>
          </w:tcPr>
          <w:p w14:paraId="20B37E7A" w14:textId="2AFE1B46" w:rsidR="006D0214" w:rsidRPr="00C6165A" w:rsidRDefault="009A130E" w:rsidP="00AA49C3">
            <w:pPr>
              <w:tabs>
                <w:tab w:val="left" w:pos="1095"/>
              </w:tabs>
            </w:pPr>
            <w:r>
              <w:rPr>
                <w:noProof/>
              </w:rPr>
              <w:lastRenderedPageBreak/>
              <w:drawing>
                <wp:inline distT="0" distB="0" distL="0" distR="0" wp14:anchorId="50299B50" wp14:editId="404EA736">
                  <wp:extent cx="2929293" cy="1910687"/>
                  <wp:effectExtent l="0" t="0" r="4445" b="0"/>
                  <wp:docPr id="144040180"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45883" cy="1921508"/>
                          </a:xfrm>
                          <a:prstGeom prst="rect">
                            <a:avLst/>
                          </a:prstGeom>
                          <a:noFill/>
                        </pic:spPr>
                      </pic:pic>
                    </a:graphicData>
                  </a:graphic>
                </wp:inline>
              </w:drawing>
            </w:r>
          </w:p>
        </w:tc>
        <w:tc>
          <w:tcPr>
            <w:tcW w:w="4986" w:type="dxa"/>
            <w:tcMar>
              <w:top w:w="113" w:type="dxa"/>
              <w:bottom w:w="113" w:type="dxa"/>
            </w:tcMar>
          </w:tcPr>
          <w:p w14:paraId="2107D475" w14:textId="16A186D7" w:rsidR="006D0214" w:rsidRPr="00C6165A" w:rsidRDefault="009A130E" w:rsidP="00AA49C3">
            <w:pPr>
              <w:tabs>
                <w:tab w:val="left" w:pos="1095"/>
              </w:tabs>
            </w:pPr>
            <w:r>
              <w:rPr>
                <w:noProof/>
              </w:rPr>
              <w:drawing>
                <wp:inline distT="0" distB="0" distL="0" distR="0" wp14:anchorId="3FC21C60" wp14:editId="2D989FDB">
                  <wp:extent cx="2926446" cy="1910080"/>
                  <wp:effectExtent l="0" t="0" r="7620" b="0"/>
                  <wp:docPr id="385534927"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39400" cy="1918535"/>
                          </a:xfrm>
                          <a:prstGeom prst="rect">
                            <a:avLst/>
                          </a:prstGeom>
                          <a:noFill/>
                        </pic:spPr>
                      </pic:pic>
                    </a:graphicData>
                  </a:graphic>
                </wp:inline>
              </w:drawing>
            </w:r>
          </w:p>
        </w:tc>
      </w:tr>
      <w:tr w:rsidR="009A130E" w:rsidRPr="00C6165A" w14:paraId="6894151F" w14:textId="77777777" w:rsidTr="00516581">
        <w:trPr>
          <w:trHeight w:val="3061"/>
        </w:trPr>
        <w:tc>
          <w:tcPr>
            <w:tcW w:w="4857" w:type="dxa"/>
            <w:tcMar>
              <w:top w:w="113" w:type="dxa"/>
              <w:bottom w:w="113" w:type="dxa"/>
            </w:tcMar>
            <w:vAlign w:val="bottom"/>
          </w:tcPr>
          <w:p w14:paraId="04ECEC85" w14:textId="5FA12BCB" w:rsidR="00420FFA" w:rsidRPr="00C6165A" w:rsidRDefault="009A130E" w:rsidP="00516581">
            <w:pPr>
              <w:tabs>
                <w:tab w:val="left" w:pos="1095"/>
              </w:tabs>
              <w:jc w:val="left"/>
            </w:pPr>
            <w:r>
              <w:rPr>
                <w:noProof/>
              </w:rPr>
              <w:drawing>
                <wp:inline distT="0" distB="0" distL="0" distR="0" wp14:anchorId="213B9653" wp14:editId="056FCFCD">
                  <wp:extent cx="3002508" cy="1962137"/>
                  <wp:effectExtent l="0" t="0" r="7620" b="635"/>
                  <wp:docPr id="745384087"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27515" cy="1978479"/>
                          </a:xfrm>
                          <a:prstGeom prst="rect">
                            <a:avLst/>
                          </a:prstGeom>
                          <a:noFill/>
                        </pic:spPr>
                      </pic:pic>
                    </a:graphicData>
                  </a:graphic>
                </wp:inline>
              </w:drawing>
            </w:r>
          </w:p>
        </w:tc>
        <w:tc>
          <w:tcPr>
            <w:tcW w:w="4986" w:type="dxa"/>
            <w:vAlign w:val="center"/>
          </w:tcPr>
          <w:p w14:paraId="0B196714" w14:textId="656EADBB" w:rsidR="00420FFA" w:rsidRPr="00C6165A" w:rsidRDefault="009A130E" w:rsidP="006D0214">
            <w:pPr>
              <w:tabs>
                <w:tab w:val="left" w:pos="1095"/>
              </w:tabs>
              <w:jc w:val="center"/>
            </w:pPr>
            <w:r>
              <w:rPr>
                <w:noProof/>
              </w:rPr>
              <w:drawing>
                <wp:inline distT="0" distB="0" distL="0" distR="0" wp14:anchorId="1F8A44B5" wp14:editId="420A2BD1">
                  <wp:extent cx="2985770" cy="1948801"/>
                  <wp:effectExtent l="0" t="0" r="5080" b="0"/>
                  <wp:docPr id="135596655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15053" cy="1967914"/>
                          </a:xfrm>
                          <a:prstGeom prst="rect">
                            <a:avLst/>
                          </a:prstGeom>
                          <a:noFill/>
                        </pic:spPr>
                      </pic:pic>
                    </a:graphicData>
                  </a:graphic>
                </wp:inline>
              </w:drawing>
            </w:r>
          </w:p>
        </w:tc>
      </w:tr>
      <w:tr w:rsidR="00C6165A" w:rsidRPr="00C6165A" w14:paraId="23CFE10F" w14:textId="77777777" w:rsidTr="00516581">
        <w:trPr>
          <w:trHeight w:val="21"/>
        </w:trPr>
        <w:tc>
          <w:tcPr>
            <w:tcW w:w="9843" w:type="dxa"/>
            <w:gridSpan w:val="2"/>
            <w:tcMar>
              <w:top w:w="113" w:type="dxa"/>
              <w:bottom w:w="113" w:type="dxa"/>
            </w:tcMar>
          </w:tcPr>
          <w:p w14:paraId="7CD8CA25" w14:textId="68FAD80A" w:rsidR="008C3AEE" w:rsidRPr="00703831" w:rsidRDefault="008C3AEE" w:rsidP="008C3AEE">
            <w:pPr>
              <w:tabs>
                <w:tab w:val="left" w:pos="1095"/>
              </w:tabs>
              <w:jc w:val="center"/>
              <w:rPr>
                <w:i/>
                <w:iCs/>
                <w:noProof/>
              </w:rPr>
            </w:pPr>
            <w:r w:rsidRPr="00703831">
              <w:rPr>
                <w:i/>
                <w:iCs/>
                <w:sz w:val="16"/>
                <w:szCs w:val="16"/>
                <w:lang w:eastAsia="es-ES"/>
              </w:rPr>
              <w:t xml:space="preserve">Fuente: Elaboración propia a partir de datos del Observatorio de precios de los productos agrícolas y ganaderos </w:t>
            </w:r>
            <w:r w:rsidR="00703831" w:rsidRPr="00703831">
              <w:rPr>
                <w:i/>
                <w:iCs/>
                <w:sz w:val="16"/>
                <w:szCs w:val="16"/>
                <w:lang w:eastAsia="es-ES"/>
              </w:rPr>
              <w:t>CyL</w:t>
            </w:r>
          </w:p>
        </w:tc>
      </w:tr>
    </w:tbl>
    <w:p w14:paraId="1CFF1829" w14:textId="77777777" w:rsidR="00731393" w:rsidRPr="00C6165A" w:rsidRDefault="00731393" w:rsidP="00AA49C3">
      <w:pPr>
        <w:rPr>
          <w:b/>
        </w:rPr>
      </w:pPr>
    </w:p>
    <w:p w14:paraId="178A6274" w14:textId="2D687FE4" w:rsidR="00AA49C3" w:rsidRPr="00C6165A" w:rsidRDefault="00AA49C3" w:rsidP="00AA49C3">
      <w:pPr>
        <w:rPr>
          <w:b/>
        </w:rPr>
      </w:pPr>
      <w:r w:rsidRPr="00C6165A">
        <w:rPr>
          <w:b/>
        </w:rPr>
        <w:t>Girasol</w:t>
      </w:r>
    </w:p>
    <w:p w14:paraId="32EFB29D" w14:textId="5913827B" w:rsidR="00AA49C3" w:rsidRPr="00C6165A" w:rsidRDefault="00AA49C3" w:rsidP="00AA49C3">
      <w:pPr>
        <w:tabs>
          <w:tab w:val="left" w:pos="1095"/>
        </w:tabs>
      </w:pPr>
    </w:p>
    <w:p w14:paraId="177B483E" w14:textId="74A31CA7" w:rsidR="004404B2" w:rsidRPr="00C6165A" w:rsidRDefault="004404B2" w:rsidP="00AA49C3">
      <w:pPr>
        <w:tabs>
          <w:tab w:val="left" w:pos="1095"/>
        </w:tabs>
      </w:pPr>
      <w:r w:rsidRPr="00C6165A">
        <w:t>En este año 202</w:t>
      </w:r>
      <w:r w:rsidR="009A130E">
        <w:t>3</w:t>
      </w:r>
      <w:r w:rsidRPr="00C6165A">
        <w:t xml:space="preserve"> se han sembrado en Castilla y León </w:t>
      </w:r>
      <w:r w:rsidR="009A130E" w:rsidRPr="009A130E">
        <w:t>365</w:t>
      </w:r>
      <w:r w:rsidR="009A130E">
        <w:t>.</w:t>
      </w:r>
      <w:r w:rsidR="009A130E" w:rsidRPr="009A130E">
        <w:t>869</w:t>
      </w:r>
      <w:r w:rsidR="009A130E">
        <w:t xml:space="preserve"> </w:t>
      </w:r>
      <w:r w:rsidRPr="00C6165A">
        <w:t>hectáreas de girasol</w:t>
      </w:r>
      <w:r w:rsidR="0031787E">
        <w:t>, lo</w:t>
      </w:r>
      <w:r w:rsidRPr="00C6165A">
        <w:t xml:space="preserve"> que supone </w:t>
      </w:r>
      <w:r w:rsidR="009A130E">
        <w:t>una disminución</w:t>
      </w:r>
      <w:r w:rsidRPr="00C6165A">
        <w:t xml:space="preserve"> de </w:t>
      </w:r>
      <w:r w:rsidR="009A130E">
        <w:t>21.309</w:t>
      </w:r>
      <w:r w:rsidRPr="00C6165A">
        <w:t xml:space="preserve"> hectáreas respecto al año anterior. En porcentaje</w:t>
      </w:r>
      <w:r w:rsidR="00C400A9">
        <w:t xml:space="preserve"> baja un </w:t>
      </w:r>
      <w:r w:rsidR="009A130E">
        <w:t>5,5</w:t>
      </w:r>
      <w:r w:rsidRPr="00C6165A">
        <w:t xml:space="preserve">% rompiendo el </w:t>
      </w:r>
      <w:r w:rsidR="009A130E">
        <w:t xml:space="preserve">aumento </w:t>
      </w:r>
      <w:r w:rsidR="00C400A9">
        <w:t>de</w:t>
      </w:r>
      <w:r w:rsidR="009A130E">
        <w:t xml:space="preserve">l año anterior y continuando con la tendencia descendente </w:t>
      </w:r>
      <w:r w:rsidRPr="00C6165A">
        <w:t>que comenzó en 2020.</w:t>
      </w:r>
      <w:r w:rsidR="00731393" w:rsidRPr="00C6165A">
        <w:t xml:space="preserve"> </w:t>
      </w:r>
    </w:p>
    <w:p w14:paraId="6F286F22" w14:textId="308F3B7D" w:rsidR="004404B2" w:rsidRPr="00C6165A" w:rsidRDefault="004404B2" w:rsidP="00AA49C3">
      <w:pPr>
        <w:tabs>
          <w:tab w:val="left" w:pos="1095"/>
        </w:tabs>
      </w:pPr>
      <w:r w:rsidRPr="00C6165A">
        <w:t>Sin embargo, comparando producciones ha habido mucha diferencia</w:t>
      </w:r>
      <w:r w:rsidR="00C400A9">
        <w:t xml:space="preserve"> gracias al agua, tardía para los cereales, pero muy beneficiosa para el girasol</w:t>
      </w:r>
      <w:r w:rsidRPr="00C6165A">
        <w:t xml:space="preserve">. Este año se han cosechado </w:t>
      </w:r>
      <w:r w:rsidR="00655167" w:rsidRPr="00655167">
        <w:t>475</w:t>
      </w:r>
      <w:r w:rsidR="00655167">
        <w:t>.</w:t>
      </w:r>
      <w:r w:rsidR="00655167" w:rsidRPr="00655167">
        <w:t>229</w:t>
      </w:r>
      <w:r w:rsidR="00655167">
        <w:t xml:space="preserve"> </w:t>
      </w:r>
      <w:r w:rsidRPr="00C6165A">
        <w:t xml:space="preserve">toneladas, un </w:t>
      </w:r>
      <w:r w:rsidR="00655167">
        <w:t>43,9</w:t>
      </w:r>
      <w:r w:rsidRPr="00C6165A">
        <w:t>% más que en 202</w:t>
      </w:r>
      <w:r w:rsidR="00655167">
        <w:t>2</w:t>
      </w:r>
      <w:r w:rsidR="0031787E">
        <w:t>,</w:t>
      </w:r>
      <w:r w:rsidRPr="00C6165A">
        <w:t xml:space="preserve"> con unos rendimientos medios de </w:t>
      </w:r>
      <w:r w:rsidR="00655167">
        <w:t>1.299</w:t>
      </w:r>
      <w:r w:rsidRPr="00C6165A">
        <w:t xml:space="preserve"> kilos por hectárea. Estos rendimientos son un </w:t>
      </w:r>
      <w:r w:rsidR="00655167">
        <w:t>52,3</w:t>
      </w:r>
      <w:r w:rsidRPr="00C6165A">
        <w:t xml:space="preserve">% </w:t>
      </w:r>
      <w:r w:rsidR="00655167">
        <w:t>superio</w:t>
      </w:r>
      <w:r w:rsidRPr="00C6165A">
        <w:t>res a los de la campaña anterior.</w:t>
      </w:r>
    </w:p>
    <w:p w14:paraId="75B32BDA" w14:textId="1D90D187" w:rsidR="004404B2" w:rsidRPr="00C6165A" w:rsidRDefault="004404B2" w:rsidP="00AA49C3">
      <w:pPr>
        <w:tabs>
          <w:tab w:val="left" w:pos="1095"/>
        </w:tabs>
      </w:pPr>
      <w:r w:rsidRPr="00C6165A">
        <w:t xml:space="preserve">Respecto al precio, el girasol comenzó a cotizar en el mes de septiembre con un precio de </w:t>
      </w:r>
      <w:r w:rsidR="00655167">
        <w:t>521</w:t>
      </w:r>
      <w:r w:rsidRPr="00C6165A">
        <w:t xml:space="preserve"> euros por tonelada,</w:t>
      </w:r>
      <w:r w:rsidR="00A216A9" w:rsidRPr="00C6165A">
        <w:t xml:space="preserve"> </w:t>
      </w:r>
      <w:r w:rsidRPr="00C6165A">
        <w:t xml:space="preserve">un </w:t>
      </w:r>
      <w:r w:rsidR="00655167">
        <w:t>21,9</w:t>
      </w:r>
      <w:r w:rsidRPr="00C6165A">
        <w:t xml:space="preserve">% </w:t>
      </w:r>
      <w:r w:rsidR="00655167">
        <w:t>infe</w:t>
      </w:r>
      <w:r w:rsidRPr="00C6165A">
        <w:t xml:space="preserve">rior al del año pasado. </w:t>
      </w:r>
      <w:r w:rsidR="00A216A9" w:rsidRPr="00C6165A">
        <w:t xml:space="preserve">Estos valores han ido disminuyendo lentamente cada mes, situándose en su punto más bajo en el mes de </w:t>
      </w:r>
      <w:r w:rsidR="00655167">
        <w:t>octubre</w:t>
      </w:r>
      <w:r w:rsidR="00A216A9" w:rsidRPr="00C6165A">
        <w:t xml:space="preserve">, con </w:t>
      </w:r>
      <w:r w:rsidR="00655167">
        <w:t>373</w:t>
      </w:r>
      <w:r w:rsidR="00A216A9" w:rsidRPr="00C6165A">
        <w:t xml:space="preserve"> euros por tonelada.</w:t>
      </w:r>
    </w:p>
    <w:p w14:paraId="39A81707" w14:textId="7DCEB428" w:rsidR="00731393" w:rsidRPr="00C6165A" w:rsidRDefault="00731393" w:rsidP="00AA49C3">
      <w:pPr>
        <w:tabs>
          <w:tab w:val="left" w:pos="1095"/>
        </w:tabs>
      </w:pPr>
      <w:r w:rsidRPr="00C6165A">
        <w:t xml:space="preserve">El incremento en las superficies de siembra </w:t>
      </w:r>
      <w:r w:rsidR="00C400A9">
        <w:t>se incentivó</w:t>
      </w:r>
      <w:r w:rsidRPr="00C6165A">
        <w:t xml:space="preserve"> por la</w:t>
      </w:r>
      <w:r w:rsidR="00655167">
        <w:t xml:space="preserve"> mala situación climatológica y las dudas respecto al cumplimiento de objetivos de la nueva Política Agraria Comunitaria.</w:t>
      </w:r>
    </w:p>
    <w:p w14:paraId="63C41652" w14:textId="77777777" w:rsidR="0043424B" w:rsidRPr="00C6165A" w:rsidRDefault="0043424B" w:rsidP="0043424B">
      <w:pPr>
        <w:tabs>
          <w:tab w:val="left" w:pos="1095"/>
        </w:tabs>
      </w:pPr>
    </w:p>
    <w:p w14:paraId="55980689" w14:textId="45771664" w:rsidR="00AA49C3" w:rsidRPr="00C6165A" w:rsidRDefault="00776D1B" w:rsidP="00AA49C3">
      <w:pPr>
        <w:tabs>
          <w:tab w:val="left" w:pos="1095"/>
        </w:tabs>
        <w:jc w:val="center"/>
      </w:pPr>
      <w:r>
        <w:rPr>
          <w:noProof/>
        </w:rPr>
        <w:lastRenderedPageBreak/>
        <w:drawing>
          <wp:inline distT="0" distB="0" distL="0" distR="0" wp14:anchorId="69DBB096" wp14:editId="319221F6">
            <wp:extent cx="3657600" cy="2390239"/>
            <wp:effectExtent l="0" t="0" r="0" b="0"/>
            <wp:docPr id="73241209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67450" cy="2396676"/>
                    </a:xfrm>
                    <a:prstGeom prst="rect">
                      <a:avLst/>
                    </a:prstGeom>
                    <a:noFill/>
                  </pic:spPr>
                </pic:pic>
              </a:graphicData>
            </a:graphic>
          </wp:inline>
        </w:drawing>
      </w:r>
    </w:p>
    <w:p w14:paraId="443F94DB" w14:textId="538679DB" w:rsidR="006B6B74" w:rsidRPr="00703831" w:rsidRDefault="006B6B74" w:rsidP="006B6B74">
      <w:pPr>
        <w:spacing w:before="120"/>
        <w:jc w:val="center"/>
        <w:rPr>
          <w:i/>
          <w:iCs/>
          <w:sz w:val="16"/>
          <w:szCs w:val="16"/>
          <w:lang w:eastAsia="es-ES"/>
        </w:rPr>
      </w:pPr>
      <w:r w:rsidRPr="00703831">
        <w:rPr>
          <w:i/>
          <w:iCs/>
          <w:sz w:val="16"/>
          <w:szCs w:val="16"/>
          <w:lang w:eastAsia="es-ES"/>
        </w:rPr>
        <w:t xml:space="preserve">Fuente: Elaboración propia a partir de datos del Observatorio de precios de los productos agrícolas y ganaderos </w:t>
      </w:r>
      <w:r w:rsidR="00703831" w:rsidRPr="00703831">
        <w:rPr>
          <w:i/>
          <w:iCs/>
          <w:sz w:val="16"/>
          <w:szCs w:val="16"/>
          <w:lang w:eastAsia="es-ES"/>
        </w:rPr>
        <w:t>CyL</w:t>
      </w:r>
    </w:p>
    <w:p w14:paraId="092873DB" w14:textId="77777777" w:rsidR="00703831" w:rsidRDefault="00703831" w:rsidP="00AA49C3">
      <w:pPr>
        <w:rPr>
          <w:b/>
        </w:rPr>
      </w:pPr>
    </w:p>
    <w:p w14:paraId="31676EB5" w14:textId="58A6917E" w:rsidR="00AA49C3" w:rsidRPr="00C6165A" w:rsidRDefault="00AA49C3" w:rsidP="00AA49C3">
      <w:pPr>
        <w:rPr>
          <w:b/>
        </w:rPr>
      </w:pPr>
      <w:r w:rsidRPr="00C6165A">
        <w:rPr>
          <w:b/>
        </w:rPr>
        <w:t>Forrajes</w:t>
      </w:r>
    </w:p>
    <w:p w14:paraId="680ED7D7" w14:textId="77777777" w:rsidR="00AA49C3" w:rsidRPr="00C6165A" w:rsidRDefault="00AA49C3" w:rsidP="00AA49C3"/>
    <w:p w14:paraId="1147AE4A" w14:textId="7242C210" w:rsidR="000020CD" w:rsidRPr="00C6165A" w:rsidRDefault="000020CD" w:rsidP="00595E58">
      <w:r w:rsidRPr="00C6165A">
        <w:t xml:space="preserve">En Castilla y León los cultivos forrajeros has sufrido un </w:t>
      </w:r>
      <w:r w:rsidR="00710355">
        <w:t>aumento</w:t>
      </w:r>
      <w:r w:rsidRPr="00C6165A">
        <w:t xml:space="preserve"> de la superficie del </w:t>
      </w:r>
      <w:r w:rsidR="00710355">
        <w:t>11,1</w:t>
      </w:r>
      <w:r w:rsidRPr="00C6165A">
        <w:t xml:space="preserve">%, situándose en las </w:t>
      </w:r>
      <w:r w:rsidR="00710355">
        <w:t>215.030</w:t>
      </w:r>
      <w:r w:rsidRPr="00C6165A">
        <w:t xml:space="preserve"> hectáreas de superficie cultivada. En estos términos, el cultivo que más ha aumentado su superficie ha sido la veza para forraje, un </w:t>
      </w:r>
      <w:r w:rsidR="00710355">
        <w:t>19,9</w:t>
      </w:r>
      <w:r w:rsidRPr="00C6165A">
        <w:t>%.</w:t>
      </w:r>
    </w:p>
    <w:p w14:paraId="7EF0DCE1" w14:textId="0D0565CD" w:rsidR="000020CD" w:rsidRPr="00C6165A" w:rsidRDefault="00710355" w:rsidP="00595E58">
      <w:r>
        <w:t>Sin embargo, l</w:t>
      </w:r>
      <w:r w:rsidR="000020CD" w:rsidRPr="00C6165A">
        <w:t>a producción total ha bajado</w:t>
      </w:r>
      <w:r w:rsidR="00776D1B">
        <w:t>, ha sido una mala campaña</w:t>
      </w:r>
      <w:r w:rsidR="000020CD" w:rsidRPr="00C6165A">
        <w:t xml:space="preserve">. Este año se han recogido </w:t>
      </w:r>
      <w:r>
        <w:t>2.612.653</w:t>
      </w:r>
      <w:r w:rsidR="000020CD" w:rsidRPr="00C6165A">
        <w:t xml:space="preserve"> toneladas, un </w:t>
      </w:r>
      <w:r>
        <w:t>17,7</w:t>
      </w:r>
      <w:r w:rsidR="000020CD" w:rsidRPr="00C6165A">
        <w:t>% menos que en la campaña anterior</w:t>
      </w:r>
      <w:r w:rsidR="0031787E">
        <w:t xml:space="preserve">, cuando </w:t>
      </w:r>
      <w:r w:rsidR="000020CD" w:rsidRPr="00C6165A">
        <w:t xml:space="preserve">se obtuvieron </w:t>
      </w:r>
      <w:r>
        <w:t>3.172.798</w:t>
      </w:r>
      <w:r w:rsidR="000020CD" w:rsidRPr="00C6165A">
        <w:t xml:space="preserve"> toneladas. Cabe destacar</w:t>
      </w:r>
      <w:r w:rsidR="00217EF1" w:rsidRPr="00C6165A">
        <w:t xml:space="preserve"> la enorme caída de producción de la veza para forraje, pues en 202</w:t>
      </w:r>
      <w:r>
        <w:t>2</w:t>
      </w:r>
      <w:r w:rsidR="00217EF1" w:rsidRPr="00C6165A">
        <w:t xml:space="preserve"> se situaba en torno a los </w:t>
      </w:r>
      <w:r>
        <w:t>8.738</w:t>
      </w:r>
      <w:r w:rsidR="00217EF1" w:rsidRPr="00C6165A">
        <w:t xml:space="preserve"> kilos por hectárea y en este último periodo esa producción se ha reducido hasta los </w:t>
      </w:r>
      <w:r>
        <w:t>4.010</w:t>
      </w:r>
      <w:r w:rsidR="00217EF1" w:rsidRPr="00C6165A">
        <w:t xml:space="preserve">. Para el resto de los cultivos, las producciones han </w:t>
      </w:r>
      <w:r w:rsidR="00A21E7D">
        <w:t>sido menores</w:t>
      </w:r>
      <w:r w:rsidR="00217EF1" w:rsidRPr="00C6165A">
        <w:t xml:space="preserve"> respecto al periodo anterior</w:t>
      </w:r>
      <w:r w:rsidR="00A21E7D">
        <w:t>, exceptuando el maíz forrajero que teniendo un incremento de superficie de apenas 1.221 ha, ha obtenido un 13,2% más de rendimiento por hectárea respecto al año anterior, situándose en casi 57.400 kg/ha.</w:t>
      </w:r>
    </w:p>
    <w:p w14:paraId="1C7B34E4" w14:textId="1FD33C89" w:rsidR="00AA49C3" w:rsidRPr="00C6165A" w:rsidRDefault="00217EF1" w:rsidP="00595E58">
      <w:r w:rsidRPr="00C6165A">
        <w:t>En la siguiente tabla se muestra la evolución de las superficies y producciones por cultivos:</w:t>
      </w:r>
    </w:p>
    <w:p w14:paraId="168ABC95" w14:textId="77777777" w:rsidR="00954AC2" w:rsidRPr="00C6165A" w:rsidRDefault="00954AC2" w:rsidP="00595E58"/>
    <w:tbl>
      <w:tblPr>
        <w:tblW w:w="8494" w:type="dxa"/>
        <w:tblCellMar>
          <w:left w:w="70" w:type="dxa"/>
          <w:right w:w="70" w:type="dxa"/>
        </w:tblCellMar>
        <w:tblLook w:val="04A0" w:firstRow="1" w:lastRow="0" w:firstColumn="1" w:lastColumn="0" w:noHBand="0" w:noVBand="1"/>
      </w:tblPr>
      <w:tblGrid>
        <w:gridCol w:w="1612"/>
        <w:gridCol w:w="1084"/>
        <w:gridCol w:w="1037"/>
        <w:gridCol w:w="1087"/>
        <w:gridCol w:w="1233"/>
        <w:gridCol w:w="1330"/>
        <w:gridCol w:w="1111"/>
      </w:tblGrid>
      <w:tr w:rsidR="00C6165A" w:rsidRPr="00C6165A" w14:paraId="21F8827C" w14:textId="77777777" w:rsidTr="00A35A55">
        <w:trPr>
          <w:trHeight w:val="315"/>
        </w:trPr>
        <w:tc>
          <w:tcPr>
            <w:tcW w:w="1612" w:type="dxa"/>
            <w:vMerge w:val="restart"/>
            <w:tcBorders>
              <w:right w:val="single" w:sz="4" w:space="0" w:color="auto"/>
            </w:tcBorders>
            <w:shd w:val="clear" w:color="auto" w:fill="auto"/>
            <w:noWrap/>
            <w:vAlign w:val="bottom"/>
            <w:hideMark/>
          </w:tcPr>
          <w:p w14:paraId="71CE3514" w14:textId="77777777" w:rsidR="00412F6E" w:rsidRPr="00C6165A" w:rsidRDefault="00412F6E" w:rsidP="00954AC2">
            <w:pPr>
              <w:jc w:val="left"/>
              <w:rPr>
                <w:sz w:val="22"/>
                <w:szCs w:val="22"/>
                <w:lang w:eastAsia="es-ES"/>
              </w:rPr>
            </w:pPr>
            <w:r w:rsidRPr="00C6165A">
              <w:rPr>
                <w:sz w:val="22"/>
                <w:szCs w:val="22"/>
                <w:lang w:eastAsia="es-ES"/>
              </w:rPr>
              <w:t> </w:t>
            </w:r>
          </w:p>
          <w:p w14:paraId="517A63BD" w14:textId="0ED742F2" w:rsidR="00412F6E" w:rsidRPr="00C6165A" w:rsidRDefault="00412F6E" w:rsidP="00954AC2">
            <w:pPr>
              <w:jc w:val="left"/>
              <w:rPr>
                <w:sz w:val="22"/>
                <w:szCs w:val="22"/>
                <w:lang w:eastAsia="es-ES"/>
              </w:rPr>
            </w:pPr>
            <w:r w:rsidRPr="00C6165A">
              <w:rPr>
                <w:sz w:val="22"/>
                <w:szCs w:val="22"/>
                <w:lang w:eastAsia="es-ES"/>
              </w:rPr>
              <w:t> </w:t>
            </w:r>
          </w:p>
        </w:tc>
        <w:tc>
          <w:tcPr>
            <w:tcW w:w="32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1236C" w14:textId="77777777" w:rsidR="00412F6E" w:rsidRPr="00C6165A" w:rsidRDefault="00412F6E" w:rsidP="00954AC2">
            <w:pPr>
              <w:jc w:val="center"/>
              <w:rPr>
                <w:b/>
                <w:bCs/>
                <w:sz w:val="22"/>
                <w:szCs w:val="22"/>
                <w:lang w:eastAsia="es-ES"/>
              </w:rPr>
            </w:pPr>
            <w:r w:rsidRPr="00C6165A">
              <w:rPr>
                <w:b/>
                <w:bCs/>
                <w:sz w:val="22"/>
                <w:szCs w:val="22"/>
                <w:lang w:eastAsia="es-ES"/>
              </w:rPr>
              <w:t>Superficie (ha)</w:t>
            </w:r>
          </w:p>
        </w:tc>
        <w:tc>
          <w:tcPr>
            <w:tcW w:w="3674" w:type="dxa"/>
            <w:gridSpan w:val="3"/>
            <w:tcBorders>
              <w:top w:val="single" w:sz="8" w:space="0" w:color="auto"/>
              <w:left w:val="single" w:sz="4" w:space="0" w:color="auto"/>
              <w:bottom w:val="single" w:sz="4" w:space="0" w:color="auto"/>
              <w:right w:val="single" w:sz="8" w:space="0" w:color="000000"/>
            </w:tcBorders>
            <w:shd w:val="clear" w:color="auto" w:fill="auto"/>
            <w:noWrap/>
            <w:vAlign w:val="center"/>
            <w:hideMark/>
          </w:tcPr>
          <w:p w14:paraId="46C8D74D" w14:textId="77777777" w:rsidR="00412F6E" w:rsidRPr="00C6165A" w:rsidRDefault="00412F6E" w:rsidP="00954AC2">
            <w:pPr>
              <w:jc w:val="center"/>
              <w:rPr>
                <w:b/>
                <w:bCs/>
                <w:sz w:val="22"/>
                <w:szCs w:val="22"/>
                <w:lang w:eastAsia="es-ES"/>
              </w:rPr>
            </w:pPr>
            <w:r w:rsidRPr="00C6165A">
              <w:rPr>
                <w:b/>
                <w:bCs/>
                <w:sz w:val="22"/>
                <w:szCs w:val="22"/>
                <w:lang w:eastAsia="es-ES"/>
              </w:rPr>
              <w:t>Producción (t)</w:t>
            </w:r>
          </w:p>
        </w:tc>
      </w:tr>
      <w:tr w:rsidR="00C6165A" w:rsidRPr="00C6165A" w14:paraId="666A0154" w14:textId="77777777" w:rsidTr="00A35A55">
        <w:trPr>
          <w:trHeight w:val="315"/>
        </w:trPr>
        <w:tc>
          <w:tcPr>
            <w:tcW w:w="1612" w:type="dxa"/>
            <w:vMerge/>
            <w:tcBorders>
              <w:bottom w:val="single" w:sz="4" w:space="0" w:color="auto"/>
              <w:right w:val="single" w:sz="4" w:space="0" w:color="auto"/>
            </w:tcBorders>
            <w:shd w:val="clear" w:color="auto" w:fill="auto"/>
            <w:noWrap/>
            <w:vAlign w:val="bottom"/>
            <w:hideMark/>
          </w:tcPr>
          <w:p w14:paraId="55B29CE5" w14:textId="3F927CE5" w:rsidR="0088606C" w:rsidRPr="00C6165A" w:rsidRDefault="0088606C" w:rsidP="0088606C">
            <w:pPr>
              <w:jc w:val="left"/>
              <w:rPr>
                <w:sz w:val="22"/>
                <w:szCs w:val="22"/>
                <w:lang w:eastAsia="es-ES"/>
              </w:rPr>
            </w:pP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9F2D4" w14:textId="0B9E31E2" w:rsidR="0088606C" w:rsidRPr="00C6165A" w:rsidRDefault="0088606C" w:rsidP="0088606C">
            <w:pPr>
              <w:jc w:val="center"/>
              <w:rPr>
                <w:b/>
                <w:bCs/>
                <w:sz w:val="22"/>
                <w:szCs w:val="22"/>
                <w:lang w:eastAsia="es-ES"/>
              </w:rPr>
            </w:pPr>
            <w:r w:rsidRPr="00C6165A">
              <w:rPr>
                <w:b/>
                <w:bCs/>
                <w:sz w:val="22"/>
                <w:szCs w:val="22"/>
              </w:rPr>
              <w:t>20</w:t>
            </w:r>
            <w:r w:rsidR="00217EF1" w:rsidRPr="00C6165A">
              <w:rPr>
                <w:b/>
                <w:bCs/>
                <w:sz w:val="22"/>
                <w:szCs w:val="22"/>
              </w:rPr>
              <w:t>2</w:t>
            </w:r>
            <w:r w:rsidR="00A21E7D">
              <w:rPr>
                <w:b/>
                <w:bCs/>
                <w:sz w:val="22"/>
                <w:szCs w:val="22"/>
              </w:rPr>
              <w:t>2</w:t>
            </w:r>
          </w:p>
        </w:tc>
        <w:tc>
          <w:tcPr>
            <w:tcW w:w="1037"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0A258F9A" w14:textId="79A926F3" w:rsidR="0088606C" w:rsidRPr="00C6165A" w:rsidRDefault="00A21E7D" w:rsidP="0088606C">
            <w:pPr>
              <w:jc w:val="center"/>
              <w:rPr>
                <w:b/>
                <w:bCs/>
                <w:sz w:val="22"/>
                <w:szCs w:val="22"/>
                <w:lang w:eastAsia="es-ES"/>
              </w:rPr>
            </w:pPr>
            <w:r>
              <w:rPr>
                <w:b/>
                <w:bCs/>
                <w:sz w:val="22"/>
                <w:szCs w:val="22"/>
              </w:rPr>
              <w:t>2023</w:t>
            </w:r>
          </w:p>
        </w:tc>
        <w:tc>
          <w:tcPr>
            <w:tcW w:w="1087" w:type="dxa"/>
            <w:tcBorders>
              <w:top w:val="single" w:sz="8" w:space="0" w:color="auto"/>
              <w:left w:val="nil"/>
              <w:bottom w:val="single" w:sz="8" w:space="0" w:color="auto"/>
              <w:right w:val="single" w:sz="8" w:space="0" w:color="auto"/>
            </w:tcBorders>
            <w:shd w:val="clear" w:color="auto" w:fill="auto"/>
            <w:noWrap/>
            <w:vAlign w:val="center"/>
            <w:hideMark/>
          </w:tcPr>
          <w:p w14:paraId="5E02BF97" w14:textId="44E1B654" w:rsidR="0088606C" w:rsidRPr="00C6165A" w:rsidRDefault="0088606C" w:rsidP="0088606C">
            <w:pPr>
              <w:jc w:val="center"/>
              <w:rPr>
                <w:b/>
                <w:bCs/>
                <w:sz w:val="22"/>
                <w:szCs w:val="22"/>
                <w:lang w:eastAsia="es-ES"/>
              </w:rPr>
            </w:pPr>
            <w:r w:rsidRPr="00A21E7D">
              <w:rPr>
                <w:b/>
                <w:bCs/>
                <w:sz w:val="20"/>
                <w:szCs w:val="20"/>
              </w:rPr>
              <w:t>Variación</w:t>
            </w:r>
          </w:p>
        </w:tc>
        <w:tc>
          <w:tcPr>
            <w:tcW w:w="1233" w:type="dxa"/>
            <w:tcBorders>
              <w:top w:val="single" w:sz="8" w:space="0" w:color="auto"/>
              <w:left w:val="nil"/>
              <w:bottom w:val="single" w:sz="8" w:space="0" w:color="auto"/>
              <w:right w:val="single" w:sz="8" w:space="0" w:color="auto"/>
            </w:tcBorders>
            <w:shd w:val="clear" w:color="auto" w:fill="auto"/>
            <w:noWrap/>
            <w:vAlign w:val="center"/>
            <w:hideMark/>
          </w:tcPr>
          <w:p w14:paraId="2A7CE9FC" w14:textId="2A53BDB0" w:rsidR="0088606C" w:rsidRPr="00C6165A" w:rsidRDefault="00A21E7D" w:rsidP="0088606C">
            <w:pPr>
              <w:jc w:val="center"/>
              <w:rPr>
                <w:b/>
                <w:bCs/>
                <w:sz w:val="22"/>
                <w:szCs w:val="22"/>
                <w:lang w:eastAsia="es-ES"/>
              </w:rPr>
            </w:pPr>
            <w:r>
              <w:rPr>
                <w:b/>
                <w:bCs/>
                <w:sz w:val="22"/>
                <w:szCs w:val="22"/>
              </w:rPr>
              <w:t>2022</w:t>
            </w:r>
          </w:p>
        </w:tc>
        <w:tc>
          <w:tcPr>
            <w:tcW w:w="1330" w:type="dxa"/>
            <w:tcBorders>
              <w:top w:val="single" w:sz="8" w:space="0" w:color="auto"/>
              <w:left w:val="nil"/>
              <w:bottom w:val="single" w:sz="8" w:space="0" w:color="auto"/>
              <w:right w:val="single" w:sz="8" w:space="0" w:color="auto"/>
            </w:tcBorders>
            <w:shd w:val="clear" w:color="auto" w:fill="auto"/>
            <w:noWrap/>
            <w:vAlign w:val="center"/>
            <w:hideMark/>
          </w:tcPr>
          <w:p w14:paraId="15293221" w14:textId="2F1E461B" w:rsidR="0088606C" w:rsidRPr="00C6165A" w:rsidRDefault="00A21E7D" w:rsidP="0088606C">
            <w:pPr>
              <w:jc w:val="center"/>
              <w:rPr>
                <w:b/>
                <w:bCs/>
                <w:sz w:val="22"/>
                <w:szCs w:val="22"/>
                <w:lang w:eastAsia="es-ES"/>
              </w:rPr>
            </w:pPr>
            <w:r>
              <w:rPr>
                <w:b/>
                <w:bCs/>
                <w:sz w:val="22"/>
                <w:szCs w:val="22"/>
              </w:rPr>
              <w:t>2023</w:t>
            </w:r>
          </w:p>
        </w:tc>
        <w:tc>
          <w:tcPr>
            <w:tcW w:w="1111" w:type="dxa"/>
            <w:tcBorders>
              <w:top w:val="single" w:sz="8" w:space="0" w:color="auto"/>
              <w:left w:val="nil"/>
              <w:bottom w:val="single" w:sz="8" w:space="0" w:color="auto"/>
              <w:right w:val="single" w:sz="8" w:space="0" w:color="auto"/>
            </w:tcBorders>
            <w:shd w:val="clear" w:color="auto" w:fill="auto"/>
            <w:noWrap/>
            <w:vAlign w:val="center"/>
            <w:hideMark/>
          </w:tcPr>
          <w:p w14:paraId="6874DDB3" w14:textId="464E128B" w:rsidR="0088606C" w:rsidRPr="00A21E7D" w:rsidRDefault="0088606C" w:rsidP="0088606C">
            <w:pPr>
              <w:jc w:val="center"/>
              <w:rPr>
                <w:b/>
                <w:bCs/>
                <w:sz w:val="20"/>
                <w:szCs w:val="20"/>
                <w:lang w:eastAsia="es-ES"/>
              </w:rPr>
            </w:pPr>
            <w:r w:rsidRPr="00A21E7D">
              <w:rPr>
                <w:b/>
                <w:bCs/>
                <w:sz w:val="20"/>
                <w:szCs w:val="20"/>
              </w:rPr>
              <w:t>Variación</w:t>
            </w:r>
          </w:p>
        </w:tc>
      </w:tr>
      <w:tr w:rsidR="00A21E7D" w:rsidRPr="00C6165A" w14:paraId="29D50C30" w14:textId="77777777" w:rsidTr="00A35A55">
        <w:trPr>
          <w:trHeight w:val="315"/>
        </w:trPr>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1E389" w14:textId="77777777" w:rsidR="00A21E7D" w:rsidRPr="00C6165A" w:rsidRDefault="00A21E7D" w:rsidP="00A21E7D">
            <w:pPr>
              <w:jc w:val="left"/>
              <w:rPr>
                <w:sz w:val="22"/>
                <w:szCs w:val="22"/>
                <w:lang w:eastAsia="es-ES"/>
              </w:rPr>
            </w:pPr>
            <w:r w:rsidRPr="00C6165A">
              <w:rPr>
                <w:sz w:val="22"/>
                <w:szCs w:val="22"/>
                <w:lang w:eastAsia="es-ES"/>
              </w:rPr>
              <w:t>Maíz forrajero</w:t>
            </w:r>
          </w:p>
        </w:tc>
        <w:tc>
          <w:tcPr>
            <w:tcW w:w="1084"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2842C774" w14:textId="6D9EAAF7" w:rsidR="00A21E7D" w:rsidRPr="00C6165A" w:rsidRDefault="00A21E7D" w:rsidP="00A21E7D">
            <w:pPr>
              <w:jc w:val="center"/>
              <w:rPr>
                <w:sz w:val="22"/>
                <w:szCs w:val="22"/>
                <w:lang w:eastAsia="es-ES"/>
              </w:rPr>
            </w:pPr>
            <w:r>
              <w:rPr>
                <w:color w:val="000000"/>
                <w:sz w:val="20"/>
                <w:szCs w:val="20"/>
              </w:rPr>
              <w:t>11.031</w:t>
            </w:r>
          </w:p>
        </w:tc>
        <w:tc>
          <w:tcPr>
            <w:tcW w:w="1037" w:type="dxa"/>
            <w:tcBorders>
              <w:top w:val="single" w:sz="8" w:space="0" w:color="auto"/>
              <w:left w:val="nil"/>
              <w:bottom w:val="single" w:sz="8" w:space="0" w:color="auto"/>
              <w:right w:val="single" w:sz="8" w:space="0" w:color="auto"/>
            </w:tcBorders>
            <w:shd w:val="clear" w:color="auto" w:fill="auto"/>
            <w:noWrap/>
            <w:vAlign w:val="center"/>
            <w:hideMark/>
          </w:tcPr>
          <w:p w14:paraId="24EA67F6" w14:textId="71D24B5D" w:rsidR="00A21E7D" w:rsidRPr="00C6165A" w:rsidRDefault="00A21E7D" w:rsidP="00A21E7D">
            <w:pPr>
              <w:jc w:val="center"/>
              <w:rPr>
                <w:sz w:val="22"/>
                <w:szCs w:val="22"/>
                <w:lang w:eastAsia="es-ES"/>
              </w:rPr>
            </w:pPr>
            <w:r>
              <w:rPr>
                <w:color w:val="000000"/>
                <w:sz w:val="20"/>
                <w:szCs w:val="20"/>
              </w:rPr>
              <w:t>12.252</w:t>
            </w:r>
          </w:p>
        </w:tc>
        <w:tc>
          <w:tcPr>
            <w:tcW w:w="1087" w:type="dxa"/>
            <w:tcBorders>
              <w:top w:val="single" w:sz="8" w:space="0" w:color="auto"/>
              <w:left w:val="nil"/>
              <w:bottom w:val="single" w:sz="8" w:space="0" w:color="auto"/>
              <w:right w:val="single" w:sz="8" w:space="0" w:color="auto"/>
            </w:tcBorders>
            <w:shd w:val="clear" w:color="auto" w:fill="auto"/>
            <w:noWrap/>
            <w:vAlign w:val="center"/>
            <w:hideMark/>
          </w:tcPr>
          <w:p w14:paraId="4FA31265" w14:textId="079575CD" w:rsidR="00A21E7D" w:rsidRPr="00C6165A" w:rsidRDefault="00A21E7D" w:rsidP="00A21E7D">
            <w:pPr>
              <w:jc w:val="center"/>
              <w:rPr>
                <w:sz w:val="22"/>
                <w:szCs w:val="22"/>
                <w:lang w:eastAsia="es-ES"/>
              </w:rPr>
            </w:pPr>
            <w:r>
              <w:rPr>
                <w:color w:val="000000"/>
                <w:sz w:val="20"/>
                <w:szCs w:val="20"/>
              </w:rPr>
              <w:t>11,1%</w:t>
            </w:r>
          </w:p>
        </w:tc>
        <w:tc>
          <w:tcPr>
            <w:tcW w:w="1233" w:type="dxa"/>
            <w:tcBorders>
              <w:top w:val="single" w:sz="8" w:space="0" w:color="auto"/>
              <w:left w:val="nil"/>
              <w:bottom w:val="single" w:sz="8" w:space="0" w:color="auto"/>
              <w:right w:val="single" w:sz="8" w:space="0" w:color="auto"/>
            </w:tcBorders>
            <w:shd w:val="clear" w:color="auto" w:fill="auto"/>
            <w:noWrap/>
            <w:vAlign w:val="center"/>
            <w:hideMark/>
          </w:tcPr>
          <w:p w14:paraId="3E059837" w14:textId="005131F3" w:rsidR="00A21E7D" w:rsidRPr="00C6165A" w:rsidRDefault="00A21E7D" w:rsidP="00A21E7D">
            <w:pPr>
              <w:jc w:val="center"/>
              <w:rPr>
                <w:sz w:val="22"/>
                <w:szCs w:val="22"/>
                <w:lang w:eastAsia="es-ES"/>
              </w:rPr>
            </w:pPr>
            <w:r>
              <w:rPr>
                <w:color w:val="000000"/>
                <w:sz w:val="20"/>
                <w:szCs w:val="20"/>
              </w:rPr>
              <w:t>559.478</w:t>
            </w:r>
          </w:p>
        </w:tc>
        <w:tc>
          <w:tcPr>
            <w:tcW w:w="1330" w:type="dxa"/>
            <w:tcBorders>
              <w:top w:val="single" w:sz="8" w:space="0" w:color="auto"/>
              <w:left w:val="nil"/>
              <w:bottom w:val="single" w:sz="8" w:space="0" w:color="auto"/>
              <w:right w:val="single" w:sz="8" w:space="0" w:color="auto"/>
            </w:tcBorders>
            <w:shd w:val="clear" w:color="auto" w:fill="auto"/>
            <w:noWrap/>
            <w:vAlign w:val="center"/>
            <w:hideMark/>
          </w:tcPr>
          <w:p w14:paraId="77AD428E" w14:textId="03D1BB98" w:rsidR="00A21E7D" w:rsidRPr="00C6165A" w:rsidRDefault="00A21E7D" w:rsidP="00A21E7D">
            <w:pPr>
              <w:jc w:val="center"/>
              <w:rPr>
                <w:sz w:val="22"/>
                <w:szCs w:val="22"/>
                <w:lang w:eastAsia="es-ES"/>
              </w:rPr>
            </w:pPr>
            <w:r>
              <w:rPr>
                <w:color w:val="000000"/>
                <w:sz w:val="20"/>
                <w:szCs w:val="20"/>
              </w:rPr>
              <w:t>703.159</w:t>
            </w:r>
          </w:p>
        </w:tc>
        <w:tc>
          <w:tcPr>
            <w:tcW w:w="1111" w:type="dxa"/>
            <w:tcBorders>
              <w:top w:val="single" w:sz="8" w:space="0" w:color="auto"/>
              <w:left w:val="nil"/>
              <w:bottom w:val="single" w:sz="8" w:space="0" w:color="auto"/>
              <w:right w:val="single" w:sz="8" w:space="0" w:color="auto"/>
            </w:tcBorders>
            <w:shd w:val="clear" w:color="auto" w:fill="auto"/>
            <w:noWrap/>
            <w:vAlign w:val="center"/>
            <w:hideMark/>
          </w:tcPr>
          <w:p w14:paraId="4CDF33DA" w14:textId="198524F2" w:rsidR="00A21E7D" w:rsidRPr="00C6165A" w:rsidRDefault="00A21E7D" w:rsidP="00A21E7D">
            <w:pPr>
              <w:jc w:val="center"/>
              <w:rPr>
                <w:sz w:val="22"/>
                <w:szCs w:val="22"/>
                <w:lang w:eastAsia="es-ES"/>
              </w:rPr>
            </w:pPr>
            <w:r>
              <w:rPr>
                <w:color w:val="000000"/>
                <w:sz w:val="20"/>
                <w:szCs w:val="20"/>
              </w:rPr>
              <w:t>25,7%</w:t>
            </w:r>
          </w:p>
        </w:tc>
      </w:tr>
      <w:tr w:rsidR="00A21E7D" w:rsidRPr="00C6165A" w14:paraId="485D3B29" w14:textId="77777777" w:rsidTr="00A35A55">
        <w:trPr>
          <w:trHeight w:val="315"/>
        </w:trPr>
        <w:tc>
          <w:tcPr>
            <w:tcW w:w="161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D4146AE" w14:textId="77777777" w:rsidR="00A21E7D" w:rsidRPr="00C6165A" w:rsidRDefault="00A21E7D" w:rsidP="00A21E7D">
            <w:pPr>
              <w:jc w:val="left"/>
              <w:rPr>
                <w:sz w:val="22"/>
                <w:szCs w:val="22"/>
                <w:lang w:eastAsia="es-ES"/>
              </w:rPr>
            </w:pPr>
            <w:r w:rsidRPr="00C6165A">
              <w:rPr>
                <w:sz w:val="22"/>
                <w:szCs w:val="22"/>
                <w:lang w:eastAsia="es-ES"/>
              </w:rPr>
              <w:t>Alfalfa</w:t>
            </w:r>
          </w:p>
        </w:tc>
        <w:tc>
          <w:tcPr>
            <w:tcW w:w="1084" w:type="dxa"/>
            <w:tcBorders>
              <w:top w:val="single" w:sz="8" w:space="0" w:color="auto"/>
              <w:left w:val="nil"/>
              <w:bottom w:val="single" w:sz="8" w:space="0" w:color="auto"/>
              <w:right w:val="single" w:sz="8" w:space="0" w:color="auto"/>
            </w:tcBorders>
            <w:shd w:val="clear" w:color="auto" w:fill="auto"/>
            <w:noWrap/>
            <w:vAlign w:val="center"/>
            <w:hideMark/>
          </w:tcPr>
          <w:p w14:paraId="7C4178B8" w14:textId="75F3FBB9" w:rsidR="00A21E7D" w:rsidRPr="00C6165A" w:rsidRDefault="00A21E7D" w:rsidP="00A21E7D">
            <w:pPr>
              <w:jc w:val="center"/>
              <w:rPr>
                <w:sz w:val="22"/>
                <w:szCs w:val="22"/>
                <w:lang w:eastAsia="es-ES"/>
              </w:rPr>
            </w:pPr>
            <w:r>
              <w:rPr>
                <w:color w:val="000000"/>
                <w:sz w:val="20"/>
                <w:szCs w:val="20"/>
              </w:rPr>
              <w:t>80.896</w:t>
            </w:r>
          </w:p>
        </w:tc>
        <w:tc>
          <w:tcPr>
            <w:tcW w:w="1037" w:type="dxa"/>
            <w:tcBorders>
              <w:top w:val="single" w:sz="8" w:space="0" w:color="auto"/>
              <w:left w:val="nil"/>
              <w:bottom w:val="single" w:sz="8" w:space="0" w:color="auto"/>
              <w:right w:val="single" w:sz="8" w:space="0" w:color="auto"/>
            </w:tcBorders>
            <w:shd w:val="clear" w:color="auto" w:fill="auto"/>
            <w:noWrap/>
            <w:vAlign w:val="center"/>
            <w:hideMark/>
          </w:tcPr>
          <w:p w14:paraId="76C12041" w14:textId="0695F1F6" w:rsidR="00A21E7D" w:rsidRPr="00C6165A" w:rsidRDefault="00A21E7D" w:rsidP="00A21E7D">
            <w:pPr>
              <w:jc w:val="center"/>
              <w:rPr>
                <w:sz w:val="22"/>
                <w:szCs w:val="22"/>
                <w:lang w:eastAsia="es-ES"/>
              </w:rPr>
            </w:pPr>
            <w:r>
              <w:rPr>
                <w:color w:val="000000"/>
                <w:sz w:val="20"/>
                <w:szCs w:val="20"/>
              </w:rPr>
              <w:t>80.885</w:t>
            </w:r>
          </w:p>
        </w:tc>
        <w:tc>
          <w:tcPr>
            <w:tcW w:w="1087" w:type="dxa"/>
            <w:tcBorders>
              <w:top w:val="single" w:sz="8" w:space="0" w:color="auto"/>
              <w:left w:val="nil"/>
              <w:bottom w:val="single" w:sz="8" w:space="0" w:color="auto"/>
              <w:right w:val="single" w:sz="8" w:space="0" w:color="auto"/>
            </w:tcBorders>
            <w:shd w:val="clear" w:color="auto" w:fill="auto"/>
            <w:noWrap/>
            <w:vAlign w:val="center"/>
            <w:hideMark/>
          </w:tcPr>
          <w:p w14:paraId="69FF4FBA" w14:textId="055557B9" w:rsidR="00A21E7D" w:rsidRPr="00C6165A" w:rsidRDefault="00A21E7D" w:rsidP="00A21E7D">
            <w:pPr>
              <w:jc w:val="center"/>
              <w:rPr>
                <w:sz w:val="22"/>
                <w:szCs w:val="22"/>
                <w:lang w:eastAsia="es-ES"/>
              </w:rPr>
            </w:pPr>
            <w:r>
              <w:rPr>
                <w:color w:val="000000"/>
                <w:sz w:val="20"/>
                <w:szCs w:val="20"/>
              </w:rPr>
              <w:t>0,0%</w:t>
            </w:r>
          </w:p>
        </w:tc>
        <w:tc>
          <w:tcPr>
            <w:tcW w:w="1233" w:type="dxa"/>
            <w:tcBorders>
              <w:top w:val="single" w:sz="8" w:space="0" w:color="auto"/>
              <w:left w:val="nil"/>
              <w:bottom w:val="single" w:sz="8" w:space="0" w:color="auto"/>
              <w:right w:val="single" w:sz="8" w:space="0" w:color="auto"/>
            </w:tcBorders>
            <w:shd w:val="clear" w:color="auto" w:fill="auto"/>
            <w:noWrap/>
            <w:vAlign w:val="center"/>
            <w:hideMark/>
          </w:tcPr>
          <w:p w14:paraId="02A284FD" w14:textId="11FE030D" w:rsidR="00A21E7D" w:rsidRPr="00C6165A" w:rsidRDefault="00A21E7D" w:rsidP="00A21E7D">
            <w:pPr>
              <w:jc w:val="center"/>
              <w:rPr>
                <w:sz w:val="22"/>
                <w:szCs w:val="22"/>
                <w:lang w:eastAsia="es-ES"/>
              </w:rPr>
            </w:pPr>
            <w:r>
              <w:rPr>
                <w:color w:val="000000"/>
                <w:sz w:val="20"/>
                <w:szCs w:val="20"/>
              </w:rPr>
              <w:t>1.725.171</w:t>
            </w:r>
          </w:p>
        </w:tc>
        <w:tc>
          <w:tcPr>
            <w:tcW w:w="1330" w:type="dxa"/>
            <w:tcBorders>
              <w:top w:val="single" w:sz="8" w:space="0" w:color="auto"/>
              <w:left w:val="nil"/>
              <w:bottom w:val="single" w:sz="8" w:space="0" w:color="auto"/>
              <w:right w:val="single" w:sz="8" w:space="0" w:color="auto"/>
            </w:tcBorders>
            <w:shd w:val="clear" w:color="auto" w:fill="auto"/>
            <w:noWrap/>
            <w:vAlign w:val="center"/>
            <w:hideMark/>
          </w:tcPr>
          <w:p w14:paraId="2FD49F66" w14:textId="054715F3" w:rsidR="00A21E7D" w:rsidRPr="00C6165A" w:rsidRDefault="00A21E7D" w:rsidP="00A21E7D">
            <w:pPr>
              <w:jc w:val="center"/>
              <w:rPr>
                <w:sz w:val="22"/>
                <w:szCs w:val="22"/>
                <w:lang w:eastAsia="es-ES"/>
              </w:rPr>
            </w:pPr>
            <w:r>
              <w:rPr>
                <w:color w:val="000000"/>
                <w:sz w:val="20"/>
                <w:szCs w:val="20"/>
              </w:rPr>
              <w:t>1.420.694</w:t>
            </w:r>
          </w:p>
        </w:tc>
        <w:tc>
          <w:tcPr>
            <w:tcW w:w="1111" w:type="dxa"/>
            <w:tcBorders>
              <w:top w:val="single" w:sz="8" w:space="0" w:color="auto"/>
              <w:left w:val="nil"/>
              <w:bottom w:val="single" w:sz="8" w:space="0" w:color="auto"/>
              <w:right w:val="single" w:sz="8" w:space="0" w:color="auto"/>
            </w:tcBorders>
            <w:shd w:val="clear" w:color="auto" w:fill="auto"/>
            <w:noWrap/>
            <w:vAlign w:val="center"/>
            <w:hideMark/>
          </w:tcPr>
          <w:p w14:paraId="0AF3DC75" w14:textId="0F04B648" w:rsidR="00A21E7D" w:rsidRPr="00C6165A" w:rsidRDefault="00A21E7D" w:rsidP="00A21E7D">
            <w:pPr>
              <w:jc w:val="center"/>
              <w:rPr>
                <w:sz w:val="22"/>
                <w:szCs w:val="22"/>
                <w:lang w:eastAsia="es-ES"/>
              </w:rPr>
            </w:pPr>
            <w:r>
              <w:rPr>
                <w:color w:val="000000"/>
                <w:sz w:val="20"/>
                <w:szCs w:val="20"/>
              </w:rPr>
              <w:t>-17,6%</w:t>
            </w:r>
          </w:p>
        </w:tc>
      </w:tr>
      <w:tr w:rsidR="00A21E7D" w:rsidRPr="00C6165A" w14:paraId="32857D86" w14:textId="77777777" w:rsidTr="00A35A55">
        <w:trPr>
          <w:trHeight w:val="315"/>
        </w:trPr>
        <w:tc>
          <w:tcPr>
            <w:tcW w:w="16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B378C0" w14:textId="77777777" w:rsidR="00A21E7D" w:rsidRPr="00C6165A" w:rsidRDefault="00A21E7D" w:rsidP="00A21E7D">
            <w:pPr>
              <w:jc w:val="left"/>
              <w:rPr>
                <w:sz w:val="22"/>
                <w:szCs w:val="22"/>
                <w:lang w:eastAsia="es-ES"/>
              </w:rPr>
            </w:pPr>
            <w:r w:rsidRPr="00C6165A">
              <w:rPr>
                <w:sz w:val="22"/>
                <w:szCs w:val="22"/>
                <w:lang w:eastAsia="es-ES"/>
              </w:rPr>
              <w:t>Veza para forraje</w:t>
            </w:r>
          </w:p>
        </w:tc>
        <w:tc>
          <w:tcPr>
            <w:tcW w:w="1084" w:type="dxa"/>
            <w:tcBorders>
              <w:top w:val="single" w:sz="8" w:space="0" w:color="auto"/>
              <w:left w:val="nil"/>
              <w:bottom w:val="single" w:sz="8" w:space="0" w:color="auto"/>
              <w:right w:val="single" w:sz="8" w:space="0" w:color="auto"/>
            </w:tcBorders>
            <w:shd w:val="clear" w:color="auto" w:fill="auto"/>
            <w:noWrap/>
            <w:vAlign w:val="center"/>
            <w:hideMark/>
          </w:tcPr>
          <w:p w14:paraId="6F2C23F5" w14:textId="004EF061" w:rsidR="00A21E7D" w:rsidRPr="00C6165A" w:rsidRDefault="00A21E7D" w:rsidP="00A21E7D">
            <w:pPr>
              <w:jc w:val="center"/>
              <w:rPr>
                <w:sz w:val="22"/>
                <w:szCs w:val="22"/>
                <w:lang w:eastAsia="es-ES"/>
              </w:rPr>
            </w:pPr>
            <w:r>
              <w:rPr>
                <w:color w:val="000000"/>
                <w:sz w:val="20"/>
                <w:szCs w:val="20"/>
              </w:rPr>
              <w:t>101.643</w:t>
            </w:r>
          </w:p>
        </w:tc>
        <w:tc>
          <w:tcPr>
            <w:tcW w:w="1037" w:type="dxa"/>
            <w:tcBorders>
              <w:top w:val="single" w:sz="8" w:space="0" w:color="auto"/>
              <w:left w:val="nil"/>
              <w:bottom w:val="single" w:sz="8" w:space="0" w:color="auto"/>
              <w:right w:val="single" w:sz="8" w:space="0" w:color="auto"/>
            </w:tcBorders>
            <w:shd w:val="clear" w:color="auto" w:fill="auto"/>
            <w:noWrap/>
            <w:vAlign w:val="center"/>
            <w:hideMark/>
          </w:tcPr>
          <w:p w14:paraId="0B6C4F6A" w14:textId="12BDEA10" w:rsidR="00A21E7D" w:rsidRPr="00C6165A" w:rsidRDefault="00A21E7D" w:rsidP="00A21E7D">
            <w:pPr>
              <w:jc w:val="center"/>
              <w:rPr>
                <w:sz w:val="22"/>
                <w:szCs w:val="22"/>
                <w:lang w:eastAsia="es-ES"/>
              </w:rPr>
            </w:pPr>
            <w:r>
              <w:rPr>
                <w:color w:val="000000"/>
                <w:sz w:val="20"/>
                <w:szCs w:val="20"/>
              </w:rPr>
              <w:t>121.893</w:t>
            </w:r>
          </w:p>
        </w:tc>
        <w:tc>
          <w:tcPr>
            <w:tcW w:w="1087" w:type="dxa"/>
            <w:tcBorders>
              <w:top w:val="single" w:sz="8" w:space="0" w:color="auto"/>
              <w:left w:val="nil"/>
              <w:bottom w:val="single" w:sz="8" w:space="0" w:color="auto"/>
              <w:right w:val="single" w:sz="8" w:space="0" w:color="auto"/>
            </w:tcBorders>
            <w:shd w:val="clear" w:color="auto" w:fill="auto"/>
            <w:noWrap/>
            <w:vAlign w:val="center"/>
            <w:hideMark/>
          </w:tcPr>
          <w:p w14:paraId="552F4E14" w14:textId="337B9146" w:rsidR="00A21E7D" w:rsidRPr="00C6165A" w:rsidRDefault="00A21E7D" w:rsidP="00A21E7D">
            <w:pPr>
              <w:jc w:val="center"/>
              <w:rPr>
                <w:sz w:val="22"/>
                <w:szCs w:val="22"/>
                <w:lang w:eastAsia="es-ES"/>
              </w:rPr>
            </w:pPr>
            <w:r>
              <w:rPr>
                <w:color w:val="000000"/>
                <w:sz w:val="20"/>
                <w:szCs w:val="20"/>
              </w:rPr>
              <w:t>19,9%</w:t>
            </w:r>
          </w:p>
        </w:tc>
        <w:tc>
          <w:tcPr>
            <w:tcW w:w="1233" w:type="dxa"/>
            <w:tcBorders>
              <w:top w:val="single" w:sz="8" w:space="0" w:color="auto"/>
              <w:left w:val="nil"/>
              <w:bottom w:val="single" w:sz="8" w:space="0" w:color="auto"/>
              <w:right w:val="single" w:sz="8" w:space="0" w:color="auto"/>
            </w:tcBorders>
            <w:shd w:val="clear" w:color="auto" w:fill="auto"/>
            <w:noWrap/>
            <w:vAlign w:val="center"/>
            <w:hideMark/>
          </w:tcPr>
          <w:p w14:paraId="12D3346D" w14:textId="3FA75011" w:rsidR="00A21E7D" w:rsidRPr="00C6165A" w:rsidRDefault="00A21E7D" w:rsidP="00A21E7D">
            <w:pPr>
              <w:jc w:val="center"/>
              <w:rPr>
                <w:sz w:val="22"/>
                <w:szCs w:val="22"/>
                <w:lang w:eastAsia="es-ES"/>
              </w:rPr>
            </w:pPr>
            <w:r>
              <w:rPr>
                <w:color w:val="000000"/>
                <w:sz w:val="20"/>
                <w:szCs w:val="20"/>
              </w:rPr>
              <w:t>888.149</w:t>
            </w:r>
          </w:p>
        </w:tc>
        <w:tc>
          <w:tcPr>
            <w:tcW w:w="1330" w:type="dxa"/>
            <w:tcBorders>
              <w:top w:val="single" w:sz="8" w:space="0" w:color="auto"/>
              <w:left w:val="nil"/>
              <w:bottom w:val="single" w:sz="8" w:space="0" w:color="auto"/>
              <w:right w:val="single" w:sz="8" w:space="0" w:color="auto"/>
            </w:tcBorders>
            <w:shd w:val="clear" w:color="auto" w:fill="auto"/>
            <w:noWrap/>
            <w:vAlign w:val="center"/>
            <w:hideMark/>
          </w:tcPr>
          <w:p w14:paraId="4B8F074C" w14:textId="661DECD1" w:rsidR="00A21E7D" w:rsidRPr="00C6165A" w:rsidRDefault="00A21E7D" w:rsidP="00A21E7D">
            <w:pPr>
              <w:jc w:val="center"/>
              <w:rPr>
                <w:sz w:val="22"/>
                <w:szCs w:val="22"/>
                <w:lang w:eastAsia="es-ES"/>
              </w:rPr>
            </w:pPr>
            <w:r>
              <w:rPr>
                <w:color w:val="000000"/>
                <w:sz w:val="20"/>
                <w:szCs w:val="20"/>
              </w:rPr>
              <w:t>488.800</w:t>
            </w:r>
          </w:p>
        </w:tc>
        <w:tc>
          <w:tcPr>
            <w:tcW w:w="1111" w:type="dxa"/>
            <w:tcBorders>
              <w:top w:val="single" w:sz="8" w:space="0" w:color="auto"/>
              <w:left w:val="nil"/>
              <w:bottom w:val="single" w:sz="8" w:space="0" w:color="auto"/>
              <w:right w:val="single" w:sz="8" w:space="0" w:color="auto"/>
            </w:tcBorders>
            <w:shd w:val="clear" w:color="auto" w:fill="auto"/>
            <w:noWrap/>
            <w:vAlign w:val="center"/>
            <w:hideMark/>
          </w:tcPr>
          <w:p w14:paraId="4917D64F" w14:textId="64FB31B6" w:rsidR="00A21E7D" w:rsidRPr="00C6165A" w:rsidRDefault="00A21E7D" w:rsidP="00A21E7D">
            <w:pPr>
              <w:jc w:val="center"/>
              <w:rPr>
                <w:sz w:val="22"/>
                <w:szCs w:val="22"/>
                <w:lang w:eastAsia="es-ES"/>
              </w:rPr>
            </w:pPr>
            <w:r>
              <w:rPr>
                <w:color w:val="000000"/>
                <w:sz w:val="20"/>
                <w:szCs w:val="20"/>
              </w:rPr>
              <w:t>-45,0%</w:t>
            </w:r>
          </w:p>
        </w:tc>
      </w:tr>
      <w:tr w:rsidR="00A21E7D" w:rsidRPr="00C6165A" w14:paraId="75C740C7" w14:textId="77777777" w:rsidTr="00A35A55">
        <w:trPr>
          <w:trHeight w:val="315"/>
        </w:trPr>
        <w:tc>
          <w:tcPr>
            <w:tcW w:w="16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2D5BF0" w14:textId="77777777" w:rsidR="00A21E7D" w:rsidRPr="00C6165A" w:rsidRDefault="00A21E7D" w:rsidP="00A21E7D">
            <w:pPr>
              <w:jc w:val="left"/>
              <w:rPr>
                <w:b/>
                <w:bCs/>
                <w:i/>
                <w:iCs/>
                <w:sz w:val="22"/>
                <w:szCs w:val="22"/>
                <w:lang w:eastAsia="es-ES"/>
              </w:rPr>
            </w:pPr>
            <w:r w:rsidRPr="00C6165A">
              <w:rPr>
                <w:b/>
                <w:bCs/>
                <w:i/>
                <w:iCs/>
                <w:sz w:val="22"/>
                <w:szCs w:val="22"/>
                <w:lang w:eastAsia="es-ES"/>
              </w:rPr>
              <w:t>Total</w:t>
            </w:r>
          </w:p>
        </w:tc>
        <w:tc>
          <w:tcPr>
            <w:tcW w:w="108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2CF35B" w14:textId="3E570488" w:rsidR="00A21E7D" w:rsidRPr="00C6165A" w:rsidRDefault="00A21E7D" w:rsidP="00A21E7D">
            <w:pPr>
              <w:jc w:val="center"/>
              <w:rPr>
                <w:b/>
                <w:bCs/>
                <w:i/>
                <w:iCs/>
                <w:sz w:val="22"/>
                <w:szCs w:val="22"/>
                <w:lang w:eastAsia="es-ES"/>
              </w:rPr>
            </w:pPr>
            <w:r>
              <w:rPr>
                <w:b/>
                <w:bCs/>
                <w:color w:val="000000"/>
                <w:sz w:val="20"/>
                <w:szCs w:val="20"/>
              </w:rPr>
              <w:t>193.570</w:t>
            </w:r>
          </w:p>
        </w:tc>
        <w:tc>
          <w:tcPr>
            <w:tcW w:w="103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80DCD9" w14:textId="0F81A8F6" w:rsidR="00A21E7D" w:rsidRPr="00C6165A" w:rsidRDefault="00A21E7D" w:rsidP="00A21E7D">
            <w:pPr>
              <w:jc w:val="center"/>
              <w:rPr>
                <w:b/>
                <w:bCs/>
                <w:i/>
                <w:iCs/>
                <w:sz w:val="22"/>
                <w:szCs w:val="22"/>
                <w:lang w:eastAsia="es-ES"/>
              </w:rPr>
            </w:pPr>
            <w:r>
              <w:rPr>
                <w:b/>
                <w:bCs/>
                <w:color w:val="000000"/>
                <w:sz w:val="20"/>
                <w:szCs w:val="20"/>
              </w:rPr>
              <w:t>215.030</w:t>
            </w:r>
          </w:p>
        </w:tc>
        <w:tc>
          <w:tcPr>
            <w:tcW w:w="10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A55529" w14:textId="15F8E16B" w:rsidR="00A21E7D" w:rsidRPr="00C6165A" w:rsidRDefault="00A21E7D" w:rsidP="00A21E7D">
            <w:pPr>
              <w:jc w:val="center"/>
              <w:rPr>
                <w:b/>
                <w:bCs/>
                <w:i/>
                <w:iCs/>
                <w:sz w:val="22"/>
                <w:szCs w:val="22"/>
                <w:lang w:eastAsia="es-ES"/>
              </w:rPr>
            </w:pPr>
            <w:r>
              <w:rPr>
                <w:b/>
                <w:bCs/>
                <w:color w:val="000000"/>
                <w:sz w:val="20"/>
                <w:szCs w:val="20"/>
              </w:rPr>
              <w:t>11,1%</w:t>
            </w:r>
          </w:p>
        </w:tc>
        <w:tc>
          <w:tcPr>
            <w:tcW w:w="123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C0E80D" w14:textId="184E021B" w:rsidR="00A21E7D" w:rsidRPr="00C6165A" w:rsidRDefault="00A21E7D" w:rsidP="00A21E7D">
            <w:pPr>
              <w:jc w:val="center"/>
              <w:rPr>
                <w:b/>
                <w:bCs/>
                <w:i/>
                <w:iCs/>
                <w:sz w:val="22"/>
                <w:szCs w:val="22"/>
                <w:lang w:eastAsia="es-ES"/>
              </w:rPr>
            </w:pPr>
            <w:r>
              <w:rPr>
                <w:b/>
                <w:bCs/>
                <w:color w:val="000000"/>
                <w:sz w:val="20"/>
                <w:szCs w:val="20"/>
              </w:rPr>
              <w:t>3.172.798</w:t>
            </w:r>
          </w:p>
        </w:tc>
        <w:tc>
          <w:tcPr>
            <w:tcW w:w="13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93129E" w14:textId="1AF54C84" w:rsidR="00A21E7D" w:rsidRPr="00C6165A" w:rsidRDefault="00A21E7D" w:rsidP="00A21E7D">
            <w:pPr>
              <w:jc w:val="center"/>
              <w:rPr>
                <w:b/>
                <w:bCs/>
                <w:i/>
                <w:iCs/>
                <w:sz w:val="22"/>
                <w:szCs w:val="22"/>
                <w:lang w:eastAsia="es-ES"/>
              </w:rPr>
            </w:pPr>
            <w:r>
              <w:rPr>
                <w:b/>
                <w:bCs/>
                <w:color w:val="000000"/>
                <w:sz w:val="20"/>
                <w:szCs w:val="20"/>
              </w:rPr>
              <w:t>2.612.653</w:t>
            </w:r>
          </w:p>
        </w:tc>
        <w:tc>
          <w:tcPr>
            <w:tcW w:w="11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3DED59" w14:textId="42FA04F0" w:rsidR="00A21E7D" w:rsidRPr="00C6165A" w:rsidRDefault="00A21E7D" w:rsidP="00A21E7D">
            <w:pPr>
              <w:jc w:val="center"/>
              <w:rPr>
                <w:b/>
                <w:bCs/>
                <w:i/>
                <w:iCs/>
                <w:sz w:val="22"/>
                <w:szCs w:val="22"/>
                <w:lang w:eastAsia="es-ES"/>
              </w:rPr>
            </w:pPr>
            <w:r>
              <w:rPr>
                <w:b/>
                <w:bCs/>
                <w:color w:val="000000"/>
                <w:sz w:val="20"/>
                <w:szCs w:val="20"/>
              </w:rPr>
              <w:t>-17,7%</w:t>
            </w:r>
          </w:p>
        </w:tc>
      </w:tr>
      <w:tr w:rsidR="0088606C" w:rsidRPr="00C6165A" w14:paraId="18C7BB06" w14:textId="77777777" w:rsidTr="00A35A55">
        <w:trPr>
          <w:trHeight w:val="315"/>
        </w:trPr>
        <w:tc>
          <w:tcPr>
            <w:tcW w:w="8494" w:type="dxa"/>
            <w:gridSpan w:val="7"/>
            <w:tcBorders>
              <w:top w:val="single" w:sz="4" w:space="0" w:color="auto"/>
            </w:tcBorders>
            <w:shd w:val="clear" w:color="auto" w:fill="auto"/>
            <w:noWrap/>
            <w:vAlign w:val="center"/>
          </w:tcPr>
          <w:p w14:paraId="3AF309B2" w14:textId="2BF51762" w:rsidR="00897B8A" w:rsidRPr="00703831" w:rsidRDefault="00897B8A" w:rsidP="008D0E49">
            <w:pPr>
              <w:jc w:val="center"/>
              <w:rPr>
                <w:b/>
                <w:bCs/>
                <w:i/>
                <w:iCs/>
                <w:sz w:val="22"/>
                <w:szCs w:val="22"/>
                <w:lang w:eastAsia="es-ES"/>
              </w:rPr>
            </w:pPr>
            <w:r w:rsidRPr="00703831">
              <w:rPr>
                <w:i/>
                <w:iCs/>
                <w:sz w:val="16"/>
                <w:szCs w:val="16"/>
                <w:lang w:eastAsia="es-ES"/>
              </w:rPr>
              <w:t>Fuente: Elaboración propia a partir de los avances de superficies y producciones de la Consejería de Agricultura</w:t>
            </w:r>
            <w:r w:rsidR="00CB5999" w:rsidRPr="00703831">
              <w:rPr>
                <w:i/>
                <w:iCs/>
                <w:sz w:val="16"/>
                <w:szCs w:val="16"/>
                <w:lang w:eastAsia="es-ES"/>
              </w:rPr>
              <w:t>, Ganadería y Desarrollo</w:t>
            </w:r>
            <w:r w:rsidR="00217EF1" w:rsidRPr="00703831">
              <w:rPr>
                <w:i/>
                <w:iCs/>
                <w:sz w:val="16"/>
                <w:szCs w:val="16"/>
                <w:lang w:eastAsia="es-ES"/>
              </w:rPr>
              <w:t xml:space="preserve"> </w:t>
            </w:r>
            <w:r w:rsidR="00CB5999" w:rsidRPr="00703831">
              <w:rPr>
                <w:i/>
                <w:iCs/>
                <w:sz w:val="16"/>
                <w:szCs w:val="16"/>
                <w:lang w:eastAsia="es-ES"/>
              </w:rPr>
              <w:t>Rural</w:t>
            </w:r>
          </w:p>
        </w:tc>
      </w:tr>
    </w:tbl>
    <w:p w14:paraId="6F405762" w14:textId="7C90BFAB" w:rsidR="00954AC2" w:rsidRPr="00C6165A" w:rsidRDefault="00954AC2" w:rsidP="00595E58"/>
    <w:p w14:paraId="27B95F5B" w14:textId="423C1F28" w:rsidR="00217EF1" w:rsidRPr="00C6165A" w:rsidRDefault="00217EF1" w:rsidP="00AA49C3">
      <w:r w:rsidRPr="00C6165A">
        <w:t xml:space="preserve">La alfalfa comenzó a cotizar en el mes de mayo a </w:t>
      </w:r>
      <w:r w:rsidR="00A21E7D">
        <w:t>333</w:t>
      </w:r>
      <w:r w:rsidRPr="00C6165A">
        <w:t xml:space="preserve"> euros por tonelada, casi un </w:t>
      </w:r>
      <w:r w:rsidR="00A21E7D">
        <w:t>80</w:t>
      </w:r>
      <w:r w:rsidRPr="00C6165A">
        <w:t>% por encima del precio de 202</w:t>
      </w:r>
      <w:r w:rsidR="00A21E7D">
        <w:t>2</w:t>
      </w:r>
      <w:r w:rsidRPr="00C6165A">
        <w:t xml:space="preserve">. La tendencia de precios ha sido al alza </w:t>
      </w:r>
      <w:r w:rsidR="00A21E7D">
        <w:t>hasta julio</w:t>
      </w:r>
      <w:r w:rsidRPr="00C6165A">
        <w:t xml:space="preserve">, alcanzando </w:t>
      </w:r>
      <w:r w:rsidR="00A21E7D">
        <w:t xml:space="preserve">entonces </w:t>
      </w:r>
      <w:r w:rsidRPr="00C6165A">
        <w:t xml:space="preserve">el pico con </w:t>
      </w:r>
      <w:r w:rsidR="00A21E7D">
        <w:t>364</w:t>
      </w:r>
      <w:r w:rsidRPr="00C6165A">
        <w:t xml:space="preserve"> euros por tonelada</w:t>
      </w:r>
      <w:r w:rsidR="00A21E7D">
        <w:t>, y disminuyendo progresivamente en los siguientes meses hasta los 268€/t.</w:t>
      </w:r>
    </w:p>
    <w:p w14:paraId="593F1AD8" w14:textId="23B37D42" w:rsidR="00217EF1" w:rsidRPr="00C6165A" w:rsidRDefault="00A21E7D" w:rsidP="00AA49C3">
      <w:r>
        <w:lastRenderedPageBreak/>
        <w:t>L</w:t>
      </w:r>
      <w:r w:rsidR="00217EF1" w:rsidRPr="00C6165A">
        <w:t xml:space="preserve">a veza, </w:t>
      </w:r>
      <w:r>
        <w:t xml:space="preserve">sin embargo, ha </w:t>
      </w:r>
      <w:r w:rsidR="00217EF1" w:rsidRPr="00C6165A">
        <w:t xml:space="preserve">iniciado </w:t>
      </w:r>
      <w:r w:rsidR="00776D1B">
        <w:t>la campaña</w:t>
      </w:r>
      <w:r w:rsidR="00217EF1" w:rsidRPr="00C6165A">
        <w:t xml:space="preserve"> en mayo con un precio de </w:t>
      </w:r>
      <w:r>
        <w:t>234</w:t>
      </w:r>
      <w:r w:rsidR="00217EF1" w:rsidRPr="00C6165A">
        <w:t xml:space="preserve"> euros por tonelada </w:t>
      </w:r>
      <w:r>
        <w:t xml:space="preserve">y durante el año se ha ido incrementando el valor </w:t>
      </w:r>
      <w:r w:rsidR="00217EF1" w:rsidRPr="00C6165A">
        <w:t xml:space="preserve">progresivamente hasta alcanzar casi </w:t>
      </w:r>
      <w:r>
        <w:t>362</w:t>
      </w:r>
      <w:r w:rsidR="00217EF1" w:rsidRPr="00C6165A">
        <w:t xml:space="preserve"> euros por tonelada</w:t>
      </w:r>
      <w:r>
        <w:t xml:space="preserve"> en el mes de octubre, </w:t>
      </w:r>
      <w:r w:rsidR="002175FA" w:rsidRPr="00C6165A">
        <w:t xml:space="preserve">un </w:t>
      </w:r>
      <w:r>
        <w:t>74,3</w:t>
      </w:r>
      <w:r w:rsidR="002175FA" w:rsidRPr="00C6165A">
        <w:t>% superior al mismo periodo del año 202</w:t>
      </w:r>
      <w:r>
        <w:t>2</w:t>
      </w:r>
      <w:r w:rsidR="002175FA" w:rsidRPr="00C6165A">
        <w:t>.</w:t>
      </w:r>
    </w:p>
    <w:p w14:paraId="229E6170" w14:textId="77777777" w:rsidR="00A60C01" w:rsidRPr="00C6165A" w:rsidRDefault="00A60C01" w:rsidP="00AA49C3"/>
    <w:p w14:paraId="310CC694" w14:textId="2BD4C7A0" w:rsidR="00E42F74" w:rsidRPr="00C6165A" w:rsidRDefault="00A21E7D" w:rsidP="00E42F74">
      <w:pPr>
        <w:jc w:val="center"/>
      </w:pPr>
      <w:r>
        <w:rPr>
          <w:noProof/>
        </w:rPr>
        <w:drawing>
          <wp:inline distT="0" distB="0" distL="0" distR="0" wp14:anchorId="38E10E5E" wp14:editId="0F464A5F">
            <wp:extent cx="3016332" cy="1649949"/>
            <wp:effectExtent l="0" t="0" r="0" b="7620"/>
            <wp:docPr id="86636975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94080" cy="1692478"/>
                    </a:xfrm>
                    <a:prstGeom prst="rect">
                      <a:avLst/>
                    </a:prstGeom>
                    <a:noFill/>
                  </pic:spPr>
                </pic:pic>
              </a:graphicData>
            </a:graphic>
          </wp:inline>
        </w:drawing>
      </w:r>
    </w:p>
    <w:p w14:paraId="16EDF70A" w14:textId="2DD2D5B4" w:rsidR="00C7543E" w:rsidRPr="00703831" w:rsidRDefault="0028378F" w:rsidP="00703831">
      <w:pPr>
        <w:spacing w:before="120"/>
        <w:jc w:val="center"/>
        <w:rPr>
          <w:i/>
          <w:iCs/>
          <w:sz w:val="16"/>
          <w:szCs w:val="16"/>
          <w:lang w:eastAsia="es-ES"/>
        </w:rPr>
      </w:pPr>
      <w:r w:rsidRPr="00703831">
        <w:rPr>
          <w:i/>
          <w:iCs/>
          <w:sz w:val="16"/>
          <w:szCs w:val="16"/>
          <w:lang w:eastAsia="es-ES"/>
        </w:rPr>
        <w:t xml:space="preserve">Fuente: Elaboración propia a partir de datos del Observatorio de precios de los productos agrícolas y ganaderos </w:t>
      </w:r>
      <w:r w:rsidR="00703831">
        <w:rPr>
          <w:i/>
          <w:iCs/>
          <w:sz w:val="16"/>
          <w:szCs w:val="16"/>
          <w:lang w:eastAsia="es-ES"/>
        </w:rPr>
        <w:t>CyL</w:t>
      </w:r>
    </w:p>
    <w:p w14:paraId="422B0124" w14:textId="6BA389AA" w:rsidR="00C7543E" w:rsidRPr="00C6165A" w:rsidRDefault="00A21E7D" w:rsidP="00C7543E">
      <w:pPr>
        <w:jc w:val="center"/>
      </w:pPr>
      <w:r>
        <w:rPr>
          <w:noProof/>
        </w:rPr>
        <w:drawing>
          <wp:inline distT="0" distB="0" distL="0" distR="0" wp14:anchorId="60CA52F4" wp14:editId="7F1C2EA7">
            <wp:extent cx="2980706" cy="1621391"/>
            <wp:effectExtent l="0" t="0" r="0" b="0"/>
            <wp:docPr id="1829713269"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06787" cy="1635578"/>
                    </a:xfrm>
                    <a:prstGeom prst="rect">
                      <a:avLst/>
                    </a:prstGeom>
                    <a:noFill/>
                  </pic:spPr>
                </pic:pic>
              </a:graphicData>
            </a:graphic>
          </wp:inline>
        </w:drawing>
      </w:r>
    </w:p>
    <w:p w14:paraId="06D79900" w14:textId="683FE43F" w:rsidR="0028378F" w:rsidRPr="00703831" w:rsidRDefault="0028378F" w:rsidP="0028378F">
      <w:pPr>
        <w:spacing w:before="120"/>
        <w:jc w:val="center"/>
        <w:rPr>
          <w:i/>
          <w:iCs/>
          <w:sz w:val="16"/>
          <w:szCs w:val="16"/>
          <w:lang w:eastAsia="es-ES"/>
        </w:rPr>
      </w:pPr>
      <w:r w:rsidRPr="00703831">
        <w:rPr>
          <w:i/>
          <w:iCs/>
          <w:sz w:val="16"/>
          <w:szCs w:val="16"/>
          <w:lang w:eastAsia="es-ES"/>
        </w:rPr>
        <w:t xml:space="preserve">Fuente: Elaboración propia a partir de datos del Observatorio de precios de los productos agrícolas y ganaderos </w:t>
      </w:r>
      <w:r w:rsidR="00703831" w:rsidRPr="00703831">
        <w:rPr>
          <w:i/>
          <w:iCs/>
          <w:sz w:val="16"/>
          <w:szCs w:val="16"/>
          <w:lang w:eastAsia="es-ES"/>
        </w:rPr>
        <w:t>CyL</w:t>
      </w:r>
    </w:p>
    <w:p w14:paraId="18153D17" w14:textId="77777777" w:rsidR="00E42F74" w:rsidRPr="00703831" w:rsidRDefault="00E42F74" w:rsidP="00AA49C3">
      <w:pPr>
        <w:rPr>
          <w:i/>
          <w:iCs/>
        </w:rPr>
      </w:pPr>
    </w:p>
    <w:p w14:paraId="481DE6A9" w14:textId="3E26CD97" w:rsidR="00A83064" w:rsidRPr="00C6165A" w:rsidRDefault="00A83064" w:rsidP="00AA49C3">
      <w:r>
        <w:t xml:space="preserve">En mayo se publicó la homologación del contrato tipo de </w:t>
      </w:r>
      <w:proofErr w:type="gramStart"/>
      <w:r>
        <w:t>compra-venta</w:t>
      </w:r>
      <w:proofErr w:type="gramEnd"/>
      <w:r>
        <w:t xml:space="preserve"> de forrajes para la campaña 2023-2024.</w:t>
      </w:r>
    </w:p>
    <w:p w14:paraId="53FBB74B" w14:textId="77777777" w:rsidR="002175FA" w:rsidRPr="00C6165A" w:rsidRDefault="002175FA" w:rsidP="00AA49C3">
      <w:pPr>
        <w:rPr>
          <w:b/>
        </w:rPr>
      </w:pPr>
      <w:bookmarkStart w:id="3" w:name="vitivinicola"/>
      <w:bookmarkEnd w:id="3"/>
    </w:p>
    <w:p w14:paraId="7043A748" w14:textId="03FB1FB3" w:rsidR="00AA49C3" w:rsidRPr="00C6165A" w:rsidRDefault="00AA49C3" w:rsidP="00AA49C3">
      <w:pPr>
        <w:rPr>
          <w:b/>
        </w:rPr>
      </w:pPr>
      <w:r w:rsidRPr="00F9243C">
        <w:rPr>
          <w:b/>
        </w:rPr>
        <w:t>Vitivinícola</w:t>
      </w:r>
    </w:p>
    <w:p w14:paraId="6E75572A" w14:textId="77777777" w:rsidR="00AA49C3" w:rsidRPr="00C6165A" w:rsidRDefault="00AA49C3" w:rsidP="00AA49C3"/>
    <w:p w14:paraId="24399175" w14:textId="77777777" w:rsidR="00101FC0" w:rsidRDefault="001265D1" w:rsidP="008D0E49">
      <w:pPr>
        <w:spacing w:after="240"/>
      </w:pPr>
      <w:r w:rsidRPr="004E2FCB">
        <w:t xml:space="preserve">La cosecha de uva de vinificación en Castilla y León ha rondado los </w:t>
      </w:r>
      <w:r w:rsidR="00B658A6" w:rsidRPr="004E2FCB">
        <w:t>334</w:t>
      </w:r>
      <w:r w:rsidRPr="004E2FCB">
        <w:t xml:space="preserve"> millones de kilos, un descenso del </w:t>
      </w:r>
      <w:r w:rsidR="00B658A6" w:rsidRPr="004E2FCB">
        <w:t>0,6</w:t>
      </w:r>
      <w:r w:rsidRPr="004E2FCB">
        <w:t>% respecto a la campaña 202</w:t>
      </w:r>
      <w:r w:rsidR="00B658A6" w:rsidRPr="004E2FCB">
        <w:t>2</w:t>
      </w:r>
      <w:r w:rsidR="004E2FCB" w:rsidRPr="004E2FCB">
        <w:t xml:space="preserve">. </w:t>
      </w:r>
      <w:r w:rsidRPr="004E2FCB">
        <w:t xml:space="preserve">De esta cantidad, la mayor parte </w:t>
      </w:r>
      <w:r w:rsidR="00F53D34">
        <w:t xml:space="preserve">de las uvas </w:t>
      </w:r>
      <w:r w:rsidRPr="004E2FCB">
        <w:t>se producen en las denominaciones de origen de la región.</w:t>
      </w:r>
      <w:r w:rsidR="00F53D34">
        <w:t xml:space="preserve"> </w:t>
      </w:r>
      <w:r w:rsidR="00F53D34">
        <w:rPr>
          <w:bCs/>
          <w:iCs/>
        </w:rPr>
        <w:t>Este año</w:t>
      </w:r>
      <w:r w:rsidR="00F53D34">
        <w:rPr>
          <w:b/>
          <w:i/>
        </w:rPr>
        <w:t xml:space="preserve"> </w:t>
      </w:r>
      <w:r w:rsidR="00F53D34">
        <w:t>l</w:t>
      </w:r>
      <w:r w:rsidR="00F53D34" w:rsidRPr="00DD71DC">
        <w:t xml:space="preserve">a vendimia se ha iniciado mucho antes de los esperado, </w:t>
      </w:r>
      <w:r w:rsidR="00776D1B">
        <w:t>en</w:t>
      </w:r>
      <w:r w:rsidR="00F53D34" w:rsidRPr="00DD71DC">
        <w:t xml:space="preserve"> agosto comenzaba la</w:t>
      </w:r>
      <w:r w:rsidR="00F53D34">
        <w:t xml:space="preserve"> campaña.</w:t>
      </w:r>
    </w:p>
    <w:p w14:paraId="777AB43C" w14:textId="7B7720FD" w:rsidR="008D0E49" w:rsidRDefault="00F53D34" w:rsidP="008D0E49">
      <w:pPr>
        <w:spacing w:after="240"/>
      </w:pPr>
      <w:r w:rsidRPr="008D0E49">
        <w:rPr>
          <w:u w:val="single"/>
        </w:rPr>
        <w:t>Denominación de Origen Rueda</w:t>
      </w:r>
      <w:r w:rsidRPr="00593F33">
        <w:t xml:space="preserve"> inició la campaña el </w:t>
      </w:r>
      <w:r w:rsidR="008D0E49">
        <w:t>15 de agosto</w:t>
      </w:r>
      <w:r w:rsidRPr="00593F33">
        <w:t xml:space="preserve"> con Sauvignon Blanc y Chardonnay y a finales de mes se inició la cosecha de Verdejo. La uva ha presentado buena sanidad y mejores condiciones de maduración que en 2022 (buen equilibrio acidez-grado). La campaña finalizó el </w:t>
      </w:r>
      <w:r w:rsidR="008D0E49">
        <w:t>5 de octubre</w:t>
      </w:r>
      <w:r w:rsidRPr="00593F33">
        <w:t xml:space="preserve"> con un total de 130.480.225 kg de uva con derechos (155.464.366 en 2022), de los cuales más del 99% se corresponden con uvas de variedad blanca predominando el verdejo. Los precios se barajan similares a 2022 en torno a los 0,35-0,45€/kg variando por bodega.</w:t>
      </w:r>
    </w:p>
    <w:p w14:paraId="0F4EA392" w14:textId="76581173" w:rsidR="008D0E49" w:rsidRDefault="00F53D34" w:rsidP="008D0E49">
      <w:pPr>
        <w:spacing w:after="160" w:line="259" w:lineRule="auto"/>
      </w:pPr>
      <w:r w:rsidRPr="008D0E49">
        <w:rPr>
          <w:u w:val="single"/>
        </w:rPr>
        <w:t>Denominación de Origen Cigales</w:t>
      </w:r>
      <w:r w:rsidRPr="00593F33">
        <w:t xml:space="preserve"> comenzó la campaña el 28</w:t>
      </w:r>
      <w:r w:rsidR="008D0E49">
        <w:t xml:space="preserve"> de agosto </w:t>
      </w:r>
      <w:r w:rsidRPr="00593F33">
        <w:t xml:space="preserve">y ha obtenido una producción de 7.772.794 kg que suponen un 8% menos que en la </w:t>
      </w:r>
      <w:r w:rsidRPr="00593F33">
        <w:lastRenderedPageBreak/>
        <w:t>campaña anterior. El 86% es Tempranillo y las blancas conforman el 8% (verdejo, albillo, viura y Sauvignon). El precio ronda los 0,45-0,50 €/Kg</w:t>
      </w:r>
      <w:r w:rsidR="0031787E">
        <w:t xml:space="preserve">, </w:t>
      </w:r>
      <w:r w:rsidRPr="00593F33">
        <w:t>como ha sucedido en Rueda, la uva tiene buena sanidad y grado. La campaña finalizó el 12/10/2023.</w:t>
      </w:r>
    </w:p>
    <w:p w14:paraId="4FB4109A" w14:textId="0CAECA20" w:rsidR="00F53D34" w:rsidRPr="008D0E49" w:rsidRDefault="00F53D34" w:rsidP="008D0E49">
      <w:pPr>
        <w:spacing w:after="160" w:line="259" w:lineRule="auto"/>
      </w:pPr>
      <w:r w:rsidRPr="008D0E49">
        <w:rPr>
          <w:u w:val="single"/>
        </w:rPr>
        <w:t>Denominación de Origen Ribera del Duero</w:t>
      </w:r>
      <w:r w:rsidRPr="00F30EC4">
        <w:t xml:space="preserve"> inició la campaña el </w:t>
      </w:r>
      <w:r w:rsidR="008D0E49">
        <w:t>29 de agosto</w:t>
      </w:r>
      <w:r w:rsidRPr="00F30EC4">
        <w:t xml:space="preserve"> y a fecha de hoy dispone de</w:t>
      </w:r>
      <w:r w:rsidRPr="008D0E49">
        <w:rPr>
          <w:b/>
          <w:bCs/>
        </w:rPr>
        <w:t xml:space="preserve"> </w:t>
      </w:r>
      <w:r w:rsidRPr="00F30EC4">
        <w:t xml:space="preserve">117.398.099 kg </w:t>
      </w:r>
      <w:r>
        <w:t xml:space="preserve">cosechados </w:t>
      </w:r>
      <w:r w:rsidRPr="00F30EC4">
        <w:t>(105.031.589 en 2022)</w:t>
      </w:r>
      <w:r>
        <w:t>. Los precios se sitúan en una media de 1,60€/kg variando mucho entre bodegas y en los casos de pequeñas entregas, pudiendo llegar hasta los 3,50€/kg.</w:t>
      </w:r>
    </w:p>
    <w:p w14:paraId="49EDBB63" w14:textId="3F6421E5" w:rsidR="00F53D34" w:rsidRDefault="00F53D34" w:rsidP="008D0E49">
      <w:pPr>
        <w:spacing w:after="160" w:line="259" w:lineRule="auto"/>
      </w:pPr>
      <w:r w:rsidRPr="008D0E49">
        <w:rPr>
          <w:u w:val="single"/>
        </w:rPr>
        <w:t>Denominación de Origen Toro</w:t>
      </w:r>
      <w:r w:rsidRPr="00F30EC4">
        <w:t xml:space="preserve"> inició campaña el </w:t>
      </w:r>
      <w:r w:rsidR="008D0E49">
        <w:t>21 de agosto</w:t>
      </w:r>
      <w:r w:rsidRPr="00F30EC4">
        <w:t xml:space="preserve"> y finalizó el </w:t>
      </w:r>
      <w:r w:rsidR="008D0E49">
        <w:t>16 de octubre</w:t>
      </w:r>
      <w:r w:rsidRPr="00F30EC4">
        <w:t xml:space="preserve"> con 22.480.418 kg de uva (24.648.572 de 2022), de los cuales el 94% se corresponde con uvas tintas en su mayoría Tinta de Toro. Es ya la tercera campaña con aumento de rendimiento. La calidad de la uva fue extraordinaria pero el precio no tanto, entre 0,20-0,40 €/kg para blancas y tintas respectivamente. </w:t>
      </w:r>
    </w:p>
    <w:p w14:paraId="403A9DD5" w14:textId="2B331B2A" w:rsidR="00F53D34" w:rsidRPr="00751E1B" w:rsidRDefault="00F53D34" w:rsidP="008D0E49">
      <w:pPr>
        <w:spacing w:after="160" w:line="259" w:lineRule="auto"/>
      </w:pPr>
      <w:r w:rsidRPr="008D0E49">
        <w:rPr>
          <w:u w:val="single"/>
        </w:rPr>
        <w:t>Denominación de Origen Bierzo</w:t>
      </w:r>
      <w:r w:rsidRPr="00751E1B">
        <w:t xml:space="preserve"> inició vendimia el </w:t>
      </w:r>
      <w:r w:rsidR="008D0E49">
        <w:t>16 de agosto</w:t>
      </w:r>
      <w:r w:rsidRPr="00751E1B">
        <w:t xml:space="preserve"> obteniendo una producción de 12.959.946 kg (un 15,37% más que en 2022 y 8,05% más que en las 5 ultimas cosechas). De la producción total 11.681.111 kg se han destinado para la elaboración de vinos con Denominación de Origen Bierzo. Por variedades destacan Mencía (8.259.018kg) y </w:t>
      </w:r>
      <w:proofErr w:type="spellStart"/>
      <w:r w:rsidRPr="00751E1B">
        <w:t>Godello</w:t>
      </w:r>
      <w:proofErr w:type="spellEnd"/>
      <w:r w:rsidRPr="00751E1B">
        <w:t xml:space="preserve"> (2.530.383kg), seguidos de Jerez y Doña Blanca. La calidad y la sanidad de la uva han sido muy buenas.</w:t>
      </w:r>
    </w:p>
    <w:p w14:paraId="3F4E4D6A" w14:textId="23C5B831" w:rsidR="001265D1" w:rsidRDefault="001265D1" w:rsidP="001265D1">
      <w:r w:rsidRPr="004E2FCB">
        <w:t>La producción de vino y mosto esperada está por encima de los 2,</w:t>
      </w:r>
      <w:r w:rsidR="004E2FCB" w:rsidRPr="004E2FCB">
        <w:t xml:space="preserve">28 </w:t>
      </w:r>
      <w:r w:rsidRPr="004E2FCB">
        <w:t>millones de hectolitros, que se reduce ligeramente respecto a la producción de 202</w:t>
      </w:r>
      <w:r w:rsidR="004E2FCB" w:rsidRPr="004E2FCB">
        <w:t>2</w:t>
      </w:r>
      <w:r w:rsidRPr="004E2FCB">
        <w:t>.</w:t>
      </w:r>
      <w:r w:rsidR="00F53D34">
        <w:t xml:space="preserve"> En general dentro del sector agrícola, el viñedo ha tenido un buen año productivo. </w:t>
      </w:r>
      <w:bookmarkStart w:id="4" w:name="_Hlk27463873"/>
      <w:r w:rsidRPr="00F9243C">
        <w:t>Según el Observatorio de Precios de los productos agrícolas de Castilla y León el precio de la uva de transformación se situó en 0,7</w:t>
      </w:r>
      <w:r w:rsidR="00155127" w:rsidRPr="00F9243C">
        <w:t>0</w:t>
      </w:r>
      <w:r w:rsidRPr="00F9243C">
        <w:t xml:space="preserve"> euros por kilo, de media, en septiembre, subiendo a </w:t>
      </w:r>
      <w:r w:rsidR="00F9243C" w:rsidRPr="00F9243C">
        <w:t xml:space="preserve">casi </w:t>
      </w:r>
      <w:r w:rsidRPr="00F9243C">
        <w:t>0,8</w:t>
      </w:r>
      <w:r w:rsidR="00155127" w:rsidRPr="00F9243C">
        <w:t>1</w:t>
      </w:r>
      <w:r w:rsidRPr="00F9243C">
        <w:t xml:space="preserve"> en octubre. Estos precios son</w:t>
      </w:r>
      <w:r w:rsidR="00F9243C" w:rsidRPr="00F9243C">
        <w:t xml:space="preserve"> ligeramente inferiores</w:t>
      </w:r>
      <w:r w:rsidRPr="00F9243C">
        <w:t xml:space="preserve"> a los que se pagaron el año pasado en todas las provincias</w:t>
      </w:r>
      <w:r w:rsidR="00F53D34">
        <w:t xml:space="preserve"> y difieren enormemente entre Denominaciones de Origen.</w:t>
      </w:r>
    </w:p>
    <w:p w14:paraId="51FAF8D2" w14:textId="77777777" w:rsidR="00F23B5C" w:rsidRPr="00F9243C" w:rsidRDefault="00F23B5C" w:rsidP="001265D1"/>
    <w:p w14:paraId="7C8EBA32" w14:textId="7E5848E8" w:rsidR="001265D1" w:rsidRPr="0031787E" w:rsidRDefault="001265D1" w:rsidP="001265D1">
      <w:r w:rsidRPr="00A918B9">
        <w:t>En Castilla y León, a 31 de julio de 202</w:t>
      </w:r>
      <w:r w:rsidR="00A918B9" w:rsidRPr="00A918B9">
        <w:t>3</w:t>
      </w:r>
      <w:r w:rsidRPr="00A918B9">
        <w:t xml:space="preserve">, hay </w:t>
      </w:r>
      <w:r w:rsidR="00A918B9" w:rsidRPr="00A918B9">
        <w:t>85.143</w:t>
      </w:r>
      <w:r w:rsidRPr="00A918B9">
        <w:t xml:space="preserve"> hectáreas de viñedo plantadas, </w:t>
      </w:r>
      <w:r w:rsidR="00A918B9" w:rsidRPr="00A918B9">
        <w:t>910</w:t>
      </w:r>
      <w:r w:rsidRPr="00A918B9">
        <w:t xml:space="preserve"> hectáreas de autorizaciones concedidas que no se han ejercido, 1</w:t>
      </w:r>
      <w:r w:rsidR="00A918B9" w:rsidRPr="00A918B9">
        <w:t>09</w:t>
      </w:r>
      <w:r w:rsidRPr="00A918B9">
        <w:t xml:space="preserve"> hectáreas de derechos de plantación que no se han convertido en autorizaciones y 1</w:t>
      </w:r>
      <w:r w:rsidR="00A918B9" w:rsidRPr="00A918B9">
        <w:t>15</w:t>
      </w:r>
      <w:r w:rsidRPr="00A918B9">
        <w:t xml:space="preserve"> hectáreas de resoluciones de arranque concedidas no incluidas en autorizaciones de plantación, incrementándose un </w:t>
      </w:r>
      <w:r w:rsidR="00A918B9" w:rsidRPr="00A918B9">
        <w:t>6,5</w:t>
      </w:r>
      <w:r w:rsidRPr="00A918B9">
        <w:t>% el potencial de producción vitícola respecto al año anterior, hasta alcanzar las 84.4</w:t>
      </w:r>
      <w:r w:rsidR="00A918B9" w:rsidRPr="00A918B9">
        <w:t>57</w:t>
      </w:r>
      <w:r w:rsidRPr="00A918B9">
        <w:t xml:space="preserve"> hectáreas, que suponen el </w:t>
      </w:r>
      <w:r w:rsidR="00A918B9" w:rsidRPr="00A918B9">
        <w:t>9,1</w:t>
      </w:r>
      <w:r w:rsidRPr="00A918B9">
        <w:t xml:space="preserve">% del nacional. </w:t>
      </w:r>
      <w:r w:rsidRPr="00B470CB">
        <w:t>El Ministerio fijó en el 0,1</w:t>
      </w:r>
      <w:r w:rsidR="00B470CB" w:rsidRPr="00B470CB">
        <w:t>5</w:t>
      </w:r>
      <w:r w:rsidRPr="00B470CB">
        <w:t xml:space="preserve">% el porcentaje de la superficie plantada de viñedo para conceder autorizaciones de nuevas plantaciones, que equivale a </w:t>
      </w:r>
      <w:r w:rsidR="00B470CB" w:rsidRPr="00B470CB">
        <w:t>1.407</w:t>
      </w:r>
      <w:r w:rsidRPr="00B470CB">
        <w:t xml:space="preserve"> hectáreas. </w:t>
      </w:r>
      <w:r w:rsidRPr="00A4474A">
        <w:t xml:space="preserve">En Castilla y León se </w:t>
      </w:r>
      <w:r w:rsidR="00A4474A" w:rsidRPr="00A4474A">
        <w:t>aumentaron</w:t>
      </w:r>
      <w:r w:rsidRPr="00A4474A">
        <w:t xml:space="preserve"> las limitaciones para autorizaciones de nueva plantación para el año 202</w:t>
      </w:r>
      <w:r w:rsidR="00A4474A" w:rsidRPr="00A4474A">
        <w:t>3</w:t>
      </w:r>
      <w:r w:rsidRPr="00A4474A">
        <w:t xml:space="preserve"> en Ribera del Duero, a </w:t>
      </w:r>
      <w:r w:rsidR="00A4474A" w:rsidRPr="00A4474A">
        <w:t>235</w:t>
      </w:r>
      <w:r w:rsidRPr="00A4474A">
        <w:t xml:space="preserve"> hectáreas, y en Rueda a </w:t>
      </w:r>
      <w:r w:rsidR="00A4474A" w:rsidRPr="00A4474A">
        <w:t>1</w:t>
      </w:r>
      <w:r w:rsidRPr="00A4474A">
        <w:t xml:space="preserve"> hectárea. </w:t>
      </w:r>
      <w:r w:rsidR="0046788F">
        <w:t>Asimismo, se han publicado ya los límites de autorizaciones de plantación para el año 2024 en Ribera del Duero, reduciendo la superficie a 200</w:t>
      </w:r>
      <w:r w:rsidR="0031787E">
        <w:t xml:space="preserve"> </w:t>
      </w:r>
      <w:r w:rsidR="0046788F">
        <w:t>ha.</w:t>
      </w:r>
    </w:p>
    <w:bookmarkEnd w:id="4"/>
    <w:p w14:paraId="4FF1B7D1" w14:textId="3F0BBB7B" w:rsidR="000E58A2" w:rsidRDefault="00F53D34" w:rsidP="00E34591">
      <w:r>
        <w:t>En cuanto a la normativa del sector, a</w:t>
      </w:r>
      <w:r w:rsidR="00A4474A">
        <w:t xml:space="preserve"> principios de año se publicaron cambios en el </w:t>
      </w:r>
      <w:r w:rsidR="000E58A2" w:rsidRPr="000E58A2">
        <w:t>Real Decreto sobre potencial de producción vitícola, para adaptar a la nueva PAC la normativa</w:t>
      </w:r>
      <w:r w:rsidR="00A4474A">
        <w:t>.</w:t>
      </w:r>
      <w:r w:rsidR="000E58A2" w:rsidRPr="000E58A2">
        <w:t xml:space="preserve"> Entre otros puntos, </w:t>
      </w:r>
      <w:r w:rsidR="00A4474A">
        <w:t>se modificó el</w:t>
      </w:r>
      <w:r w:rsidR="000E58A2" w:rsidRPr="000E58A2">
        <w:t xml:space="preserve"> criterio de prioridad </w:t>
      </w:r>
      <w:r w:rsidR="00A4474A">
        <w:lastRenderedPageBreak/>
        <w:t xml:space="preserve">de pequeñas y mediana explotaciones </w:t>
      </w:r>
      <w:r w:rsidR="000E58A2" w:rsidRPr="000E58A2">
        <w:t>para autorizar nuevas plantaciones, de forma que se considerará la superficie vitícola y no toda la explotación, como hasta ahora. Asimismo, se han reducido los umbrales de tamaño de las explotaciones</w:t>
      </w:r>
      <w:r w:rsidR="00A4474A">
        <w:t xml:space="preserve"> y s</w:t>
      </w:r>
      <w:r w:rsidR="000E58A2" w:rsidRPr="000E58A2">
        <w:t>e permitirá la transferencia de autorizaciones en el caso de la disolución de una explotación de titularidad compartida</w:t>
      </w:r>
      <w:r w:rsidR="0046788F">
        <w:t>, entre otros</w:t>
      </w:r>
      <w:r w:rsidR="00A4474A">
        <w:t>.</w:t>
      </w:r>
      <w:r w:rsidR="000E58A2" w:rsidRPr="000E58A2">
        <w:t xml:space="preserve"> Además, se recogen cambios como la excepción de la aplicación del sistema de autorizaciones</w:t>
      </w:r>
      <w:r w:rsidR="0046788F">
        <w:t>,</w:t>
      </w:r>
      <w:r w:rsidR="000E58A2" w:rsidRPr="000E58A2">
        <w:t xml:space="preserve"> el establecimiento de colecciones de variedades de vid para conservación de recursos genéticos, la plantación o replantación de superficies de viñedo para autoconsumo y también la pérdida de superficies por expropiación o interés social.</w:t>
      </w:r>
    </w:p>
    <w:p w14:paraId="3C0F3616" w14:textId="77777777" w:rsidR="00F23B5C" w:rsidRDefault="00F23B5C" w:rsidP="00E34591"/>
    <w:p w14:paraId="32CAE8EC" w14:textId="3CEA4C3C" w:rsidR="00B214B2" w:rsidRPr="00B214B2" w:rsidRDefault="0046788F" w:rsidP="00B214B2">
      <w:r>
        <w:t xml:space="preserve">En febrero se fijó el presupuesto para la ejecución de la cosecha en verde y en abril se convocaron </w:t>
      </w:r>
      <w:r w:rsidR="00F53D34">
        <w:t xml:space="preserve">tanto estas ayudas, como las destinadas a </w:t>
      </w:r>
      <w:r>
        <w:t xml:space="preserve">la reestructuración y reconversión de viñedos. </w:t>
      </w:r>
      <w:r w:rsidR="00F53D34">
        <w:t>En el último trimestre del año, el Ministerio estableció</w:t>
      </w:r>
      <w:r>
        <w:t xml:space="preserve"> medidas para paliar los problemas específicos del sector vitivinícola ocasionados por la sequía y las perturbaciones del mercado. </w:t>
      </w:r>
      <w:r w:rsidR="00B214B2">
        <w:t>D</w:t>
      </w:r>
      <w:r>
        <w:t>e este modo se amplió la vigencia de las autorizaciones de plantaciones de viñedo</w:t>
      </w:r>
      <w:r w:rsidR="00B214B2">
        <w:t xml:space="preserve"> que finalizaban en 2023, se </w:t>
      </w:r>
      <w:r w:rsidR="00B214B2" w:rsidRPr="00B214B2">
        <w:t>eliminaron las sanciones administrativas a titulares de nuevas plantaciones, replantación o conversión de derechos de plantación y se redujo el porcentaje de justificación del gasto de operaciones de reestructuración y reconversión de viñedos.</w:t>
      </w:r>
      <w:r w:rsidR="00F53D34">
        <w:t xml:space="preserve"> Respecto a la </w:t>
      </w:r>
      <w:r w:rsidR="00DC5F94">
        <w:t>Extensión de Norma, ésta está pronta a renovarse y desde la Interprofesional se ha propuesto una subida de la cuota que los viticultores ven difícil asumir dado el escaso margen de coste- beneficio que llevan obteniendo varios años.</w:t>
      </w:r>
    </w:p>
    <w:p w14:paraId="1FF033D4" w14:textId="2D566F17" w:rsidR="0046788F" w:rsidRDefault="0046788F" w:rsidP="00E34591"/>
    <w:p w14:paraId="49EE9277" w14:textId="77777777" w:rsidR="00AA49C3" w:rsidRPr="00596BC1" w:rsidRDefault="00AA49C3" w:rsidP="00AA49C3">
      <w:pPr>
        <w:rPr>
          <w:b/>
        </w:rPr>
      </w:pPr>
      <w:r w:rsidRPr="00596BC1">
        <w:rPr>
          <w:b/>
        </w:rPr>
        <w:t>Sanidad Vegetal</w:t>
      </w:r>
    </w:p>
    <w:p w14:paraId="6075C7C1" w14:textId="4F36230D" w:rsidR="00AA49C3" w:rsidRDefault="00AA49C3" w:rsidP="00AA49C3">
      <w:pPr>
        <w:rPr>
          <w:highlight w:val="yellow"/>
        </w:rPr>
      </w:pPr>
    </w:p>
    <w:p w14:paraId="1B70BE90" w14:textId="6A999FF4" w:rsidR="001265D1" w:rsidRDefault="001265D1" w:rsidP="001265D1">
      <w:r w:rsidRPr="005052E7">
        <w:t>Los conejos siguen siendo un problema generalizado en Castilla y León, provocando cuantiosas pérdidas en los cultivos</w:t>
      </w:r>
      <w:r w:rsidR="00596BC1">
        <w:t xml:space="preserve">. </w:t>
      </w:r>
      <w:r w:rsidRPr="005052E7">
        <w:t>ASAJA ha pedido</w:t>
      </w:r>
      <w:r w:rsidR="00983E39" w:rsidRPr="005052E7">
        <w:t xml:space="preserve"> al Gobierno</w:t>
      </w:r>
      <w:r w:rsidR="006D472A">
        <w:t>,</w:t>
      </w:r>
      <w:r w:rsidR="00983E39" w:rsidRPr="005052E7">
        <w:t xml:space="preserve"> mediante la Mesa de Trabajo que aborda la superpoblación del conejo, medidas urgentes y eficaces para frenar la plaga de conejos. La presencia de estos roedores se ha descontrolado</w:t>
      </w:r>
      <w:r w:rsidR="005052E7" w:rsidRPr="005052E7">
        <w:t xml:space="preserve"> por</w:t>
      </w:r>
      <w:r w:rsidR="00983E39" w:rsidRPr="005052E7">
        <w:t xml:space="preserve"> la falta de mantenimiento y limpieza de los bordes de las autovías, ríos, arroyos y líneas de tren</w:t>
      </w:r>
      <w:r w:rsidR="005052E7" w:rsidRPr="005052E7">
        <w:t xml:space="preserve">, por </w:t>
      </w:r>
      <w:r w:rsidR="00983E39" w:rsidRPr="005052E7">
        <w:t>los retrasos en los permisos especiales de caza de conejo</w:t>
      </w:r>
      <w:r w:rsidR="005052E7" w:rsidRPr="005052E7">
        <w:t xml:space="preserve"> y por un </w:t>
      </w:r>
      <w:r w:rsidR="00983E39" w:rsidRPr="005052E7">
        <w:t>nuevo agravante</w:t>
      </w:r>
      <w:r w:rsidR="005052E7" w:rsidRPr="005052E7">
        <w:t xml:space="preserve"> como son las</w:t>
      </w:r>
      <w:r w:rsidR="00983E39" w:rsidRPr="005052E7">
        <w:t xml:space="preserve"> nuevas instalaciones de placas solares que sirven como zonas de refugio y cría de conejos</w:t>
      </w:r>
      <w:r w:rsidR="005052E7" w:rsidRPr="005052E7">
        <w:t xml:space="preserve">. </w:t>
      </w:r>
    </w:p>
    <w:p w14:paraId="00384C7F" w14:textId="77777777" w:rsidR="00F23B5C" w:rsidRPr="000D68B3" w:rsidRDefault="00F23B5C" w:rsidP="001265D1"/>
    <w:p w14:paraId="69D9F03A" w14:textId="28817C99" w:rsidR="00F23B5C" w:rsidRDefault="001265D1" w:rsidP="00F23B5C">
      <w:r w:rsidRPr="00036788">
        <w:t>En base a la nueva estrategia integral de prevención y lucha contra el topillo campesino en Castilla y León, que establece un modelo colaborativo de toda la red de agentes implicados, basado en la realización de acciones preventivas, de carácter permanente y atemporal, desde el Observatorio de Plagas y Enfermedades Agrícolas de Castilla y León se han emitido recomendaciones de manejo para el topillo campesino en diferentes épocas del año, primavera, estival y otoño-invierno.</w:t>
      </w:r>
      <w:r w:rsidR="00F23B5C">
        <w:t xml:space="preserve"> </w:t>
      </w:r>
      <w:r w:rsidR="000905EC">
        <w:t>En</w:t>
      </w:r>
      <w:r w:rsidR="00F23B5C">
        <w:t xml:space="preserve"> el último Consejo Agrario, celebrado en diciembre, </w:t>
      </w:r>
      <w:r w:rsidR="000905EC">
        <w:t>ASAJA alertó</w:t>
      </w:r>
      <w:r w:rsidR="00F23B5C">
        <w:t xml:space="preserve"> de un aumento de poblaciones de topillo campesino, por lo que se convocará a la Comisión de Control de esta plaga para ver posibles actuaciones y hacer un seguimiento de su evolución.</w:t>
      </w:r>
    </w:p>
    <w:p w14:paraId="194FB4E6" w14:textId="68E1D312" w:rsidR="001265D1" w:rsidRDefault="001265D1" w:rsidP="001265D1"/>
    <w:p w14:paraId="3A261A5E" w14:textId="3548C11E" w:rsidR="00522C2E" w:rsidRDefault="00522C2E" w:rsidP="00522C2E">
      <w:r w:rsidRPr="00522C2E">
        <w:lastRenderedPageBreak/>
        <w:t xml:space="preserve">La Comisión Europea </w:t>
      </w:r>
      <w:r>
        <w:t xml:space="preserve">ha renovado en noviembre durante 10 años </w:t>
      </w:r>
      <w:r w:rsidRPr="00F23B5C">
        <w:rPr>
          <w:b/>
          <w:bCs/>
        </w:rPr>
        <w:t>el uso de la sustancia activa glifosato</w:t>
      </w:r>
      <w:r w:rsidRPr="00522C2E">
        <w:t> para uso exclusivo como herbicida</w:t>
      </w:r>
      <w:r>
        <w:t xml:space="preserve">. </w:t>
      </w:r>
      <w:r w:rsidRPr="00522C2E">
        <w:t>ASAJA, a través de su oficina en Bruselas y también a través del COPA-COGECA, ha sido especialmente combativa en la defensa del uso del glifosato, hoy por hoy un herbicida sin alternativa equivalente, por lo que sin él muchas prácticas agrícolas, especialmente la conservación del suelo, se volverían imposibles.</w:t>
      </w:r>
    </w:p>
    <w:p w14:paraId="0831E141" w14:textId="430468A2" w:rsidR="006F4743" w:rsidRDefault="006F4743" w:rsidP="00522C2E">
      <w:r w:rsidRPr="006F4743">
        <w:t xml:space="preserve">Campaña complicada sanitariamente </w:t>
      </w:r>
      <w:r>
        <w:t xml:space="preserve">para el cultivo de remolacha </w:t>
      </w:r>
      <w:r w:rsidRPr="006F4743">
        <w:t xml:space="preserve">por la aparición de </w:t>
      </w:r>
      <w:proofErr w:type="spellStart"/>
      <w:r w:rsidRPr="006F4743">
        <w:t>cercospora</w:t>
      </w:r>
      <w:proofErr w:type="spellEnd"/>
      <w:r w:rsidRPr="006F4743">
        <w:t xml:space="preserve"> en las últimas fases de difícil control y es la primera campaña en la que no está permitido el uso de insecticidas </w:t>
      </w:r>
      <w:proofErr w:type="spellStart"/>
      <w:r w:rsidRPr="006F4743">
        <w:t>neonicotinoides</w:t>
      </w:r>
      <w:proofErr w:type="spellEnd"/>
      <w:r w:rsidRPr="006F4743">
        <w:t xml:space="preserve"> (NNIS) en semillas. Esto a supuesto intensificar la vigilancia de plagas difíciles de controlar.</w:t>
      </w:r>
    </w:p>
    <w:p w14:paraId="4298489E" w14:textId="77777777" w:rsidR="00F23B5C" w:rsidRPr="00522C2E" w:rsidRDefault="00F23B5C" w:rsidP="00522C2E"/>
    <w:p w14:paraId="69D28347" w14:textId="01AF0931" w:rsidR="001265D1" w:rsidRDefault="001265D1" w:rsidP="001265D1">
      <w:r w:rsidRPr="00983E39">
        <w:t>El Observatorio de Plagas y Enfermedades Agrícolas de Castilla y León emitió, a lo largo de 202</w:t>
      </w:r>
      <w:r w:rsidR="00DC5F94" w:rsidRPr="00983E39">
        <w:t>3</w:t>
      </w:r>
      <w:r w:rsidRPr="00983E39">
        <w:t xml:space="preserve">, avisos sobre incidencias o detección de las siguientes plagas y enfermedades: </w:t>
      </w:r>
      <w:r w:rsidR="00DC5F94" w:rsidRPr="00983E39">
        <w:t>rabia</w:t>
      </w:r>
      <w:r w:rsidR="00DC5F94">
        <w:t xml:space="preserve"> en leguminosas; </w:t>
      </w:r>
      <w:proofErr w:type="spellStart"/>
      <w:r w:rsidR="00DC5F94">
        <w:t>apión</w:t>
      </w:r>
      <w:proofErr w:type="spellEnd"/>
      <w:r w:rsidR="00DC5F94">
        <w:t xml:space="preserve"> en alfalfa; gorgojo, pulguilla y altica en colza; topillo campesino; </w:t>
      </w:r>
      <w:proofErr w:type="spellStart"/>
      <w:r w:rsidR="00DC5F94">
        <w:t>sitona</w:t>
      </w:r>
      <w:proofErr w:type="spellEnd"/>
      <w:r w:rsidR="00DC5F94">
        <w:t xml:space="preserve"> y pulgón en leguminosas; pulgón harinoso en </w:t>
      </w:r>
      <w:proofErr w:type="spellStart"/>
      <w:r w:rsidR="00DC5F94">
        <w:t>brasicas</w:t>
      </w:r>
      <w:proofErr w:type="spellEnd"/>
      <w:r w:rsidR="00DC5F94">
        <w:t xml:space="preserve">; gusano verde en alfalfa; pulgón, </w:t>
      </w:r>
      <w:proofErr w:type="spellStart"/>
      <w:r w:rsidR="00DC5F94">
        <w:t>trips</w:t>
      </w:r>
      <w:proofErr w:type="spellEnd"/>
      <w:r w:rsidR="00DC5F94">
        <w:t xml:space="preserve">, </w:t>
      </w:r>
      <w:proofErr w:type="spellStart"/>
      <w:r w:rsidR="00DC5F94">
        <w:t>septoria</w:t>
      </w:r>
      <w:proofErr w:type="spellEnd"/>
      <w:r w:rsidR="00DC5F94">
        <w:t xml:space="preserve">, </w:t>
      </w:r>
      <w:proofErr w:type="spellStart"/>
      <w:r w:rsidR="00DC5F94">
        <w:t>helmintosporiosis</w:t>
      </w:r>
      <w:proofErr w:type="spellEnd"/>
      <w:r w:rsidR="00DC5F94">
        <w:t xml:space="preserve">, </w:t>
      </w:r>
      <w:proofErr w:type="spellStart"/>
      <w:r w:rsidR="00DC5F94">
        <w:t>rincosporiosis</w:t>
      </w:r>
      <w:proofErr w:type="spellEnd"/>
      <w:r w:rsidR="00DC5F94">
        <w:t xml:space="preserve">, </w:t>
      </w:r>
      <w:proofErr w:type="spellStart"/>
      <w:r w:rsidR="00DC5F94">
        <w:t>troanchaespigas</w:t>
      </w:r>
      <w:proofErr w:type="spellEnd"/>
      <w:r w:rsidR="00983E39">
        <w:t xml:space="preserve">, mohos negros, </w:t>
      </w:r>
      <w:proofErr w:type="spellStart"/>
      <w:r w:rsidR="00983E39">
        <w:t>zabro</w:t>
      </w:r>
      <w:proofErr w:type="spellEnd"/>
      <w:r w:rsidR="00DC5F94">
        <w:t xml:space="preserve"> y </w:t>
      </w:r>
      <w:proofErr w:type="spellStart"/>
      <w:r w:rsidR="00DC5F94">
        <w:t>oscinella</w:t>
      </w:r>
      <w:proofErr w:type="spellEnd"/>
      <w:r w:rsidR="00DC5F94">
        <w:t xml:space="preserve"> en cereales; barreno</w:t>
      </w:r>
      <w:r w:rsidR="00983E39">
        <w:t xml:space="preserve">, fuego bacteriano, </w:t>
      </w:r>
      <w:proofErr w:type="spellStart"/>
      <w:r w:rsidR="00983E39">
        <w:t>cacoecia</w:t>
      </w:r>
      <w:proofErr w:type="spellEnd"/>
      <w:r w:rsidR="00DC5F94">
        <w:t xml:space="preserve"> en frutales de pepita; mildiu</w:t>
      </w:r>
      <w:r w:rsidR="00983E39">
        <w:t>, podredumbre negra “</w:t>
      </w:r>
      <w:proofErr w:type="spellStart"/>
      <w:r w:rsidR="00983E39">
        <w:t>black</w:t>
      </w:r>
      <w:proofErr w:type="spellEnd"/>
      <w:r w:rsidR="00983E39">
        <w:t xml:space="preserve"> </w:t>
      </w:r>
      <w:proofErr w:type="spellStart"/>
      <w:r w:rsidR="00983E39">
        <w:t>rot</w:t>
      </w:r>
      <w:proofErr w:type="spellEnd"/>
      <w:r w:rsidR="00983E39">
        <w:t xml:space="preserve">”, </w:t>
      </w:r>
      <w:proofErr w:type="spellStart"/>
      <w:r w:rsidR="00983E39">
        <w:t>oidio</w:t>
      </w:r>
      <w:proofErr w:type="spellEnd"/>
      <w:r w:rsidR="00983E39">
        <w:t xml:space="preserve">, </w:t>
      </w:r>
      <w:proofErr w:type="spellStart"/>
      <w:r w:rsidR="00983E39">
        <w:t>botrytis</w:t>
      </w:r>
      <w:proofErr w:type="spellEnd"/>
      <w:r w:rsidR="00983E39">
        <w:t xml:space="preserve">, </w:t>
      </w:r>
      <w:proofErr w:type="spellStart"/>
      <w:r w:rsidR="00983E39">
        <w:t>acariosis</w:t>
      </w:r>
      <w:proofErr w:type="spellEnd"/>
      <w:r w:rsidR="00983E39">
        <w:t xml:space="preserve">, </w:t>
      </w:r>
      <w:proofErr w:type="spellStart"/>
      <w:r w:rsidR="00983E39">
        <w:t>lobesia</w:t>
      </w:r>
      <w:proofErr w:type="spellEnd"/>
      <w:r w:rsidR="00983E39">
        <w:t xml:space="preserve"> y </w:t>
      </w:r>
      <w:proofErr w:type="spellStart"/>
      <w:r w:rsidR="00983E39">
        <w:t>erinosis</w:t>
      </w:r>
      <w:proofErr w:type="spellEnd"/>
      <w:r w:rsidR="00DC5F94">
        <w:t xml:space="preserve"> en viñedo; pulgón verde y negro en remolacha; mosca del cerezo</w:t>
      </w:r>
      <w:r w:rsidR="00983E39">
        <w:t xml:space="preserve">; palomilla y tizón tardío en patata: </w:t>
      </w:r>
      <w:proofErr w:type="spellStart"/>
      <w:r w:rsidR="00983E39">
        <w:t>helicoverpa</w:t>
      </w:r>
      <w:proofErr w:type="spellEnd"/>
      <w:r w:rsidR="00983E39">
        <w:t xml:space="preserve"> en garbanzo; anguina en cebadas; cribado y perdigonado en almendros y frutales de hueso; </w:t>
      </w:r>
      <w:proofErr w:type="spellStart"/>
      <w:r w:rsidR="00983E39">
        <w:t>spodoptera</w:t>
      </w:r>
      <w:proofErr w:type="spellEnd"/>
      <w:r w:rsidR="00983E39">
        <w:t xml:space="preserve"> en pimiento.</w:t>
      </w:r>
    </w:p>
    <w:p w14:paraId="0D997008" w14:textId="77777777" w:rsidR="008D0E49" w:rsidRDefault="008D0E49" w:rsidP="001265D1"/>
    <w:p w14:paraId="4C032C02" w14:textId="77777777" w:rsidR="001265D1" w:rsidRPr="00C6165A" w:rsidRDefault="001265D1" w:rsidP="001265D1"/>
    <w:p w14:paraId="64DD2C6A" w14:textId="77777777" w:rsidR="00AA49C3" w:rsidRPr="00C6165A" w:rsidRDefault="00AA49C3" w:rsidP="00AA49C3">
      <w:pPr>
        <w:jc w:val="center"/>
        <w:rPr>
          <w:b/>
        </w:rPr>
      </w:pPr>
      <w:r w:rsidRPr="00C6165A">
        <w:rPr>
          <w:b/>
        </w:rPr>
        <w:t>SUBSECTOR GANADERO</w:t>
      </w:r>
    </w:p>
    <w:p w14:paraId="13FDCBFA" w14:textId="464A14A4" w:rsidR="00AA49C3" w:rsidRPr="00C6165A" w:rsidRDefault="00AA49C3" w:rsidP="00B87545">
      <w:pPr>
        <w:rPr>
          <w:bCs/>
        </w:rPr>
      </w:pPr>
    </w:p>
    <w:p w14:paraId="02AE9DF4" w14:textId="7095F027" w:rsidR="000D68B3" w:rsidRDefault="00630748" w:rsidP="00630748">
      <w:pPr>
        <w:rPr>
          <w:bCs/>
          <w:iCs/>
        </w:rPr>
      </w:pPr>
      <w:r w:rsidRPr="00E85CB2">
        <w:rPr>
          <w:bCs/>
          <w:iCs/>
        </w:rPr>
        <w:t xml:space="preserve">La escalada de precios de los </w:t>
      </w:r>
      <w:r w:rsidR="006F4743">
        <w:rPr>
          <w:bCs/>
          <w:iCs/>
        </w:rPr>
        <w:t xml:space="preserve">piensos y </w:t>
      </w:r>
      <w:r w:rsidR="00D23EB1">
        <w:rPr>
          <w:bCs/>
          <w:iCs/>
        </w:rPr>
        <w:t>forrajes</w:t>
      </w:r>
      <w:r w:rsidRPr="00E85CB2">
        <w:rPr>
          <w:bCs/>
          <w:iCs/>
        </w:rPr>
        <w:t xml:space="preserve"> </w:t>
      </w:r>
      <w:r w:rsidR="006F4743">
        <w:rPr>
          <w:bCs/>
          <w:iCs/>
        </w:rPr>
        <w:t>(por encima del incremento de las materias primas)</w:t>
      </w:r>
      <w:r w:rsidR="00D23EB1">
        <w:rPr>
          <w:bCs/>
          <w:iCs/>
        </w:rPr>
        <w:t xml:space="preserve"> </w:t>
      </w:r>
      <w:r w:rsidR="000905EC">
        <w:rPr>
          <w:bCs/>
          <w:iCs/>
        </w:rPr>
        <w:t xml:space="preserve">y el récord histórico del precio de la paja por encima incluso del propio grano, así como </w:t>
      </w:r>
      <w:r w:rsidR="00D23EB1">
        <w:rPr>
          <w:bCs/>
          <w:iCs/>
        </w:rPr>
        <w:t>el bajo rendimiento de los cultivos y pastos por las condiciones climáticas está l</w:t>
      </w:r>
      <w:r w:rsidRPr="00E85CB2">
        <w:rPr>
          <w:bCs/>
          <w:iCs/>
        </w:rPr>
        <w:t xml:space="preserve">levando a las explotaciones </w:t>
      </w:r>
      <w:r w:rsidR="00E85CB2" w:rsidRPr="00E85CB2">
        <w:rPr>
          <w:bCs/>
          <w:iCs/>
        </w:rPr>
        <w:t>ganaderas</w:t>
      </w:r>
      <w:r w:rsidRPr="00E85CB2">
        <w:rPr>
          <w:bCs/>
          <w:iCs/>
        </w:rPr>
        <w:t xml:space="preserve"> de Castilla y León a una situación económica muy comprometida, al no </w:t>
      </w:r>
      <w:r w:rsidR="00E85CB2" w:rsidRPr="00E85CB2">
        <w:rPr>
          <w:bCs/>
          <w:iCs/>
        </w:rPr>
        <w:t>obtener rentabilidad.</w:t>
      </w:r>
    </w:p>
    <w:p w14:paraId="546ACE52" w14:textId="77777777" w:rsidR="00F23B5C" w:rsidRDefault="00F23B5C" w:rsidP="009C2BCE">
      <w:pPr>
        <w:rPr>
          <w:bCs/>
          <w:iCs/>
        </w:rPr>
      </w:pPr>
    </w:p>
    <w:p w14:paraId="0239895D" w14:textId="77777777" w:rsidR="00F23B5C" w:rsidRDefault="000D68B3" w:rsidP="009C2BCE">
      <w:pPr>
        <w:rPr>
          <w:bCs/>
          <w:iCs/>
        </w:rPr>
      </w:pPr>
      <w:r>
        <w:rPr>
          <w:bCs/>
          <w:iCs/>
        </w:rPr>
        <w:t>Respecto a normativa, d</w:t>
      </w:r>
      <w:r w:rsidR="009C2BCE">
        <w:rPr>
          <w:bCs/>
          <w:iCs/>
        </w:rPr>
        <w:t>urante el primer trimestre del año</w:t>
      </w:r>
      <w:r w:rsidR="00D23EB1">
        <w:rPr>
          <w:bCs/>
          <w:iCs/>
        </w:rPr>
        <w:t xml:space="preserve"> el Ministerio dio luz verde a</w:t>
      </w:r>
      <w:r w:rsidR="00E34591">
        <w:rPr>
          <w:bCs/>
          <w:iCs/>
        </w:rPr>
        <w:t xml:space="preserve"> la aprobación del nuevo registro de la Indicación Geográfica Protegida “Cochinillo de Segovia”</w:t>
      </w:r>
      <w:r w:rsidR="003F05C9">
        <w:rPr>
          <w:bCs/>
          <w:iCs/>
        </w:rPr>
        <w:t>, siendo por tanto la quinta figura de calidad en el sector cárnico de Castilla y León.</w:t>
      </w:r>
      <w:r>
        <w:rPr>
          <w:bCs/>
          <w:iCs/>
        </w:rPr>
        <w:t xml:space="preserve"> </w:t>
      </w:r>
      <w:r w:rsidR="009C2BCE">
        <w:rPr>
          <w:bCs/>
          <w:iCs/>
        </w:rPr>
        <w:t>Muy cercano en fecha se aprobó también la Ley de protección de los derechos y el bienestar animal</w:t>
      </w:r>
      <w:r w:rsidR="006F4743">
        <w:rPr>
          <w:bCs/>
          <w:iCs/>
        </w:rPr>
        <w:t>, de la que finalmente quedaron excluidos</w:t>
      </w:r>
      <w:r w:rsidR="009C2BCE">
        <w:rPr>
          <w:bCs/>
          <w:iCs/>
        </w:rPr>
        <w:t xml:space="preserve"> los animales de granja y los perros pastores.</w:t>
      </w:r>
      <w:r w:rsidR="0031787E">
        <w:rPr>
          <w:bCs/>
          <w:iCs/>
        </w:rPr>
        <w:t xml:space="preserve"> </w:t>
      </w:r>
    </w:p>
    <w:p w14:paraId="5736904D" w14:textId="77777777" w:rsidR="00F23B5C" w:rsidRDefault="00F23B5C" w:rsidP="009C2BCE">
      <w:pPr>
        <w:rPr>
          <w:bCs/>
          <w:iCs/>
        </w:rPr>
      </w:pPr>
    </w:p>
    <w:p w14:paraId="3AFBD59C" w14:textId="74576124" w:rsidR="009C2BCE" w:rsidRDefault="009C2BCE" w:rsidP="009C2BCE">
      <w:pPr>
        <w:rPr>
          <w:bCs/>
          <w:iCs/>
        </w:rPr>
      </w:pPr>
      <w:r>
        <w:rPr>
          <w:bCs/>
          <w:iCs/>
        </w:rPr>
        <w:t xml:space="preserve">En </w:t>
      </w:r>
      <w:r w:rsidR="0031787E">
        <w:rPr>
          <w:bCs/>
          <w:iCs/>
        </w:rPr>
        <w:t>a</w:t>
      </w:r>
      <w:r>
        <w:rPr>
          <w:bCs/>
          <w:iCs/>
        </w:rPr>
        <w:t>bril</w:t>
      </w:r>
      <w:r w:rsidR="000D68B3">
        <w:rPr>
          <w:bCs/>
          <w:iCs/>
        </w:rPr>
        <w:t>,</w:t>
      </w:r>
      <w:r>
        <w:rPr>
          <w:bCs/>
          <w:iCs/>
        </w:rPr>
        <w:t xml:space="preserve"> </w:t>
      </w:r>
      <w:r w:rsidR="006F4743">
        <w:rPr>
          <w:bCs/>
          <w:iCs/>
        </w:rPr>
        <w:t>l</w:t>
      </w:r>
      <w:r>
        <w:rPr>
          <w:bCs/>
          <w:iCs/>
        </w:rPr>
        <w:t xml:space="preserve">a Consejería de Medio Ambiente </w:t>
      </w:r>
      <w:r w:rsidR="006F4743">
        <w:rPr>
          <w:bCs/>
          <w:iCs/>
        </w:rPr>
        <w:t>publicó</w:t>
      </w:r>
      <w:r>
        <w:rPr>
          <w:bCs/>
          <w:iCs/>
        </w:rPr>
        <w:t xml:space="preserve"> la orden por la que se regulan los </w:t>
      </w:r>
      <w:r w:rsidRPr="00F23B5C">
        <w:rPr>
          <w:b/>
          <w:iCs/>
        </w:rPr>
        <w:t>pagos compensatorios derivados de los daños producidos por el lobo</w:t>
      </w:r>
      <w:r>
        <w:rPr>
          <w:bCs/>
          <w:iCs/>
        </w:rPr>
        <w:t xml:space="preserve"> en las explotaciones ganaderas de Castilla y León</w:t>
      </w:r>
      <w:r w:rsidR="006F4743">
        <w:rPr>
          <w:bCs/>
          <w:iCs/>
        </w:rPr>
        <w:t xml:space="preserve"> con </w:t>
      </w:r>
      <w:r w:rsidRPr="009C2BCE">
        <w:rPr>
          <w:bCs/>
          <w:iCs/>
        </w:rPr>
        <w:t>cambios importantes</w:t>
      </w:r>
      <w:r w:rsidR="0031787E">
        <w:rPr>
          <w:bCs/>
          <w:iCs/>
        </w:rPr>
        <w:t>. Se atendió</w:t>
      </w:r>
      <w:r w:rsidRPr="009C2BCE">
        <w:rPr>
          <w:bCs/>
          <w:iCs/>
        </w:rPr>
        <w:t xml:space="preserve"> al menos una parte de las reivindicaciones de ASAJA</w:t>
      </w:r>
      <w:r w:rsidR="00513B24">
        <w:rPr>
          <w:bCs/>
          <w:iCs/>
        </w:rPr>
        <w:t>: aument</w:t>
      </w:r>
      <w:r w:rsidR="0031787E">
        <w:rPr>
          <w:bCs/>
          <w:iCs/>
        </w:rPr>
        <w:t>aron</w:t>
      </w:r>
      <w:r w:rsidRPr="009C2BCE">
        <w:rPr>
          <w:bCs/>
          <w:iCs/>
        </w:rPr>
        <w:t xml:space="preserve"> las compensaciones y </w:t>
      </w:r>
      <w:r w:rsidR="00513B24">
        <w:rPr>
          <w:bCs/>
          <w:iCs/>
        </w:rPr>
        <w:t>ampli</w:t>
      </w:r>
      <w:r w:rsidR="0031787E">
        <w:rPr>
          <w:bCs/>
          <w:iCs/>
        </w:rPr>
        <w:t>aron</w:t>
      </w:r>
      <w:r w:rsidRPr="009C2BCE">
        <w:rPr>
          <w:bCs/>
          <w:iCs/>
        </w:rPr>
        <w:t xml:space="preserve"> </w:t>
      </w:r>
      <w:r w:rsidR="00513B24">
        <w:rPr>
          <w:bCs/>
          <w:iCs/>
        </w:rPr>
        <w:t xml:space="preserve">las indemnizaciones </w:t>
      </w:r>
      <w:r w:rsidRPr="009C2BCE">
        <w:rPr>
          <w:bCs/>
          <w:iCs/>
        </w:rPr>
        <w:t>a toda la Comunidad Autónoma, tanto al norte como al sur del Duero.</w:t>
      </w:r>
      <w:r w:rsidR="0031787E">
        <w:rPr>
          <w:bCs/>
          <w:iCs/>
        </w:rPr>
        <w:t xml:space="preserve"> Esta cuantía ascendió en 2023 a 3 M€, frente a los 1,9 M€ de 2022.</w:t>
      </w:r>
      <w:r w:rsidRPr="009C2BCE">
        <w:rPr>
          <w:bCs/>
          <w:iCs/>
        </w:rPr>
        <w:t xml:space="preserve"> </w:t>
      </w:r>
    </w:p>
    <w:p w14:paraId="42B051F1" w14:textId="77777777" w:rsidR="00F23B5C" w:rsidRPr="009C2BCE" w:rsidRDefault="00F23B5C" w:rsidP="009C2BCE">
      <w:pPr>
        <w:rPr>
          <w:bCs/>
          <w:iCs/>
        </w:rPr>
      </w:pPr>
    </w:p>
    <w:p w14:paraId="39F4092C" w14:textId="77777777" w:rsidR="00F23B5C" w:rsidRDefault="00EE110E" w:rsidP="00630748">
      <w:pPr>
        <w:rPr>
          <w:bCs/>
          <w:iCs/>
        </w:rPr>
      </w:pPr>
      <w:r>
        <w:rPr>
          <w:bCs/>
          <w:iCs/>
        </w:rPr>
        <w:lastRenderedPageBreak/>
        <w:t xml:space="preserve">Uno de los principales problemas a los que se enfrenta la ganadería, es la </w:t>
      </w:r>
      <w:r w:rsidRPr="000D68B3">
        <w:rPr>
          <w:b/>
          <w:iCs/>
        </w:rPr>
        <w:t>gestión de los estiércoles</w:t>
      </w:r>
      <w:r>
        <w:rPr>
          <w:bCs/>
          <w:iCs/>
        </w:rPr>
        <w:t xml:space="preserve">. </w:t>
      </w:r>
      <w:r w:rsidR="00513B24">
        <w:rPr>
          <w:bCs/>
          <w:iCs/>
        </w:rPr>
        <w:t>E</w:t>
      </w:r>
      <w:r>
        <w:rPr>
          <w:bCs/>
          <w:iCs/>
        </w:rPr>
        <w:t>n el último trimestre de 2023 se han convocado ayudas para inversiones en sistemas de gestión de estiércoles en ganadería mediante diversas actuaciones como la cubrición de balsas con o sin aprovechamiento energético o la v</w:t>
      </w:r>
      <w:r w:rsidRPr="00EE110E">
        <w:rPr>
          <w:bCs/>
          <w:iCs/>
        </w:rPr>
        <w:t>alorización energética de estiércoles y de biomasa agrícola</w:t>
      </w:r>
      <w:r>
        <w:rPr>
          <w:bCs/>
          <w:iCs/>
        </w:rPr>
        <w:t xml:space="preserve">, pero no es algo que resuelva el problema diario al que se enfrentan los ganaderos de explotaciones intensivas. </w:t>
      </w:r>
    </w:p>
    <w:p w14:paraId="329983F3" w14:textId="77777777" w:rsidR="00F23B5C" w:rsidRDefault="00F23B5C" w:rsidP="00630748">
      <w:pPr>
        <w:rPr>
          <w:bCs/>
          <w:iCs/>
        </w:rPr>
      </w:pPr>
    </w:p>
    <w:p w14:paraId="1825CCE5" w14:textId="77777777" w:rsidR="00F23B5C" w:rsidRDefault="00EE110E" w:rsidP="00630748">
      <w:pPr>
        <w:rPr>
          <w:bCs/>
          <w:iCs/>
        </w:rPr>
      </w:pPr>
      <w:r>
        <w:rPr>
          <w:bCs/>
          <w:iCs/>
        </w:rPr>
        <w:t xml:space="preserve">Respecto a las explotaciones ganaderas extensivas, </w:t>
      </w:r>
      <w:r w:rsidR="00513B24">
        <w:rPr>
          <w:bCs/>
          <w:iCs/>
        </w:rPr>
        <w:t>se ha convocado una nueva ayuda</w:t>
      </w:r>
      <w:r>
        <w:rPr>
          <w:bCs/>
          <w:iCs/>
        </w:rPr>
        <w:t xml:space="preserve"> </w:t>
      </w:r>
      <w:r w:rsidRPr="00EE110E">
        <w:rPr>
          <w:bCs/>
          <w:iCs/>
        </w:rPr>
        <w:t xml:space="preserve">para la construcción de balsas consideradas como infraestructuras agropecuarias de titularidad pública, dentro del PEPAC 2023-2027 </w:t>
      </w:r>
      <w:r>
        <w:rPr>
          <w:bCs/>
          <w:iCs/>
        </w:rPr>
        <w:t>y para la que podrán</w:t>
      </w:r>
      <w:r w:rsidRPr="00EE110E">
        <w:rPr>
          <w:bCs/>
          <w:iCs/>
        </w:rPr>
        <w:t xml:space="preserve"> ser beneficiarios los municipios de</w:t>
      </w:r>
      <w:r w:rsidR="0031787E">
        <w:rPr>
          <w:bCs/>
          <w:iCs/>
        </w:rPr>
        <w:t xml:space="preserve"> algunas provincias de</w:t>
      </w:r>
      <w:r w:rsidRPr="00EE110E">
        <w:rPr>
          <w:bCs/>
          <w:iCs/>
        </w:rPr>
        <w:t xml:space="preserve"> Castilla y León</w:t>
      </w:r>
      <w:r>
        <w:rPr>
          <w:bCs/>
          <w:iCs/>
        </w:rPr>
        <w:t>.</w:t>
      </w:r>
      <w:r w:rsidR="0031787E">
        <w:rPr>
          <w:bCs/>
          <w:iCs/>
        </w:rPr>
        <w:t xml:space="preserve"> </w:t>
      </w:r>
    </w:p>
    <w:p w14:paraId="0769AE4E" w14:textId="77777777" w:rsidR="00F23B5C" w:rsidRDefault="00F23B5C" w:rsidP="00630748">
      <w:pPr>
        <w:rPr>
          <w:bCs/>
          <w:iCs/>
        </w:rPr>
      </w:pPr>
    </w:p>
    <w:p w14:paraId="7D122E40" w14:textId="7D3222B0" w:rsidR="00EE110E" w:rsidRDefault="000050D2" w:rsidP="00630748">
      <w:pPr>
        <w:rPr>
          <w:bCs/>
          <w:iCs/>
        </w:rPr>
      </w:pPr>
      <w:r>
        <w:rPr>
          <w:bCs/>
          <w:iCs/>
        </w:rPr>
        <w:t>En el sector lácteo también hay novedades</w:t>
      </w:r>
      <w:r w:rsidR="00513B24">
        <w:rPr>
          <w:bCs/>
          <w:iCs/>
        </w:rPr>
        <w:t xml:space="preserve">, </w:t>
      </w:r>
      <w:r>
        <w:rPr>
          <w:bCs/>
          <w:iCs/>
        </w:rPr>
        <w:t>se ha regulado el registro y la identificación de los agentes que intervienen en el sector, validándose los cursos de tomadores de muestras y el control desde la producción primaria hasta la primera descarga.</w:t>
      </w:r>
    </w:p>
    <w:p w14:paraId="3BADCC49" w14:textId="77777777" w:rsidR="00F23B5C" w:rsidRDefault="00F23B5C" w:rsidP="00630748">
      <w:pPr>
        <w:rPr>
          <w:bCs/>
          <w:iCs/>
        </w:rPr>
      </w:pPr>
    </w:p>
    <w:p w14:paraId="63A27F75" w14:textId="539A6311" w:rsidR="00CA3284" w:rsidRPr="00CA3284" w:rsidRDefault="00CA3284" w:rsidP="00CA3284">
      <w:pPr>
        <w:rPr>
          <w:bCs/>
          <w:iCs/>
        </w:rPr>
      </w:pPr>
      <w:r>
        <w:rPr>
          <w:bCs/>
          <w:iCs/>
        </w:rPr>
        <w:t xml:space="preserve">Por último, una de las grandes novedades de este año en ganadería, ha sido la inclusión de la figura del veterinario de explotación mediante un Real Decreto aprobado por el Ministerio en el que </w:t>
      </w:r>
      <w:r w:rsidRPr="00CA3284">
        <w:rPr>
          <w:bCs/>
          <w:iCs/>
          <w:lang w:val="es-ES_tradnl"/>
        </w:rPr>
        <w:t>establece las bases de desarrollo de la normativa de la Unión Europea de sanidad animal, en lo relativo a las obligaciones de vigilancia de los titulares de las explotaciones ganaderas y al plan sanitario integral de éstas, y que modifica varias normas de ordenación en este ámbito.</w:t>
      </w:r>
      <w:r>
        <w:rPr>
          <w:bCs/>
          <w:iCs/>
        </w:rPr>
        <w:t xml:space="preserve"> </w:t>
      </w:r>
      <w:r w:rsidRPr="00CA3284">
        <w:rPr>
          <w:bCs/>
          <w:iCs/>
          <w:lang w:val="es-ES_tradnl"/>
        </w:rPr>
        <w:t>El nuevo real decreto desarrolla la figura del veterinario de explotación, recoge el contenido mínimo del plan sanitario integral de las explotaciones ganaderas y establece la frecuencia mínima de las visitas zoosanitarias.</w:t>
      </w:r>
      <w:r w:rsidR="0035257D">
        <w:rPr>
          <w:bCs/>
          <w:iCs/>
          <w:lang w:val="es-ES_tradnl"/>
        </w:rPr>
        <w:t xml:space="preserve"> </w:t>
      </w:r>
      <w:r w:rsidRPr="00CA3284">
        <w:rPr>
          <w:bCs/>
          <w:iCs/>
          <w:lang w:val="es-ES_tradnl"/>
        </w:rPr>
        <w:t>Según establece el real decreto, el veterinario de explotación llevará a cabo una supervisión sanitaria y de bienestar animal de la explotación ganadera de manera presencial y de forma regular. Además, la frecuencia de las visitas zoosanitarias estará basada en el riesgo que presente la explotación e incluirán la supervisión de los aspectos recogidos en el Plan sanitario integral.</w:t>
      </w:r>
    </w:p>
    <w:p w14:paraId="6AEB93EE" w14:textId="70CAA6C0" w:rsidR="00CA3284" w:rsidRPr="00CA3284" w:rsidRDefault="00CA3284" w:rsidP="00CA3284">
      <w:pPr>
        <w:rPr>
          <w:bCs/>
          <w:iCs/>
        </w:rPr>
      </w:pPr>
      <w:r w:rsidRPr="00CA3284">
        <w:rPr>
          <w:bCs/>
          <w:iCs/>
          <w:lang w:val="es-ES_tradnl"/>
        </w:rPr>
        <w:t>De igual forma, el veterinario asesorará al ganadero en materia de bioseguridad, trazabilidad, alimentación, detección temprana y respuesta rápida a las enfermedades y sobre la importancia de las resistencias antimicrobianas.</w:t>
      </w:r>
      <w:r w:rsidR="00513B24">
        <w:rPr>
          <w:bCs/>
          <w:iCs/>
          <w:lang w:val="es-ES_tradnl"/>
        </w:rPr>
        <w:t xml:space="preserve"> Esta nueva figura en las explotaciones ganaderas será obligatoria a partir de mayo de 2024.</w:t>
      </w:r>
    </w:p>
    <w:p w14:paraId="6A97140F" w14:textId="77777777" w:rsidR="00CA3284" w:rsidRPr="00CA3284" w:rsidRDefault="00CA3284" w:rsidP="00CA3284">
      <w:pPr>
        <w:rPr>
          <w:bCs/>
          <w:iCs/>
        </w:rPr>
      </w:pPr>
      <w:r w:rsidRPr="00CA3284">
        <w:rPr>
          <w:bCs/>
          <w:iCs/>
          <w:lang w:val="es-ES_tradnl"/>
        </w:rPr>
        <w:t> </w:t>
      </w:r>
    </w:p>
    <w:p w14:paraId="0A86F01E" w14:textId="5F4AC20E" w:rsidR="00AA49C3" w:rsidRPr="00C6165A" w:rsidRDefault="00AA49C3" w:rsidP="00AA49C3">
      <w:pPr>
        <w:rPr>
          <w:b/>
        </w:rPr>
      </w:pPr>
      <w:r w:rsidRPr="00C6165A">
        <w:rPr>
          <w:b/>
        </w:rPr>
        <w:t>Censos</w:t>
      </w:r>
    </w:p>
    <w:p w14:paraId="75B66E82" w14:textId="77777777" w:rsidR="00AA49C3" w:rsidRPr="00C6165A" w:rsidRDefault="00AA49C3" w:rsidP="00AA49C3"/>
    <w:p w14:paraId="49D9CC9E" w14:textId="67189B55" w:rsidR="004B58B4" w:rsidRPr="00C6165A" w:rsidRDefault="00AA49C3" w:rsidP="00AA49C3">
      <w:r w:rsidRPr="00C6165A">
        <w:t>En</w:t>
      </w:r>
      <w:r w:rsidRPr="00C6165A">
        <w:rPr>
          <w:b/>
        </w:rPr>
        <w:t xml:space="preserve"> ganado vacuno</w:t>
      </w:r>
      <w:r w:rsidRPr="00C6165A">
        <w:t xml:space="preserve"> según los últimos datos publicados por el Ministerio, recabados de las “encuestas ganaderas de mayo de </w:t>
      </w:r>
      <w:r w:rsidR="0090536F" w:rsidRPr="00C6165A">
        <w:t>202</w:t>
      </w:r>
      <w:r w:rsidR="00585959">
        <w:t>3</w:t>
      </w:r>
      <w:r w:rsidRPr="00C6165A">
        <w:t>”, en Castilla y León había</w:t>
      </w:r>
      <w:r w:rsidR="00322E32" w:rsidRPr="00C6165A">
        <w:t xml:space="preserve"> </w:t>
      </w:r>
      <w:r w:rsidR="00585959">
        <w:t>1.498.295</w:t>
      </w:r>
      <w:r w:rsidR="00322E32" w:rsidRPr="00C6165A">
        <w:t xml:space="preserve"> cabezas de ganado, </w:t>
      </w:r>
      <w:r w:rsidR="00585959">
        <w:t>33.159</w:t>
      </w:r>
      <w:r w:rsidR="00322E32" w:rsidRPr="00C6165A">
        <w:t xml:space="preserve"> menos que en el censo 202</w:t>
      </w:r>
      <w:r w:rsidR="00585959">
        <w:t>2</w:t>
      </w:r>
      <w:r w:rsidR="00C75EA1">
        <w:t xml:space="preserve">. El año pasado el descenso fue del 1,6% y este año ese valor se ha incrementado hasta descender un </w:t>
      </w:r>
      <w:r w:rsidR="00585959">
        <w:t>2,2</w:t>
      </w:r>
      <w:r w:rsidR="00322E32" w:rsidRPr="00C6165A">
        <w:t>%.</w:t>
      </w:r>
      <w:r w:rsidRPr="00C6165A">
        <w:t xml:space="preserve"> El peso de Castilla y León en el censo </w:t>
      </w:r>
      <w:r w:rsidR="006B1B1D" w:rsidRPr="00C6165A">
        <w:t>nacion</w:t>
      </w:r>
      <w:r w:rsidRPr="00C6165A">
        <w:t xml:space="preserve">al de vacuno es del </w:t>
      </w:r>
      <w:r w:rsidR="00B97243" w:rsidRPr="00C6165A">
        <w:t>22,</w:t>
      </w:r>
      <w:r w:rsidR="00585959">
        <w:t>82</w:t>
      </w:r>
      <w:r w:rsidR="00154C4C" w:rsidRPr="00C6165A">
        <w:t>%</w:t>
      </w:r>
      <w:r w:rsidRPr="00C6165A">
        <w:t xml:space="preserve">, siendo </w:t>
      </w:r>
      <w:r w:rsidR="00CB5999" w:rsidRPr="00C6165A">
        <w:t xml:space="preserve">la </w:t>
      </w:r>
      <w:r w:rsidRPr="00C6165A">
        <w:t xml:space="preserve">región </w:t>
      </w:r>
      <w:r w:rsidR="00DC462F" w:rsidRPr="00C6165A">
        <w:t xml:space="preserve">con mayor </w:t>
      </w:r>
      <w:r w:rsidR="006B1B1D" w:rsidRPr="00C6165A">
        <w:t>pes</w:t>
      </w:r>
      <w:r w:rsidR="001E01F6" w:rsidRPr="00C6165A">
        <w:t>o</w:t>
      </w:r>
      <w:r w:rsidRPr="00C6165A">
        <w:t xml:space="preserve">, </w:t>
      </w:r>
      <w:r w:rsidR="00CB5999" w:rsidRPr="00C6165A">
        <w:t xml:space="preserve">y </w:t>
      </w:r>
      <w:r w:rsidRPr="00C6165A">
        <w:t xml:space="preserve">con Salamanca destacando como principal provincia. </w:t>
      </w:r>
    </w:p>
    <w:p w14:paraId="2946D43B" w14:textId="3BE41F53" w:rsidR="00B339C0" w:rsidRPr="00C6165A" w:rsidRDefault="005B059E" w:rsidP="00AA49C3">
      <w:r w:rsidRPr="00C6165A">
        <w:t>En vacuno de carne</w:t>
      </w:r>
      <w:r w:rsidR="001E01F6" w:rsidRPr="00C6165A">
        <w:t xml:space="preserve"> destaca por el número de vacas nodrizas,</w:t>
      </w:r>
      <w:r w:rsidR="00B339C0" w:rsidRPr="00C6165A">
        <w:t xml:space="preserve"> </w:t>
      </w:r>
      <w:r w:rsidR="001E01F6" w:rsidRPr="00C6165A">
        <w:t>siendo</w:t>
      </w:r>
      <w:r w:rsidR="00B339C0" w:rsidRPr="00C6165A">
        <w:t xml:space="preserve"> la primera región en ce</w:t>
      </w:r>
      <w:r w:rsidR="00C12A4D" w:rsidRPr="00C6165A">
        <w:t>n</w:t>
      </w:r>
      <w:r w:rsidR="00B339C0" w:rsidRPr="00C6165A">
        <w:t xml:space="preserve">so con </w:t>
      </w:r>
      <w:r w:rsidR="00585959">
        <w:t>579.642</w:t>
      </w:r>
      <w:r w:rsidR="001E01F6" w:rsidRPr="00C6165A">
        <w:t xml:space="preserve"> cabezas</w:t>
      </w:r>
      <w:r w:rsidR="00B339C0" w:rsidRPr="00C6165A">
        <w:t xml:space="preserve">, el </w:t>
      </w:r>
      <w:r w:rsidR="001E01F6" w:rsidRPr="00C6165A">
        <w:t>27,5</w:t>
      </w:r>
      <w:r w:rsidR="00585959">
        <w:t>7</w:t>
      </w:r>
      <w:r w:rsidR="00154C4C" w:rsidRPr="00C6165A">
        <w:t>%</w:t>
      </w:r>
      <w:r w:rsidR="00B339C0" w:rsidRPr="00C6165A">
        <w:t xml:space="preserve"> del total nacional. </w:t>
      </w:r>
    </w:p>
    <w:p w14:paraId="72BA7998" w14:textId="58F08837" w:rsidR="00AA49C3" w:rsidRPr="00C6165A" w:rsidRDefault="00AA49C3" w:rsidP="00AA49C3">
      <w:r w:rsidRPr="00C6165A">
        <w:lastRenderedPageBreak/>
        <w:t>En vacuno de leche</w:t>
      </w:r>
      <w:r w:rsidR="004C0F10">
        <w:t>,</w:t>
      </w:r>
      <w:r w:rsidRPr="00C6165A">
        <w:t xml:space="preserve"> Castilla y León</w:t>
      </w:r>
      <w:r w:rsidR="00700FA0" w:rsidRPr="00C6165A">
        <w:t xml:space="preserve"> </w:t>
      </w:r>
      <w:r w:rsidR="004C0F10">
        <w:t>es</w:t>
      </w:r>
      <w:r w:rsidRPr="00C6165A">
        <w:t xml:space="preserve"> la segunda región con más vacas de ordeño</w:t>
      </w:r>
      <w:r w:rsidR="00DB5DC1" w:rsidRPr="00C6165A">
        <w:t xml:space="preserve">, </w:t>
      </w:r>
      <w:r w:rsidR="00223AAE" w:rsidRPr="00C6165A">
        <w:t>con</w:t>
      </w:r>
      <w:r w:rsidR="00DB5DC1" w:rsidRPr="00C6165A">
        <w:t xml:space="preserve"> </w:t>
      </w:r>
      <w:r w:rsidR="00585959">
        <w:t>88.782</w:t>
      </w:r>
      <w:r w:rsidR="00223AAE" w:rsidRPr="00C6165A">
        <w:t xml:space="preserve"> cabezas</w:t>
      </w:r>
      <w:r w:rsidR="00DB5DC1" w:rsidRPr="00C6165A">
        <w:t>,</w:t>
      </w:r>
      <w:r w:rsidR="00BB0917" w:rsidRPr="00C6165A">
        <w:t xml:space="preserve"> </w:t>
      </w:r>
      <w:r w:rsidRPr="00C6165A">
        <w:t xml:space="preserve">después de Galicia, representando </w:t>
      </w:r>
      <w:r w:rsidR="00272981" w:rsidRPr="00C6165A">
        <w:t>el</w:t>
      </w:r>
      <w:r w:rsidRPr="00C6165A">
        <w:t xml:space="preserve"> 11,</w:t>
      </w:r>
      <w:r w:rsidR="00585959">
        <w:t>18</w:t>
      </w:r>
      <w:r w:rsidR="00154C4C" w:rsidRPr="00C6165A">
        <w:t>%</w:t>
      </w:r>
      <w:r w:rsidRPr="00C6165A">
        <w:t xml:space="preserve"> del </w:t>
      </w:r>
      <w:r w:rsidR="00AC4267" w:rsidRPr="00C6165A">
        <w:t>total nacional</w:t>
      </w:r>
      <w:r w:rsidR="00223AAE" w:rsidRPr="00C6165A">
        <w:t xml:space="preserve"> que se corresponde con</w:t>
      </w:r>
      <w:r w:rsidR="00DB5DC1" w:rsidRPr="00C6165A">
        <w:t xml:space="preserve"> </w:t>
      </w:r>
      <w:r w:rsidR="00585959">
        <w:t>794.143</w:t>
      </w:r>
      <w:r w:rsidR="00223AAE" w:rsidRPr="00C6165A">
        <w:t xml:space="preserve"> cabezas</w:t>
      </w:r>
      <w:r w:rsidR="00DB5DC1" w:rsidRPr="00C6165A">
        <w:t>.</w:t>
      </w:r>
    </w:p>
    <w:p w14:paraId="76D7AC89" w14:textId="77777777" w:rsidR="00AA49C3" w:rsidRPr="00C6165A" w:rsidRDefault="00AA49C3" w:rsidP="00AA49C3"/>
    <w:p w14:paraId="4B02E866" w14:textId="77777777" w:rsidR="00AA49C3" w:rsidRDefault="00AA49C3" w:rsidP="00AA49C3">
      <w:pPr>
        <w:spacing w:after="120"/>
      </w:pPr>
      <w:r w:rsidRPr="00C6165A">
        <w:t>En la tabla siguiente se puede ver el censo y la evolución por tipo de ganado:</w:t>
      </w:r>
    </w:p>
    <w:p w14:paraId="2A3B0938" w14:textId="77777777" w:rsidR="00C75EA1" w:rsidRDefault="00C75EA1" w:rsidP="00AA49C3">
      <w:pPr>
        <w:spacing w:after="1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305"/>
        <w:gridCol w:w="1195"/>
        <w:gridCol w:w="1195"/>
        <w:gridCol w:w="1624"/>
      </w:tblGrid>
      <w:tr w:rsidR="00C6165A" w:rsidRPr="00C6165A" w14:paraId="65F02852" w14:textId="77777777" w:rsidTr="00585959">
        <w:trPr>
          <w:trHeight w:val="300"/>
          <w:tblHeader/>
          <w:jc w:val="center"/>
        </w:trPr>
        <w:tc>
          <w:tcPr>
            <w:tcW w:w="2831" w:type="dxa"/>
            <w:gridSpan w:val="2"/>
            <w:tcBorders>
              <w:top w:val="nil"/>
              <w:left w:val="nil"/>
            </w:tcBorders>
            <w:shd w:val="clear" w:color="auto" w:fill="auto"/>
            <w:noWrap/>
            <w:hideMark/>
          </w:tcPr>
          <w:p w14:paraId="499A68CC" w14:textId="77777777" w:rsidR="00AA49C3" w:rsidRPr="00C6165A" w:rsidRDefault="00AA49C3" w:rsidP="003466FC">
            <w:pPr>
              <w:rPr>
                <w:sz w:val="22"/>
                <w:szCs w:val="22"/>
              </w:rPr>
            </w:pPr>
          </w:p>
        </w:tc>
        <w:tc>
          <w:tcPr>
            <w:tcW w:w="1195" w:type="dxa"/>
            <w:tcBorders>
              <w:top w:val="single" w:sz="12" w:space="0" w:color="auto"/>
              <w:bottom w:val="single" w:sz="6" w:space="0" w:color="auto"/>
            </w:tcBorders>
            <w:shd w:val="clear" w:color="auto" w:fill="auto"/>
            <w:noWrap/>
            <w:vAlign w:val="center"/>
            <w:hideMark/>
          </w:tcPr>
          <w:p w14:paraId="43B3287C" w14:textId="78A43D5E" w:rsidR="00AA49C3" w:rsidRPr="00C6165A" w:rsidRDefault="0090536F" w:rsidP="003466FC">
            <w:pPr>
              <w:jc w:val="center"/>
              <w:rPr>
                <w:b/>
                <w:bCs/>
                <w:sz w:val="22"/>
                <w:szCs w:val="22"/>
              </w:rPr>
            </w:pPr>
            <w:r w:rsidRPr="00C6165A">
              <w:rPr>
                <w:b/>
                <w:bCs/>
                <w:sz w:val="22"/>
                <w:szCs w:val="22"/>
              </w:rPr>
              <w:t>202</w:t>
            </w:r>
            <w:r w:rsidR="00585959">
              <w:rPr>
                <w:b/>
                <w:bCs/>
                <w:sz w:val="22"/>
                <w:szCs w:val="22"/>
              </w:rPr>
              <w:t>2</w:t>
            </w:r>
          </w:p>
        </w:tc>
        <w:tc>
          <w:tcPr>
            <w:tcW w:w="1195" w:type="dxa"/>
            <w:tcBorders>
              <w:top w:val="single" w:sz="12" w:space="0" w:color="auto"/>
              <w:bottom w:val="single" w:sz="6" w:space="0" w:color="auto"/>
            </w:tcBorders>
            <w:shd w:val="clear" w:color="auto" w:fill="auto"/>
            <w:noWrap/>
            <w:vAlign w:val="center"/>
            <w:hideMark/>
          </w:tcPr>
          <w:p w14:paraId="4B24F6BC" w14:textId="25E01D53" w:rsidR="00585959" w:rsidRPr="00C6165A" w:rsidRDefault="00585959" w:rsidP="00585959">
            <w:pPr>
              <w:jc w:val="center"/>
              <w:rPr>
                <w:b/>
                <w:bCs/>
                <w:sz w:val="22"/>
                <w:szCs w:val="22"/>
              </w:rPr>
            </w:pPr>
            <w:r>
              <w:rPr>
                <w:b/>
                <w:bCs/>
                <w:sz w:val="22"/>
                <w:szCs w:val="22"/>
              </w:rPr>
              <w:t>2023</w:t>
            </w:r>
          </w:p>
        </w:tc>
        <w:tc>
          <w:tcPr>
            <w:tcW w:w="1624" w:type="dxa"/>
            <w:tcBorders>
              <w:top w:val="single" w:sz="12" w:space="0" w:color="auto"/>
              <w:bottom w:val="single" w:sz="4" w:space="0" w:color="auto"/>
              <w:right w:val="single" w:sz="12" w:space="0" w:color="auto"/>
            </w:tcBorders>
            <w:shd w:val="clear" w:color="auto" w:fill="auto"/>
            <w:noWrap/>
            <w:vAlign w:val="center"/>
            <w:hideMark/>
          </w:tcPr>
          <w:p w14:paraId="641A7465" w14:textId="77777777" w:rsidR="00AA49C3" w:rsidRPr="00C6165A" w:rsidRDefault="00AA49C3" w:rsidP="003466FC">
            <w:pPr>
              <w:jc w:val="center"/>
              <w:rPr>
                <w:b/>
                <w:bCs/>
                <w:sz w:val="22"/>
                <w:szCs w:val="22"/>
              </w:rPr>
            </w:pPr>
            <w:r w:rsidRPr="00C6165A">
              <w:rPr>
                <w:b/>
                <w:bCs/>
                <w:sz w:val="22"/>
                <w:szCs w:val="22"/>
              </w:rPr>
              <w:t>Variación (%)</w:t>
            </w:r>
          </w:p>
        </w:tc>
      </w:tr>
      <w:tr w:rsidR="00585959" w:rsidRPr="00C6165A" w14:paraId="22892142" w14:textId="77777777" w:rsidTr="00585959">
        <w:trPr>
          <w:trHeight w:val="300"/>
          <w:jc w:val="center"/>
        </w:trPr>
        <w:tc>
          <w:tcPr>
            <w:tcW w:w="2831" w:type="dxa"/>
            <w:gridSpan w:val="2"/>
            <w:tcBorders>
              <w:left w:val="single" w:sz="12" w:space="0" w:color="auto"/>
              <w:bottom w:val="single" w:sz="12" w:space="0" w:color="auto"/>
              <w:right w:val="single" w:sz="6" w:space="0" w:color="auto"/>
            </w:tcBorders>
            <w:shd w:val="clear" w:color="auto" w:fill="auto"/>
            <w:noWrap/>
            <w:vAlign w:val="center"/>
            <w:hideMark/>
          </w:tcPr>
          <w:p w14:paraId="4947C5A1" w14:textId="77777777" w:rsidR="00585959" w:rsidRPr="00C6165A" w:rsidRDefault="00585959" w:rsidP="00585959">
            <w:pPr>
              <w:jc w:val="left"/>
              <w:rPr>
                <w:b/>
                <w:bCs/>
                <w:sz w:val="22"/>
                <w:szCs w:val="22"/>
              </w:rPr>
            </w:pPr>
            <w:r w:rsidRPr="00C6165A">
              <w:rPr>
                <w:b/>
                <w:bCs/>
                <w:sz w:val="22"/>
                <w:szCs w:val="22"/>
              </w:rPr>
              <w:t>Total</w:t>
            </w:r>
          </w:p>
        </w:tc>
        <w:tc>
          <w:tcPr>
            <w:tcW w:w="119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1758448" w14:textId="6C3EEFD4" w:rsidR="00585959" w:rsidRPr="00C6165A" w:rsidRDefault="00585959" w:rsidP="00585959">
            <w:pPr>
              <w:jc w:val="center"/>
              <w:rPr>
                <w:b/>
                <w:bCs/>
                <w:sz w:val="22"/>
                <w:szCs w:val="22"/>
              </w:rPr>
            </w:pPr>
            <w:r>
              <w:rPr>
                <w:rFonts w:ascii="Calibri" w:hAnsi="Calibri" w:cs="Calibri"/>
                <w:b/>
                <w:bCs/>
                <w:color w:val="000000"/>
                <w:sz w:val="22"/>
                <w:szCs w:val="22"/>
              </w:rPr>
              <w:t>1.531.454</w:t>
            </w:r>
          </w:p>
        </w:tc>
        <w:tc>
          <w:tcPr>
            <w:tcW w:w="119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460B357" w14:textId="64F7A824" w:rsidR="00585959" w:rsidRPr="00C6165A" w:rsidRDefault="00585959" w:rsidP="00585959">
            <w:pPr>
              <w:jc w:val="center"/>
              <w:rPr>
                <w:b/>
                <w:bCs/>
                <w:sz w:val="22"/>
                <w:szCs w:val="22"/>
              </w:rPr>
            </w:pPr>
            <w:r>
              <w:rPr>
                <w:rFonts w:ascii="Calibri" w:hAnsi="Calibri" w:cs="Calibri"/>
                <w:b/>
                <w:bCs/>
                <w:color w:val="000000"/>
                <w:sz w:val="22"/>
                <w:szCs w:val="22"/>
              </w:rPr>
              <w:t>1.498.295</w:t>
            </w:r>
          </w:p>
        </w:tc>
        <w:tc>
          <w:tcPr>
            <w:tcW w:w="1624" w:type="dxa"/>
            <w:tcBorders>
              <w:top w:val="single" w:sz="4" w:space="0" w:color="auto"/>
              <w:left w:val="single" w:sz="6" w:space="0" w:color="auto"/>
              <w:bottom w:val="single" w:sz="4" w:space="0" w:color="auto"/>
              <w:right w:val="single" w:sz="12" w:space="0" w:color="auto"/>
            </w:tcBorders>
            <w:shd w:val="clear" w:color="auto" w:fill="auto"/>
            <w:noWrap/>
            <w:vAlign w:val="center"/>
            <w:hideMark/>
          </w:tcPr>
          <w:p w14:paraId="3CCD141B" w14:textId="3EBE13FD" w:rsidR="00585959" w:rsidRPr="00585959" w:rsidRDefault="00585959" w:rsidP="00585959">
            <w:pPr>
              <w:jc w:val="center"/>
              <w:rPr>
                <w:rFonts w:ascii="Calibri" w:hAnsi="Calibri" w:cs="Calibri"/>
                <w:b/>
                <w:bCs/>
                <w:color w:val="000000"/>
                <w:sz w:val="22"/>
                <w:szCs w:val="22"/>
                <w:lang w:eastAsia="es-ES"/>
              </w:rPr>
            </w:pPr>
            <w:r>
              <w:rPr>
                <w:rFonts w:ascii="Calibri" w:hAnsi="Calibri" w:cs="Calibri"/>
                <w:b/>
                <w:bCs/>
                <w:color w:val="000000"/>
                <w:sz w:val="22"/>
                <w:szCs w:val="22"/>
              </w:rPr>
              <w:t>-2,2%</w:t>
            </w:r>
          </w:p>
        </w:tc>
      </w:tr>
      <w:tr w:rsidR="00C6165A" w:rsidRPr="00C6165A" w14:paraId="49517A75" w14:textId="77777777" w:rsidTr="00585959">
        <w:trPr>
          <w:trHeight w:val="300"/>
          <w:jc w:val="center"/>
        </w:trPr>
        <w:tc>
          <w:tcPr>
            <w:tcW w:w="6845" w:type="dxa"/>
            <w:gridSpan w:val="5"/>
            <w:tcBorders>
              <w:top w:val="single" w:sz="12" w:space="0" w:color="auto"/>
              <w:left w:val="single" w:sz="12" w:space="0" w:color="auto"/>
              <w:bottom w:val="single" w:sz="2" w:space="0" w:color="auto"/>
              <w:right w:val="single" w:sz="12" w:space="0" w:color="auto"/>
            </w:tcBorders>
            <w:shd w:val="clear" w:color="auto" w:fill="auto"/>
            <w:noWrap/>
            <w:vAlign w:val="center"/>
            <w:hideMark/>
          </w:tcPr>
          <w:p w14:paraId="01CDA577" w14:textId="77777777" w:rsidR="002C60B7" w:rsidRPr="00C6165A" w:rsidRDefault="002C60B7" w:rsidP="002C60B7">
            <w:pPr>
              <w:jc w:val="center"/>
              <w:rPr>
                <w:i/>
                <w:sz w:val="22"/>
                <w:szCs w:val="22"/>
              </w:rPr>
            </w:pPr>
            <w:r w:rsidRPr="00C6165A">
              <w:rPr>
                <w:i/>
                <w:sz w:val="22"/>
                <w:szCs w:val="22"/>
              </w:rPr>
              <w:t>Animales menores de 12 meses</w:t>
            </w:r>
          </w:p>
        </w:tc>
      </w:tr>
      <w:tr w:rsidR="00C6165A" w:rsidRPr="00C6165A" w14:paraId="09B358E3" w14:textId="77777777" w:rsidTr="00585959">
        <w:trPr>
          <w:trHeight w:val="248"/>
          <w:jc w:val="center"/>
        </w:trPr>
        <w:tc>
          <w:tcPr>
            <w:tcW w:w="2831" w:type="dxa"/>
            <w:gridSpan w:val="2"/>
            <w:tcBorders>
              <w:top w:val="single" w:sz="2" w:space="0" w:color="auto"/>
              <w:left w:val="single" w:sz="12" w:space="0" w:color="auto"/>
              <w:bottom w:val="single" w:sz="2" w:space="0" w:color="auto"/>
              <w:right w:val="single" w:sz="6" w:space="0" w:color="auto"/>
            </w:tcBorders>
            <w:shd w:val="clear" w:color="auto" w:fill="auto"/>
            <w:noWrap/>
            <w:vAlign w:val="center"/>
            <w:hideMark/>
          </w:tcPr>
          <w:p w14:paraId="55D3A522" w14:textId="77777777" w:rsidR="002C60B7" w:rsidRPr="00C6165A" w:rsidRDefault="002C60B7" w:rsidP="002C60B7">
            <w:pPr>
              <w:jc w:val="left"/>
              <w:rPr>
                <w:sz w:val="22"/>
                <w:szCs w:val="22"/>
              </w:rPr>
            </w:pPr>
            <w:r w:rsidRPr="00C6165A">
              <w:rPr>
                <w:sz w:val="22"/>
                <w:szCs w:val="22"/>
              </w:rPr>
              <w:t>Destinados a sacrificio</w:t>
            </w:r>
          </w:p>
        </w:tc>
        <w:tc>
          <w:tcPr>
            <w:tcW w:w="119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372F6E6" w14:textId="71348301" w:rsidR="00585959" w:rsidRPr="00C6165A" w:rsidRDefault="00585959" w:rsidP="00585959">
            <w:pPr>
              <w:jc w:val="center"/>
              <w:rPr>
                <w:sz w:val="22"/>
                <w:szCs w:val="22"/>
              </w:rPr>
            </w:pPr>
            <w:r>
              <w:rPr>
                <w:sz w:val="22"/>
                <w:szCs w:val="22"/>
              </w:rPr>
              <w:t>376.956</w:t>
            </w:r>
          </w:p>
        </w:tc>
        <w:tc>
          <w:tcPr>
            <w:tcW w:w="119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C769E75" w14:textId="12D4E181" w:rsidR="002C60B7" w:rsidRPr="00C6165A" w:rsidRDefault="00585959" w:rsidP="00223AAE">
            <w:pPr>
              <w:jc w:val="center"/>
              <w:rPr>
                <w:sz w:val="22"/>
                <w:szCs w:val="22"/>
              </w:rPr>
            </w:pPr>
            <w:r>
              <w:rPr>
                <w:sz w:val="22"/>
                <w:szCs w:val="22"/>
              </w:rPr>
              <w:t>372.530</w:t>
            </w:r>
          </w:p>
        </w:tc>
        <w:tc>
          <w:tcPr>
            <w:tcW w:w="1624"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4DA9E497" w14:textId="05147146" w:rsidR="002C60B7" w:rsidRPr="00C6165A" w:rsidRDefault="00585959" w:rsidP="00223AAE">
            <w:pPr>
              <w:jc w:val="center"/>
              <w:rPr>
                <w:sz w:val="22"/>
                <w:szCs w:val="22"/>
                <w:lang w:eastAsia="es-ES"/>
              </w:rPr>
            </w:pPr>
            <w:r>
              <w:rPr>
                <w:sz w:val="22"/>
                <w:szCs w:val="22"/>
                <w:lang w:eastAsia="es-ES"/>
              </w:rPr>
              <w:t>-1,2%</w:t>
            </w:r>
          </w:p>
        </w:tc>
      </w:tr>
      <w:tr w:rsidR="00C6165A" w:rsidRPr="00C6165A" w14:paraId="6BC66CA2" w14:textId="77777777" w:rsidTr="00585959">
        <w:trPr>
          <w:trHeight w:val="300"/>
          <w:jc w:val="center"/>
        </w:trPr>
        <w:tc>
          <w:tcPr>
            <w:tcW w:w="1526" w:type="dxa"/>
            <w:vMerge w:val="restart"/>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4065C2BF" w14:textId="77777777" w:rsidR="009C59C4" w:rsidRPr="00C6165A" w:rsidRDefault="009C59C4" w:rsidP="009C59C4">
            <w:pPr>
              <w:jc w:val="left"/>
              <w:rPr>
                <w:sz w:val="22"/>
                <w:szCs w:val="22"/>
              </w:rPr>
            </w:pPr>
            <w:r w:rsidRPr="00C6165A">
              <w:rPr>
                <w:sz w:val="22"/>
                <w:szCs w:val="22"/>
              </w:rPr>
              <w:t>Otros</w:t>
            </w:r>
          </w:p>
        </w:tc>
        <w:tc>
          <w:tcPr>
            <w:tcW w:w="1305" w:type="dxa"/>
            <w:tcBorders>
              <w:top w:val="single" w:sz="2" w:space="0" w:color="auto"/>
              <w:left w:val="single" w:sz="2" w:space="0" w:color="auto"/>
              <w:bottom w:val="single" w:sz="2" w:space="0" w:color="auto"/>
              <w:right w:val="single" w:sz="6" w:space="0" w:color="auto"/>
            </w:tcBorders>
            <w:shd w:val="clear" w:color="auto" w:fill="auto"/>
            <w:noWrap/>
            <w:vAlign w:val="center"/>
            <w:hideMark/>
          </w:tcPr>
          <w:p w14:paraId="1AED01C4" w14:textId="77777777" w:rsidR="009C59C4" w:rsidRPr="00C6165A" w:rsidRDefault="009C59C4" w:rsidP="009C59C4">
            <w:pPr>
              <w:jc w:val="left"/>
              <w:rPr>
                <w:sz w:val="22"/>
                <w:szCs w:val="22"/>
              </w:rPr>
            </w:pPr>
            <w:r w:rsidRPr="00C6165A">
              <w:rPr>
                <w:sz w:val="22"/>
                <w:szCs w:val="22"/>
              </w:rPr>
              <w:t>Machos</w:t>
            </w:r>
          </w:p>
        </w:tc>
        <w:tc>
          <w:tcPr>
            <w:tcW w:w="119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16970A8" w14:textId="2A23B215" w:rsidR="009C59C4" w:rsidRPr="00C6165A" w:rsidRDefault="00585959" w:rsidP="00223AAE">
            <w:pPr>
              <w:jc w:val="center"/>
              <w:rPr>
                <w:sz w:val="22"/>
                <w:szCs w:val="22"/>
              </w:rPr>
            </w:pPr>
            <w:r>
              <w:rPr>
                <w:sz w:val="22"/>
                <w:szCs w:val="22"/>
              </w:rPr>
              <w:t>58.590</w:t>
            </w:r>
          </w:p>
        </w:tc>
        <w:tc>
          <w:tcPr>
            <w:tcW w:w="119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5139634" w14:textId="173DB90B" w:rsidR="009C59C4" w:rsidRPr="00C6165A" w:rsidRDefault="00585959" w:rsidP="00223AAE">
            <w:pPr>
              <w:jc w:val="center"/>
              <w:rPr>
                <w:sz w:val="22"/>
                <w:szCs w:val="22"/>
              </w:rPr>
            </w:pPr>
            <w:r>
              <w:rPr>
                <w:sz w:val="22"/>
                <w:szCs w:val="22"/>
              </w:rPr>
              <w:t>51.394</w:t>
            </w:r>
          </w:p>
        </w:tc>
        <w:tc>
          <w:tcPr>
            <w:tcW w:w="1624"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2B761312" w14:textId="430C7F8D" w:rsidR="009C59C4" w:rsidRPr="00C6165A" w:rsidRDefault="00585959" w:rsidP="00223AAE">
            <w:pPr>
              <w:jc w:val="center"/>
              <w:rPr>
                <w:sz w:val="22"/>
                <w:szCs w:val="22"/>
              </w:rPr>
            </w:pPr>
            <w:r>
              <w:rPr>
                <w:sz w:val="22"/>
                <w:szCs w:val="22"/>
              </w:rPr>
              <w:t>-12,3%</w:t>
            </w:r>
          </w:p>
        </w:tc>
      </w:tr>
      <w:tr w:rsidR="00C6165A" w:rsidRPr="00C6165A" w14:paraId="680F6EB0" w14:textId="77777777" w:rsidTr="00585959">
        <w:trPr>
          <w:trHeight w:val="300"/>
          <w:jc w:val="center"/>
        </w:trPr>
        <w:tc>
          <w:tcPr>
            <w:tcW w:w="1526" w:type="dxa"/>
            <w:vMerge/>
            <w:tcBorders>
              <w:top w:val="single" w:sz="2" w:space="0" w:color="auto"/>
              <w:left w:val="single" w:sz="12" w:space="0" w:color="auto"/>
              <w:bottom w:val="single" w:sz="12" w:space="0" w:color="auto"/>
              <w:right w:val="single" w:sz="2" w:space="0" w:color="auto"/>
            </w:tcBorders>
            <w:shd w:val="clear" w:color="auto" w:fill="auto"/>
            <w:noWrap/>
            <w:hideMark/>
          </w:tcPr>
          <w:p w14:paraId="36426D8D" w14:textId="77777777" w:rsidR="009C59C4" w:rsidRPr="00C6165A" w:rsidRDefault="009C59C4" w:rsidP="009C59C4">
            <w:pPr>
              <w:rPr>
                <w:sz w:val="22"/>
                <w:szCs w:val="22"/>
              </w:rPr>
            </w:pPr>
          </w:p>
        </w:tc>
        <w:tc>
          <w:tcPr>
            <w:tcW w:w="1305" w:type="dxa"/>
            <w:tcBorders>
              <w:top w:val="single" w:sz="2" w:space="0" w:color="auto"/>
              <w:left w:val="single" w:sz="2" w:space="0" w:color="auto"/>
              <w:bottom w:val="single" w:sz="12" w:space="0" w:color="auto"/>
              <w:right w:val="single" w:sz="6" w:space="0" w:color="auto"/>
            </w:tcBorders>
            <w:shd w:val="clear" w:color="auto" w:fill="auto"/>
            <w:noWrap/>
            <w:vAlign w:val="center"/>
            <w:hideMark/>
          </w:tcPr>
          <w:p w14:paraId="2D7186E0" w14:textId="77777777" w:rsidR="009C59C4" w:rsidRPr="00C6165A" w:rsidRDefault="009C59C4" w:rsidP="009C59C4">
            <w:pPr>
              <w:jc w:val="left"/>
              <w:rPr>
                <w:sz w:val="22"/>
                <w:szCs w:val="22"/>
              </w:rPr>
            </w:pPr>
            <w:r w:rsidRPr="00C6165A">
              <w:rPr>
                <w:sz w:val="22"/>
                <w:szCs w:val="22"/>
              </w:rPr>
              <w:t>Hembras</w:t>
            </w:r>
          </w:p>
        </w:tc>
        <w:tc>
          <w:tcPr>
            <w:tcW w:w="119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750123E" w14:textId="454BC3B8" w:rsidR="009C59C4" w:rsidRPr="00C6165A" w:rsidRDefault="00585959" w:rsidP="00223AAE">
            <w:pPr>
              <w:jc w:val="center"/>
              <w:rPr>
                <w:sz w:val="22"/>
                <w:szCs w:val="22"/>
              </w:rPr>
            </w:pPr>
            <w:r>
              <w:rPr>
                <w:sz w:val="22"/>
                <w:szCs w:val="22"/>
              </w:rPr>
              <w:t>111.741</w:t>
            </w:r>
          </w:p>
        </w:tc>
        <w:tc>
          <w:tcPr>
            <w:tcW w:w="119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5D8D0AE" w14:textId="127ECD13" w:rsidR="009C59C4" w:rsidRPr="00C6165A" w:rsidRDefault="00585959" w:rsidP="00223AAE">
            <w:pPr>
              <w:jc w:val="center"/>
              <w:rPr>
                <w:sz w:val="22"/>
                <w:szCs w:val="22"/>
              </w:rPr>
            </w:pPr>
            <w:r>
              <w:rPr>
                <w:sz w:val="22"/>
                <w:szCs w:val="22"/>
              </w:rPr>
              <w:t>105.601</w:t>
            </w:r>
          </w:p>
        </w:tc>
        <w:tc>
          <w:tcPr>
            <w:tcW w:w="1624"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79CA7C4C" w14:textId="465EEF3B" w:rsidR="009C59C4" w:rsidRPr="00C6165A" w:rsidRDefault="00585959" w:rsidP="00223AAE">
            <w:pPr>
              <w:jc w:val="center"/>
              <w:rPr>
                <w:sz w:val="22"/>
                <w:szCs w:val="22"/>
              </w:rPr>
            </w:pPr>
            <w:r>
              <w:rPr>
                <w:sz w:val="22"/>
                <w:szCs w:val="22"/>
              </w:rPr>
              <w:t>-5.5%</w:t>
            </w:r>
          </w:p>
        </w:tc>
      </w:tr>
      <w:tr w:rsidR="00C6165A" w:rsidRPr="00C6165A" w14:paraId="758FB2D3" w14:textId="77777777" w:rsidTr="00585959">
        <w:trPr>
          <w:trHeight w:val="300"/>
          <w:jc w:val="center"/>
        </w:trPr>
        <w:tc>
          <w:tcPr>
            <w:tcW w:w="6845" w:type="dxa"/>
            <w:gridSpan w:val="5"/>
            <w:tcBorders>
              <w:top w:val="single" w:sz="12" w:space="0" w:color="auto"/>
              <w:left w:val="single" w:sz="12" w:space="0" w:color="auto"/>
              <w:right w:val="single" w:sz="12" w:space="0" w:color="auto"/>
            </w:tcBorders>
            <w:shd w:val="clear" w:color="auto" w:fill="auto"/>
            <w:noWrap/>
            <w:vAlign w:val="center"/>
            <w:hideMark/>
          </w:tcPr>
          <w:p w14:paraId="3316322D" w14:textId="77777777" w:rsidR="002C60B7" w:rsidRPr="00C6165A" w:rsidRDefault="002C60B7" w:rsidP="00322E32">
            <w:pPr>
              <w:jc w:val="center"/>
              <w:rPr>
                <w:i/>
                <w:sz w:val="22"/>
                <w:szCs w:val="22"/>
              </w:rPr>
            </w:pPr>
            <w:r w:rsidRPr="00C6165A">
              <w:rPr>
                <w:i/>
                <w:sz w:val="22"/>
                <w:szCs w:val="22"/>
              </w:rPr>
              <w:t>Animales de 12 meses a menos de 24 meses</w:t>
            </w:r>
          </w:p>
        </w:tc>
      </w:tr>
      <w:tr w:rsidR="00C6165A" w:rsidRPr="00C6165A" w14:paraId="7C16B7D2" w14:textId="77777777" w:rsidTr="00585959">
        <w:trPr>
          <w:trHeight w:val="96"/>
          <w:jc w:val="center"/>
        </w:trPr>
        <w:tc>
          <w:tcPr>
            <w:tcW w:w="2831" w:type="dxa"/>
            <w:gridSpan w:val="2"/>
            <w:tcBorders>
              <w:left w:val="single" w:sz="12" w:space="0" w:color="auto"/>
            </w:tcBorders>
            <w:shd w:val="clear" w:color="auto" w:fill="auto"/>
            <w:noWrap/>
            <w:vAlign w:val="center"/>
            <w:hideMark/>
          </w:tcPr>
          <w:p w14:paraId="24CC37A0" w14:textId="77777777" w:rsidR="002C60B7" w:rsidRPr="00C6165A" w:rsidRDefault="002C60B7" w:rsidP="002C60B7">
            <w:pPr>
              <w:jc w:val="left"/>
              <w:rPr>
                <w:sz w:val="22"/>
                <w:szCs w:val="22"/>
              </w:rPr>
            </w:pPr>
            <w:r w:rsidRPr="00C6165A">
              <w:rPr>
                <w:sz w:val="22"/>
                <w:szCs w:val="22"/>
              </w:rPr>
              <w:t>Machos</w:t>
            </w:r>
          </w:p>
        </w:tc>
        <w:tc>
          <w:tcPr>
            <w:tcW w:w="1195" w:type="dxa"/>
            <w:tcBorders>
              <w:top w:val="single" w:sz="4" w:space="0" w:color="auto"/>
              <w:left w:val="nil"/>
              <w:bottom w:val="single" w:sz="4" w:space="0" w:color="auto"/>
              <w:right w:val="single" w:sz="4" w:space="0" w:color="auto"/>
            </w:tcBorders>
            <w:shd w:val="clear" w:color="auto" w:fill="auto"/>
            <w:noWrap/>
            <w:vAlign w:val="center"/>
          </w:tcPr>
          <w:p w14:paraId="497EA90D" w14:textId="36428C5E" w:rsidR="002C60B7" w:rsidRPr="00C6165A" w:rsidRDefault="00585959" w:rsidP="00223AAE">
            <w:pPr>
              <w:jc w:val="center"/>
              <w:rPr>
                <w:sz w:val="22"/>
                <w:szCs w:val="22"/>
              </w:rPr>
            </w:pPr>
            <w:r>
              <w:rPr>
                <w:sz w:val="22"/>
                <w:szCs w:val="22"/>
              </w:rPr>
              <w:t>75.439</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82CD8" w14:textId="5F37FD4B" w:rsidR="002C60B7" w:rsidRPr="00C6165A" w:rsidRDefault="00585959" w:rsidP="00223AAE">
            <w:pPr>
              <w:jc w:val="center"/>
              <w:rPr>
                <w:sz w:val="22"/>
                <w:szCs w:val="22"/>
              </w:rPr>
            </w:pPr>
            <w:r>
              <w:rPr>
                <w:sz w:val="22"/>
                <w:szCs w:val="22"/>
              </w:rPr>
              <w:t>78.209</w:t>
            </w:r>
          </w:p>
        </w:tc>
        <w:tc>
          <w:tcPr>
            <w:tcW w:w="1624"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6F4D1B21" w14:textId="20B299A5" w:rsidR="002C60B7" w:rsidRPr="00C6165A" w:rsidRDefault="00585959" w:rsidP="00223AAE">
            <w:pPr>
              <w:jc w:val="center"/>
              <w:rPr>
                <w:sz w:val="22"/>
                <w:szCs w:val="22"/>
                <w:lang w:eastAsia="es-ES"/>
              </w:rPr>
            </w:pPr>
            <w:r>
              <w:rPr>
                <w:sz w:val="22"/>
                <w:szCs w:val="22"/>
                <w:lang w:eastAsia="es-ES"/>
              </w:rPr>
              <w:t>3,7%</w:t>
            </w:r>
          </w:p>
        </w:tc>
      </w:tr>
      <w:tr w:rsidR="00C6165A" w:rsidRPr="00C6165A" w14:paraId="2FC43FE8" w14:textId="77777777" w:rsidTr="00585959">
        <w:trPr>
          <w:trHeight w:val="300"/>
          <w:jc w:val="center"/>
        </w:trPr>
        <w:tc>
          <w:tcPr>
            <w:tcW w:w="1526" w:type="dxa"/>
            <w:vMerge w:val="restart"/>
            <w:tcBorders>
              <w:left w:val="single" w:sz="12" w:space="0" w:color="auto"/>
            </w:tcBorders>
            <w:shd w:val="clear" w:color="auto" w:fill="auto"/>
            <w:noWrap/>
            <w:vAlign w:val="center"/>
            <w:hideMark/>
          </w:tcPr>
          <w:p w14:paraId="0E96F6CB" w14:textId="77777777" w:rsidR="009C59C4" w:rsidRPr="00C6165A" w:rsidRDefault="009C59C4" w:rsidP="009C59C4">
            <w:pPr>
              <w:jc w:val="left"/>
              <w:rPr>
                <w:sz w:val="22"/>
                <w:szCs w:val="22"/>
              </w:rPr>
            </w:pPr>
            <w:r w:rsidRPr="00C6165A">
              <w:rPr>
                <w:sz w:val="22"/>
                <w:szCs w:val="22"/>
              </w:rPr>
              <w:t>Hembras para</w:t>
            </w:r>
          </w:p>
        </w:tc>
        <w:tc>
          <w:tcPr>
            <w:tcW w:w="1305" w:type="dxa"/>
            <w:shd w:val="clear" w:color="auto" w:fill="auto"/>
            <w:noWrap/>
            <w:vAlign w:val="center"/>
            <w:hideMark/>
          </w:tcPr>
          <w:p w14:paraId="508674D4" w14:textId="77777777" w:rsidR="009C59C4" w:rsidRPr="00C6165A" w:rsidRDefault="009C59C4" w:rsidP="009C59C4">
            <w:pPr>
              <w:jc w:val="left"/>
              <w:rPr>
                <w:sz w:val="22"/>
                <w:szCs w:val="22"/>
              </w:rPr>
            </w:pPr>
            <w:r w:rsidRPr="00C6165A">
              <w:rPr>
                <w:sz w:val="22"/>
                <w:szCs w:val="22"/>
              </w:rPr>
              <w:t>Sacrificio</w:t>
            </w:r>
          </w:p>
        </w:tc>
        <w:tc>
          <w:tcPr>
            <w:tcW w:w="1195" w:type="dxa"/>
            <w:tcBorders>
              <w:top w:val="single" w:sz="4" w:space="0" w:color="auto"/>
              <w:left w:val="nil"/>
              <w:bottom w:val="single" w:sz="4" w:space="0" w:color="auto"/>
              <w:right w:val="single" w:sz="4" w:space="0" w:color="auto"/>
            </w:tcBorders>
            <w:shd w:val="clear" w:color="auto" w:fill="auto"/>
            <w:noWrap/>
            <w:vAlign w:val="center"/>
          </w:tcPr>
          <w:p w14:paraId="513CD3DD" w14:textId="49DF30FE" w:rsidR="009C59C4" w:rsidRPr="00C6165A" w:rsidRDefault="00585959" w:rsidP="00223AAE">
            <w:pPr>
              <w:jc w:val="center"/>
              <w:rPr>
                <w:sz w:val="22"/>
                <w:szCs w:val="22"/>
              </w:rPr>
            </w:pPr>
            <w:r>
              <w:rPr>
                <w:sz w:val="22"/>
                <w:szCs w:val="22"/>
              </w:rPr>
              <w:t>33.782</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89FE0" w14:textId="7D1A395C" w:rsidR="009C59C4" w:rsidRPr="00C6165A" w:rsidRDefault="00585959" w:rsidP="00223AAE">
            <w:pPr>
              <w:jc w:val="center"/>
              <w:rPr>
                <w:sz w:val="22"/>
                <w:szCs w:val="22"/>
              </w:rPr>
            </w:pPr>
            <w:r>
              <w:rPr>
                <w:sz w:val="22"/>
                <w:szCs w:val="22"/>
              </w:rPr>
              <w:t>33.319</w:t>
            </w:r>
          </w:p>
        </w:tc>
        <w:tc>
          <w:tcPr>
            <w:tcW w:w="1624"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6B3A1F00" w14:textId="0AFC321F" w:rsidR="009C59C4" w:rsidRPr="00C6165A" w:rsidRDefault="00585959" w:rsidP="00223AAE">
            <w:pPr>
              <w:jc w:val="center"/>
              <w:rPr>
                <w:sz w:val="22"/>
                <w:szCs w:val="22"/>
              </w:rPr>
            </w:pPr>
            <w:r>
              <w:rPr>
                <w:sz w:val="22"/>
                <w:szCs w:val="22"/>
              </w:rPr>
              <w:t>-1,4%</w:t>
            </w:r>
          </w:p>
        </w:tc>
      </w:tr>
      <w:tr w:rsidR="00C6165A" w:rsidRPr="00C6165A" w14:paraId="35B77E53" w14:textId="77777777" w:rsidTr="00585959">
        <w:trPr>
          <w:trHeight w:val="300"/>
          <w:jc w:val="center"/>
        </w:trPr>
        <w:tc>
          <w:tcPr>
            <w:tcW w:w="1526" w:type="dxa"/>
            <w:vMerge/>
            <w:tcBorders>
              <w:left w:val="single" w:sz="12" w:space="0" w:color="auto"/>
              <w:bottom w:val="single" w:sz="12" w:space="0" w:color="auto"/>
            </w:tcBorders>
            <w:shd w:val="clear" w:color="auto" w:fill="auto"/>
            <w:noWrap/>
            <w:hideMark/>
          </w:tcPr>
          <w:p w14:paraId="16D47955" w14:textId="77777777" w:rsidR="009C59C4" w:rsidRPr="00C6165A" w:rsidRDefault="009C59C4" w:rsidP="009C59C4">
            <w:pPr>
              <w:rPr>
                <w:sz w:val="22"/>
                <w:szCs w:val="22"/>
              </w:rPr>
            </w:pPr>
          </w:p>
        </w:tc>
        <w:tc>
          <w:tcPr>
            <w:tcW w:w="1305" w:type="dxa"/>
            <w:tcBorders>
              <w:bottom w:val="single" w:sz="12" w:space="0" w:color="auto"/>
            </w:tcBorders>
            <w:shd w:val="clear" w:color="auto" w:fill="auto"/>
            <w:noWrap/>
            <w:vAlign w:val="center"/>
            <w:hideMark/>
          </w:tcPr>
          <w:p w14:paraId="703F6161" w14:textId="77777777" w:rsidR="009C59C4" w:rsidRPr="00C6165A" w:rsidRDefault="009C59C4" w:rsidP="009C59C4">
            <w:pPr>
              <w:jc w:val="left"/>
              <w:rPr>
                <w:sz w:val="22"/>
                <w:szCs w:val="22"/>
              </w:rPr>
            </w:pPr>
            <w:r w:rsidRPr="00C6165A">
              <w:rPr>
                <w:sz w:val="22"/>
                <w:szCs w:val="22"/>
              </w:rPr>
              <w:t>Reposición</w:t>
            </w:r>
          </w:p>
        </w:tc>
        <w:tc>
          <w:tcPr>
            <w:tcW w:w="1195" w:type="dxa"/>
            <w:tcBorders>
              <w:top w:val="single" w:sz="4" w:space="0" w:color="auto"/>
              <w:left w:val="nil"/>
              <w:bottom w:val="nil"/>
              <w:right w:val="single" w:sz="4" w:space="0" w:color="auto"/>
            </w:tcBorders>
            <w:shd w:val="clear" w:color="auto" w:fill="auto"/>
            <w:noWrap/>
            <w:vAlign w:val="center"/>
          </w:tcPr>
          <w:p w14:paraId="4A87CC96" w14:textId="1037C72E" w:rsidR="009C59C4" w:rsidRPr="00C6165A" w:rsidRDefault="00585959" w:rsidP="00223AAE">
            <w:pPr>
              <w:jc w:val="center"/>
              <w:rPr>
                <w:sz w:val="22"/>
                <w:szCs w:val="22"/>
              </w:rPr>
            </w:pPr>
            <w:r>
              <w:rPr>
                <w:sz w:val="22"/>
                <w:szCs w:val="22"/>
              </w:rPr>
              <w:t>109.443</w:t>
            </w:r>
          </w:p>
        </w:tc>
        <w:tc>
          <w:tcPr>
            <w:tcW w:w="1195" w:type="dxa"/>
            <w:tcBorders>
              <w:top w:val="single" w:sz="4" w:space="0" w:color="auto"/>
              <w:left w:val="single" w:sz="4" w:space="0" w:color="auto"/>
              <w:bottom w:val="nil"/>
              <w:right w:val="single" w:sz="4" w:space="0" w:color="auto"/>
            </w:tcBorders>
            <w:shd w:val="clear" w:color="auto" w:fill="auto"/>
            <w:noWrap/>
            <w:vAlign w:val="center"/>
          </w:tcPr>
          <w:p w14:paraId="56C06431" w14:textId="4AE66ABF" w:rsidR="009C59C4" w:rsidRPr="00C6165A" w:rsidRDefault="00585959" w:rsidP="00223AAE">
            <w:pPr>
              <w:jc w:val="center"/>
              <w:rPr>
                <w:sz w:val="22"/>
                <w:szCs w:val="22"/>
              </w:rPr>
            </w:pPr>
            <w:r>
              <w:rPr>
                <w:sz w:val="22"/>
                <w:szCs w:val="22"/>
              </w:rPr>
              <w:t>104.482</w:t>
            </w:r>
          </w:p>
        </w:tc>
        <w:tc>
          <w:tcPr>
            <w:tcW w:w="1624" w:type="dxa"/>
            <w:tcBorders>
              <w:top w:val="single" w:sz="4" w:space="0" w:color="auto"/>
              <w:left w:val="single" w:sz="4" w:space="0" w:color="auto"/>
              <w:bottom w:val="nil"/>
              <w:right w:val="single" w:sz="12" w:space="0" w:color="auto"/>
            </w:tcBorders>
            <w:shd w:val="clear" w:color="auto" w:fill="auto"/>
            <w:noWrap/>
            <w:vAlign w:val="center"/>
          </w:tcPr>
          <w:p w14:paraId="2DD09381" w14:textId="1C716866" w:rsidR="009C59C4" w:rsidRPr="00C6165A" w:rsidRDefault="00585959" w:rsidP="00223AAE">
            <w:pPr>
              <w:jc w:val="center"/>
              <w:rPr>
                <w:sz w:val="22"/>
                <w:szCs w:val="22"/>
              </w:rPr>
            </w:pPr>
            <w:r>
              <w:rPr>
                <w:sz w:val="22"/>
                <w:szCs w:val="22"/>
              </w:rPr>
              <w:t>-4,5%</w:t>
            </w:r>
          </w:p>
        </w:tc>
      </w:tr>
      <w:tr w:rsidR="00C6165A" w:rsidRPr="00C6165A" w14:paraId="5BF9ED50" w14:textId="77777777" w:rsidTr="00585959">
        <w:trPr>
          <w:trHeight w:val="300"/>
          <w:jc w:val="center"/>
        </w:trPr>
        <w:tc>
          <w:tcPr>
            <w:tcW w:w="6845" w:type="dxa"/>
            <w:gridSpan w:val="5"/>
            <w:tcBorders>
              <w:top w:val="single" w:sz="12" w:space="0" w:color="auto"/>
              <w:left w:val="single" w:sz="12" w:space="0" w:color="auto"/>
              <w:right w:val="single" w:sz="12" w:space="0" w:color="auto"/>
            </w:tcBorders>
            <w:shd w:val="clear" w:color="auto" w:fill="auto"/>
            <w:noWrap/>
            <w:vAlign w:val="center"/>
            <w:hideMark/>
          </w:tcPr>
          <w:p w14:paraId="5B761469" w14:textId="77777777" w:rsidR="002C60B7" w:rsidRPr="00C6165A" w:rsidRDefault="002C60B7" w:rsidP="00322E32">
            <w:pPr>
              <w:jc w:val="center"/>
              <w:rPr>
                <w:i/>
                <w:sz w:val="22"/>
                <w:szCs w:val="22"/>
              </w:rPr>
            </w:pPr>
            <w:r w:rsidRPr="00C6165A">
              <w:rPr>
                <w:i/>
                <w:sz w:val="22"/>
                <w:szCs w:val="22"/>
              </w:rPr>
              <w:t>Animales de dos o más años</w:t>
            </w:r>
          </w:p>
        </w:tc>
      </w:tr>
      <w:tr w:rsidR="00C6165A" w:rsidRPr="00C6165A" w14:paraId="1C17412A" w14:textId="77777777" w:rsidTr="00585959">
        <w:trPr>
          <w:trHeight w:val="120"/>
          <w:jc w:val="center"/>
        </w:trPr>
        <w:tc>
          <w:tcPr>
            <w:tcW w:w="2831" w:type="dxa"/>
            <w:gridSpan w:val="2"/>
            <w:tcBorders>
              <w:left w:val="single" w:sz="12" w:space="0" w:color="auto"/>
            </w:tcBorders>
            <w:shd w:val="clear" w:color="auto" w:fill="auto"/>
            <w:noWrap/>
            <w:vAlign w:val="center"/>
            <w:hideMark/>
          </w:tcPr>
          <w:p w14:paraId="1E1208DB" w14:textId="77777777" w:rsidR="002C60B7" w:rsidRPr="00C6165A" w:rsidRDefault="002C60B7" w:rsidP="002C60B7">
            <w:pPr>
              <w:jc w:val="left"/>
              <w:rPr>
                <w:sz w:val="22"/>
                <w:szCs w:val="22"/>
              </w:rPr>
            </w:pPr>
            <w:r w:rsidRPr="00C6165A">
              <w:rPr>
                <w:sz w:val="22"/>
                <w:szCs w:val="22"/>
              </w:rPr>
              <w:t>Machos</w:t>
            </w:r>
          </w:p>
        </w:tc>
        <w:tc>
          <w:tcPr>
            <w:tcW w:w="1195" w:type="dxa"/>
            <w:tcBorders>
              <w:top w:val="single" w:sz="4" w:space="0" w:color="auto"/>
              <w:left w:val="nil"/>
              <w:bottom w:val="single" w:sz="4" w:space="0" w:color="auto"/>
              <w:right w:val="single" w:sz="4" w:space="0" w:color="auto"/>
            </w:tcBorders>
            <w:shd w:val="clear" w:color="auto" w:fill="auto"/>
            <w:noWrap/>
            <w:vAlign w:val="center"/>
          </w:tcPr>
          <w:p w14:paraId="34EA7786" w14:textId="360011E5" w:rsidR="002C60B7" w:rsidRPr="00C6165A" w:rsidRDefault="00585959" w:rsidP="00E430D2">
            <w:pPr>
              <w:jc w:val="center"/>
              <w:rPr>
                <w:sz w:val="22"/>
                <w:szCs w:val="22"/>
              </w:rPr>
            </w:pPr>
            <w:r>
              <w:rPr>
                <w:sz w:val="22"/>
                <w:szCs w:val="22"/>
              </w:rPr>
              <w:t>38.434</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F831D7" w14:textId="63D4770E" w:rsidR="002C60B7" w:rsidRPr="00C6165A" w:rsidRDefault="00585959" w:rsidP="00E430D2">
            <w:pPr>
              <w:jc w:val="center"/>
              <w:rPr>
                <w:sz w:val="22"/>
                <w:szCs w:val="22"/>
              </w:rPr>
            </w:pPr>
            <w:r>
              <w:rPr>
                <w:sz w:val="22"/>
                <w:szCs w:val="22"/>
              </w:rPr>
              <w:t>37.428</w:t>
            </w:r>
          </w:p>
        </w:tc>
        <w:tc>
          <w:tcPr>
            <w:tcW w:w="1624"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499CB6A2" w14:textId="7DD8C2BA" w:rsidR="002C60B7" w:rsidRPr="00C6165A" w:rsidRDefault="00585959" w:rsidP="00E430D2">
            <w:pPr>
              <w:jc w:val="center"/>
              <w:rPr>
                <w:sz w:val="22"/>
                <w:szCs w:val="22"/>
                <w:lang w:eastAsia="es-ES"/>
              </w:rPr>
            </w:pPr>
            <w:r>
              <w:rPr>
                <w:sz w:val="22"/>
                <w:szCs w:val="22"/>
                <w:lang w:eastAsia="es-ES"/>
              </w:rPr>
              <w:t>-2,6%</w:t>
            </w:r>
          </w:p>
        </w:tc>
      </w:tr>
      <w:tr w:rsidR="00C6165A" w:rsidRPr="00C6165A" w14:paraId="36F30664" w14:textId="77777777" w:rsidTr="00585959">
        <w:trPr>
          <w:trHeight w:val="300"/>
          <w:jc w:val="center"/>
        </w:trPr>
        <w:tc>
          <w:tcPr>
            <w:tcW w:w="1526" w:type="dxa"/>
            <w:vMerge w:val="restart"/>
            <w:tcBorders>
              <w:left w:val="single" w:sz="12" w:space="0" w:color="auto"/>
            </w:tcBorders>
            <w:shd w:val="clear" w:color="auto" w:fill="auto"/>
            <w:noWrap/>
            <w:vAlign w:val="center"/>
            <w:hideMark/>
          </w:tcPr>
          <w:p w14:paraId="432BB9B4" w14:textId="77777777" w:rsidR="009C59C4" w:rsidRPr="00C6165A" w:rsidRDefault="009C59C4" w:rsidP="009C59C4">
            <w:pPr>
              <w:jc w:val="left"/>
              <w:rPr>
                <w:sz w:val="22"/>
                <w:szCs w:val="22"/>
              </w:rPr>
            </w:pPr>
            <w:r w:rsidRPr="00C6165A">
              <w:rPr>
                <w:sz w:val="22"/>
                <w:szCs w:val="22"/>
              </w:rPr>
              <w:t>Novillas</w:t>
            </w:r>
          </w:p>
        </w:tc>
        <w:tc>
          <w:tcPr>
            <w:tcW w:w="1305" w:type="dxa"/>
            <w:shd w:val="clear" w:color="auto" w:fill="auto"/>
            <w:noWrap/>
            <w:vAlign w:val="center"/>
            <w:hideMark/>
          </w:tcPr>
          <w:p w14:paraId="7F80193C" w14:textId="77777777" w:rsidR="009C59C4" w:rsidRPr="00C6165A" w:rsidRDefault="009C59C4" w:rsidP="009C59C4">
            <w:pPr>
              <w:jc w:val="left"/>
              <w:rPr>
                <w:sz w:val="22"/>
                <w:szCs w:val="22"/>
              </w:rPr>
            </w:pPr>
            <w:r w:rsidRPr="00C6165A">
              <w:rPr>
                <w:sz w:val="22"/>
                <w:szCs w:val="22"/>
              </w:rPr>
              <w:t>Sacrificio</w:t>
            </w:r>
          </w:p>
        </w:tc>
        <w:tc>
          <w:tcPr>
            <w:tcW w:w="1195" w:type="dxa"/>
            <w:tcBorders>
              <w:top w:val="single" w:sz="4" w:space="0" w:color="auto"/>
              <w:left w:val="nil"/>
              <w:bottom w:val="single" w:sz="4" w:space="0" w:color="auto"/>
              <w:right w:val="single" w:sz="4" w:space="0" w:color="auto"/>
            </w:tcBorders>
            <w:shd w:val="clear" w:color="auto" w:fill="auto"/>
            <w:noWrap/>
            <w:vAlign w:val="center"/>
          </w:tcPr>
          <w:p w14:paraId="705513BF" w14:textId="022FF4A6" w:rsidR="009C59C4" w:rsidRPr="00C6165A" w:rsidRDefault="002A27CA" w:rsidP="00E430D2">
            <w:pPr>
              <w:jc w:val="center"/>
              <w:rPr>
                <w:sz w:val="22"/>
                <w:szCs w:val="22"/>
              </w:rPr>
            </w:pPr>
            <w:r>
              <w:rPr>
                <w:sz w:val="22"/>
                <w:szCs w:val="22"/>
              </w:rPr>
              <w:t>3.871</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37775" w14:textId="7D7BB613" w:rsidR="009C59C4" w:rsidRPr="00C6165A" w:rsidRDefault="002A27CA" w:rsidP="00E430D2">
            <w:pPr>
              <w:jc w:val="center"/>
              <w:rPr>
                <w:sz w:val="22"/>
                <w:szCs w:val="22"/>
              </w:rPr>
            </w:pPr>
            <w:r>
              <w:rPr>
                <w:sz w:val="22"/>
                <w:szCs w:val="22"/>
              </w:rPr>
              <w:t>3.464</w:t>
            </w:r>
          </w:p>
        </w:tc>
        <w:tc>
          <w:tcPr>
            <w:tcW w:w="1624"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536A7ABA" w14:textId="1918D684" w:rsidR="009C59C4" w:rsidRPr="00C6165A" w:rsidRDefault="002A27CA" w:rsidP="00E430D2">
            <w:pPr>
              <w:jc w:val="center"/>
              <w:rPr>
                <w:sz w:val="22"/>
                <w:szCs w:val="22"/>
              </w:rPr>
            </w:pPr>
            <w:r>
              <w:rPr>
                <w:sz w:val="22"/>
                <w:szCs w:val="22"/>
              </w:rPr>
              <w:t>-10,5%</w:t>
            </w:r>
          </w:p>
        </w:tc>
      </w:tr>
      <w:tr w:rsidR="00C6165A" w:rsidRPr="00C6165A" w14:paraId="65F32B26" w14:textId="77777777" w:rsidTr="00585959">
        <w:trPr>
          <w:trHeight w:val="300"/>
          <w:jc w:val="center"/>
        </w:trPr>
        <w:tc>
          <w:tcPr>
            <w:tcW w:w="1526" w:type="dxa"/>
            <w:vMerge/>
            <w:tcBorders>
              <w:left w:val="single" w:sz="12" w:space="0" w:color="auto"/>
            </w:tcBorders>
            <w:shd w:val="clear" w:color="auto" w:fill="auto"/>
            <w:noWrap/>
            <w:vAlign w:val="center"/>
            <w:hideMark/>
          </w:tcPr>
          <w:p w14:paraId="2448F57C" w14:textId="77777777" w:rsidR="009C59C4" w:rsidRPr="00C6165A" w:rsidRDefault="009C59C4" w:rsidP="009C59C4">
            <w:pPr>
              <w:jc w:val="left"/>
              <w:rPr>
                <w:sz w:val="22"/>
                <w:szCs w:val="22"/>
              </w:rPr>
            </w:pPr>
          </w:p>
        </w:tc>
        <w:tc>
          <w:tcPr>
            <w:tcW w:w="1305" w:type="dxa"/>
            <w:shd w:val="clear" w:color="auto" w:fill="auto"/>
            <w:noWrap/>
            <w:vAlign w:val="center"/>
            <w:hideMark/>
          </w:tcPr>
          <w:p w14:paraId="1DFE50A5" w14:textId="77777777" w:rsidR="009C59C4" w:rsidRPr="00C6165A" w:rsidRDefault="009C59C4" w:rsidP="009C59C4">
            <w:pPr>
              <w:jc w:val="left"/>
              <w:rPr>
                <w:sz w:val="22"/>
                <w:szCs w:val="22"/>
              </w:rPr>
            </w:pPr>
            <w:r w:rsidRPr="00C6165A">
              <w:rPr>
                <w:sz w:val="22"/>
                <w:szCs w:val="22"/>
              </w:rPr>
              <w:t>Resto</w:t>
            </w:r>
          </w:p>
        </w:tc>
        <w:tc>
          <w:tcPr>
            <w:tcW w:w="1195" w:type="dxa"/>
            <w:tcBorders>
              <w:top w:val="single" w:sz="4" w:space="0" w:color="auto"/>
              <w:left w:val="nil"/>
              <w:bottom w:val="single" w:sz="4" w:space="0" w:color="auto"/>
              <w:right w:val="single" w:sz="4" w:space="0" w:color="auto"/>
            </w:tcBorders>
            <w:shd w:val="clear" w:color="auto" w:fill="auto"/>
            <w:noWrap/>
            <w:vAlign w:val="center"/>
          </w:tcPr>
          <w:p w14:paraId="40687F11" w14:textId="38340129" w:rsidR="009C59C4" w:rsidRPr="00C6165A" w:rsidRDefault="002A27CA" w:rsidP="00E430D2">
            <w:pPr>
              <w:jc w:val="center"/>
              <w:rPr>
                <w:sz w:val="22"/>
                <w:szCs w:val="22"/>
              </w:rPr>
            </w:pPr>
            <w:r>
              <w:rPr>
                <w:sz w:val="22"/>
                <w:szCs w:val="22"/>
              </w:rPr>
              <w:t>44.937</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F80B4" w14:textId="0654780D" w:rsidR="009C59C4" w:rsidRPr="00C6165A" w:rsidRDefault="002A27CA" w:rsidP="00E430D2">
            <w:pPr>
              <w:jc w:val="center"/>
              <w:rPr>
                <w:sz w:val="22"/>
                <w:szCs w:val="22"/>
              </w:rPr>
            </w:pPr>
            <w:r>
              <w:rPr>
                <w:sz w:val="22"/>
                <w:szCs w:val="22"/>
              </w:rPr>
              <w:t>43.444</w:t>
            </w:r>
          </w:p>
        </w:tc>
        <w:tc>
          <w:tcPr>
            <w:tcW w:w="1624"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30591E7B" w14:textId="24CB2B8F" w:rsidR="009C59C4" w:rsidRPr="00C6165A" w:rsidRDefault="002A27CA" w:rsidP="00E430D2">
            <w:pPr>
              <w:jc w:val="center"/>
              <w:rPr>
                <w:sz w:val="22"/>
                <w:szCs w:val="22"/>
              </w:rPr>
            </w:pPr>
            <w:r>
              <w:rPr>
                <w:sz w:val="22"/>
                <w:szCs w:val="22"/>
              </w:rPr>
              <w:t>-3,3%</w:t>
            </w:r>
          </w:p>
        </w:tc>
      </w:tr>
      <w:tr w:rsidR="00C6165A" w:rsidRPr="00C6165A" w14:paraId="0757AC62" w14:textId="77777777" w:rsidTr="00585959">
        <w:trPr>
          <w:trHeight w:val="300"/>
          <w:jc w:val="center"/>
        </w:trPr>
        <w:tc>
          <w:tcPr>
            <w:tcW w:w="1526" w:type="dxa"/>
            <w:vMerge w:val="restart"/>
            <w:tcBorders>
              <w:left w:val="single" w:sz="12" w:space="0" w:color="auto"/>
            </w:tcBorders>
            <w:shd w:val="clear" w:color="auto" w:fill="auto"/>
            <w:noWrap/>
            <w:vAlign w:val="center"/>
            <w:hideMark/>
          </w:tcPr>
          <w:p w14:paraId="3CCB422C" w14:textId="77777777" w:rsidR="009C59C4" w:rsidRPr="00C6165A" w:rsidRDefault="009C59C4" w:rsidP="009C59C4">
            <w:pPr>
              <w:jc w:val="left"/>
              <w:rPr>
                <w:sz w:val="22"/>
                <w:szCs w:val="22"/>
              </w:rPr>
            </w:pPr>
            <w:r w:rsidRPr="00C6165A">
              <w:rPr>
                <w:sz w:val="22"/>
                <w:szCs w:val="22"/>
              </w:rPr>
              <w:t>Vacas</w:t>
            </w:r>
          </w:p>
        </w:tc>
        <w:tc>
          <w:tcPr>
            <w:tcW w:w="1305" w:type="dxa"/>
            <w:shd w:val="clear" w:color="auto" w:fill="auto"/>
            <w:noWrap/>
            <w:vAlign w:val="center"/>
            <w:hideMark/>
          </w:tcPr>
          <w:p w14:paraId="5CB66501" w14:textId="77777777" w:rsidR="009C59C4" w:rsidRPr="00C6165A" w:rsidRDefault="009C59C4" w:rsidP="009C59C4">
            <w:pPr>
              <w:jc w:val="left"/>
              <w:rPr>
                <w:sz w:val="22"/>
                <w:szCs w:val="22"/>
              </w:rPr>
            </w:pPr>
            <w:r w:rsidRPr="00C6165A">
              <w:rPr>
                <w:sz w:val="22"/>
                <w:szCs w:val="22"/>
              </w:rPr>
              <w:t>Lecheras</w:t>
            </w:r>
          </w:p>
        </w:tc>
        <w:tc>
          <w:tcPr>
            <w:tcW w:w="1195" w:type="dxa"/>
            <w:tcBorders>
              <w:top w:val="single" w:sz="4" w:space="0" w:color="auto"/>
              <w:left w:val="nil"/>
              <w:bottom w:val="single" w:sz="4" w:space="0" w:color="auto"/>
              <w:right w:val="single" w:sz="4" w:space="0" w:color="auto"/>
            </w:tcBorders>
            <w:shd w:val="clear" w:color="auto" w:fill="auto"/>
            <w:noWrap/>
            <w:vAlign w:val="center"/>
          </w:tcPr>
          <w:p w14:paraId="5C4DBB17" w14:textId="78D37A7A" w:rsidR="009C59C4" w:rsidRPr="00C6165A" w:rsidRDefault="002A27CA" w:rsidP="00E430D2">
            <w:pPr>
              <w:jc w:val="center"/>
              <w:rPr>
                <w:sz w:val="22"/>
                <w:szCs w:val="22"/>
              </w:rPr>
            </w:pPr>
            <w:r>
              <w:rPr>
                <w:sz w:val="22"/>
                <w:szCs w:val="22"/>
              </w:rPr>
              <w:t>90.272</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F587E" w14:textId="53EE973D" w:rsidR="009C59C4" w:rsidRPr="00C6165A" w:rsidRDefault="002A27CA" w:rsidP="00E430D2">
            <w:pPr>
              <w:jc w:val="center"/>
              <w:rPr>
                <w:sz w:val="22"/>
                <w:szCs w:val="22"/>
              </w:rPr>
            </w:pPr>
            <w:r>
              <w:rPr>
                <w:sz w:val="22"/>
                <w:szCs w:val="22"/>
              </w:rPr>
              <w:t>88.782</w:t>
            </w:r>
          </w:p>
        </w:tc>
        <w:tc>
          <w:tcPr>
            <w:tcW w:w="1624"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40C2AC45" w14:textId="636C8BC7" w:rsidR="009C59C4" w:rsidRPr="00C6165A" w:rsidRDefault="002A27CA" w:rsidP="00E430D2">
            <w:pPr>
              <w:jc w:val="center"/>
              <w:rPr>
                <w:sz w:val="22"/>
                <w:szCs w:val="22"/>
              </w:rPr>
            </w:pPr>
            <w:r>
              <w:rPr>
                <w:sz w:val="22"/>
                <w:szCs w:val="22"/>
              </w:rPr>
              <w:t>-1,7%</w:t>
            </w:r>
          </w:p>
        </w:tc>
      </w:tr>
      <w:tr w:rsidR="00C6165A" w:rsidRPr="00C6165A" w14:paraId="76D629D1" w14:textId="77777777" w:rsidTr="00585959">
        <w:trPr>
          <w:trHeight w:val="300"/>
          <w:jc w:val="center"/>
        </w:trPr>
        <w:tc>
          <w:tcPr>
            <w:tcW w:w="1526" w:type="dxa"/>
            <w:vMerge/>
            <w:tcBorders>
              <w:left w:val="single" w:sz="12" w:space="0" w:color="auto"/>
              <w:bottom w:val="single" w:sz="12" w:space="0" w:color="auto"/>
            </w:tcBorders>
            <w:shd w:val="clear" w:color="auto" w:fill="auto"/>
            <w:noWrap/>
            <w:hideMark/>
          </w:tcPr>
          <w:p w14:paraId="497CF2DC" w14:textId="77777777" w:rsidR="009C59C4" w:rsidRPr="00C6165A" w:rsidRDefault="009C59C4" w:rsidP="009C59C4">
            <w:pPr>
              <w:rPr>
                <w:sz w:val="22"/>
                <w:szCs w:val="22"/>
              </w:rPr>
            </w:pPr>
          </w:p>
        </w:tc>
        <w:tc>
          <w:tcPr>
            <w:tcW w:w="1305" w:type="dxa"/>
            <w:tcBorders>
              <w:bottom w:val="single" w:sz="12" w:space="0" w:color="auto"/>
            </w:tcBorders>
            <w:shd w:val="clear" w:color="auto" w:fill="auto"/>
            <w:noWrap/>
            <w:vAlign w:val="center"/>
            <w:hideMark/>
          </w:tcPr>
          <w:p w14:paraId="597DB1CB" w14:textId="77777777" w:rsidR="009C59C4" w:rsidRPr="00C6165A" w:rsidRDefault="009C59C4" w:rsidP="009C59C4">
            <w:pPr>
              <w:jc w:val="left"/>
              <w:rPr>
                <w:sz w:val="22"/>
                <w:szCs w:val="22"/>
              </w:rPr>
            </w:pPr>
            <w:r w:rsidRPr="00C6165A">
              <w:rPr>
                <w:sz w:val="22"/>
                <w:szCs w:val="22"/>
              </w:rPr>
              <w:t>Resto</w:t>
            </w:r>
          </w:p>
        </w:tc>
        <w:tc>
          <w:tcPr>
            <w:tcW w:w="1195" w:type="dxa"/>
            <w:tcBorders>
              <w:top w:val="single" w:sz="4" w:space="0" w:color="auto"/>
              <w:left w:val="nil"/>
              <w:bottom w:val="single" w:sz="12" w:space="0" w:color="auto"/>
              <w:right w:val="single" w:sz="4" w:space="0" w:color="auto"/>
            </w:tcBorders>
            <w:shd w:val="clear" w:color="auto" w:fill="auto"/>
            <w:noWrap/>
            <w:vAlign w:val="center"/>
          </w:tcPr>
          <w:p w14:paraId="461AAAB6" w14:textId="5FD0AD83" w:rsidR="009C59C4" w:rsidRPr="00C6165A" w:rsidRDefault="002A27CA" w:rsidP="00E430D2">
            <w:pPr>
              <w:jc w:val="center"/>
              <w:rPr>
                <w:sz w:val="22"/>
                <w:szCs w:val="22"/>
              </w:rPr>
            </w:pPr>
            <w:r>
              <w:rPr>
                <w:sz w:val="22"/>
                <w:szCs w:val="22"/>
              </w:rPr>
              <w:t>587.989</w:t>
            </w:r>
          </w:p>
        </w:tc>
        <w:tc>
          <w:tcPr>
            <w:tcW w:w="1195"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0813EC86" w14:textId="44EBFA57" w:rsidR="009C59C4" w:rsidRPr="00C6165A" w:rsidRDefault="002A27CA" w:rsidP="00E430D2">
            <w:pPr>
              <w:jc w:val="center"/>
              <w:rPr>
                <w:sz w:val="22"/>
                <w:szCs w:val="22"/>
              </w:rPr>
            </w:pPr>
            <w:r>
              <w:rPr>
                <w:sz w:val="22"/>
                <w:szCs w:val="22"/>
              </w:rPr>
              <w:t>579.642</w:t>
            </w:r>
          </w:p>
        </w:tc>
        <w:tc>
          <w:tcPr>
            <w:tcW w:w="1624" w:type="dxa"/>
            <w:tcBorders>
              <w:top w:val="single" w:sz="4" w:space="0" w:color="auto"/>
              <w:left w:val="single" w:sz="4" w:space="0" w:color="auto"/>
              <w:bottom w:val="single" w:sz="12" w:space="0" w:color="auto"/>
              <w:right w:val="single" w:sz="12" w:space="0" w:color="auto"/>
            </w:tcBorders>
            <w:shd w:val="clear" w:color="auto" w:fill="auto"/>
            <w:noWrap/>
            <w:vAlign w:val="center"/>
          </w:tcPr>
          <w:p w14:paraId="7F659370" w14:textId="3FE80357" w:rsidR="009C59C4" w:rsidRPr="00C6165A" w:rsidRDefault="002A27CA" w:rsidP="00E430D2">
            <w:pPr>
              <w:jc w:val="center"/>
              <w:rPr>
                <w:sz w:val="22"/>
                <w:szCs w:val="22"/>
              </w:rPr>
            </w:pPr>
            <w:r>
              <w:rPr>
                <w:sz w:val="22"/>
                <w:szCs w:val="22"/>
              </w:rPr>
              <w:t>-1,4%</w:t>
            </w:r>
          </w:p>
        </w:tc>
      </w:tr>
    </w:tbl>
    <w:p w14:paraId="110F3A21" w14:textId="55136C33" w:rsidR="00AA49C3" w:rsidRPr="00703831" w:rsidRDefault="00FB6597" w:rsidP="00FB6597">
      <w:pPr>
        <w:jc w:val="center"/>
        <w:rPr>
          <w:i/>
          <w:iCs/>
          <w:sz w:val="16"/>
          <w:szCs w:val="16"/>
        </w:rPr>
      </w:pPr>
      <w:r w:rsidRPr="00703831">
        <w:rPr>
          <w:i/>
          <w:iCs/>
          <w:sz w:val="16"/>
          <w:szCs w:val="16"/>
        </w:rPr>
        <w:t xml:space="preserve">Fuente: </w:t>
      </w:r>
      <w:r w:rsidR="00CB5999" w:rsidRPr="00703831">
        <w:rPr>
          <w:i/>
          <w:iCs/>
          <w:sz w:val="16"/>
          <w:szCs w:val="16"/>
        </w:rPr>
        <w:t>Elaboración propia a partir de las e</w:t>
      </w:r>
      <w:r w:rsidR="00B211DB" w:rsidRPr="00703831">
        <w:rPr>
          <w:i/>
          <w:iCs/>
          <w:sz w:val="16"/>
          <w:szCs w:val="16"/>
        </w:rPr>
        <w:t>ncuestas ganaderas del Ministerio de Agricultura, Pesca y Alimentación</w:t>
      </w:r>
    </w:p>
    <w:p w14:paraId="1035B991" w14:textId="77777777" w:rsidR="00FB6597" w:rsidRPr="00C6165A" w:rsidRDefault="00FB6597" w:rsidP="00AA49C3"/>
    <w:p w14:paraId="781C9E47" w14:textId="4C542AC6" w:rsidR="00AA49C3" w:rsidRPr="00C6165A" w:rsidRDefault="00AA49C3" w:rsidP="00AA49C3">
      <w:r w:rsidRPr="00C6165A">
        <w:t xml:space="preserve">En </w:t>
      </w:r>
      <w:r w:rsidRPr="00C6165A">
        <w:rPr>
          <w:b/>
        </w:rPr>
        <w:t>ganado ovino</w:t>
      </w:r>
      <w:r w:rsidRPr="00C6165A">
        <w:t xml:space="preserve">, la última encuesta publicada es de noviembre de </w:t>
      </w:r>
      <w:r w:rsidR="00991C90" w:rsidRPr="00C6165A">
        <w:t>202</w:t>
      </w:r>
      <w:r w:rsidR="002A27CA">
        <w:t>2</w:t>
      </w:r>
      <w:r w:rsidRPr="00C6165A">
        <w:t xml:space="preserve">. El censo total </w:t>
      </w:r>
      <w:r w:rsidR="006E3240" w:rsidRPr="00C6165A">
        <w:t xml:space="preserve">en Castilla y León </w:t>
      </w:r>
      <w:r w:rsidRPr="00C6165A">
        <w:t xml:space="preserve">fue de </w:t>
      </w:r>
      <w:r w:rsidR="00727F37" w:rsidRPr="00C6165A">
        <w:t>2.</w:t>
      </w:r>
      <w:r w:rsidR="002A27CA">
        <w:t>289.229</w:t>
      </w:r>
      <w:r w:rsidR="00727F37" w:rsidRPr="00C6165A">
        <w:t xml:space="preserve"> </w:t>
      </w:r>
      <w:r w:rsidRPr="00C6165A">
        <w:t xml:space="preserve">cabezas, </w:t>
      </w:r>
      <w:r w:rsidR="002A27CA">
        <w:t>141.635</w:t>
      </w:r>
      <w:r w:rsidRPr="00C6165A">
        <w:t xml:space="preserve"> menos que en </w:t>
      </w:r>
      <w:r w:rsidR="006E3240" w:rsidRPr="00C6165A">
        <w:t>el</w:t>
      </w:r>
      <w:r w:rsidRPr="00C6165A">
        <w:t xml:space="preserve"> año anterior</w:t>
      </w:r>
      <w:r w:rsidR="00CB5999" w:rsidRPr="00C6165A">
        <w:t xml:space="preserve">, tendencia que </w:t>
      </w:r>
      <w:r w:rsidR="00727F37" w:rsidRPr="00C6165A">
        <w:t>lleva a la baja los últimos cinco años</w:t>
      </w:r>
      <w:r w:rsidR="00C75EA1">
        <w:t>, habiendo descendido un 2,8% en el año 2021 y alcanzando un descenso del 5,8% en 2022</w:t>
      </w:r>
      <w:r w:rsidRPr="00C6165A">
        <w:t xml:space="preserve">. Castilla y León, con el </w:t>
      </w:r>
      <w:r w:rsidR="002A27CA">
        <w:t>15,84</w:t>
      </w:r>
      <w:r w:rsidRPr="00C6165A">
        <w:t>%</w:t>
      </w:r>
      <w:r w:rsidR="00F4754D" w:rsidRPr="00C6165A">
        <w:t xml:space="preserve"> del censo nacional</w:t>
      </w:r>
      <w:r w:rsidRPr="00C6165A">
        <w:t xml:space="preserve">, es la </w:t>
      </w:r>
      <w:r w:rsidR="002A27CA">
        <w:t>tercer</w:t>
      </w:r>
      <w:r w:rsidRPr="00C6165A">
        <w:t xml:space="preserve">a comunidad </w:t>
      </w:r>
      <w:r w:rsidR="0031787E">
        <w:t>con</w:t>
      </w:r>
      <w:r w:rsidRPr="00C6165A">
        <w:t xml:space="preserve"> mayor </w:t>
      </w:r>
      <w:r w:rsidR="00F33923" w:rsidRPr="00C6165A">
        <w:t>número</w:t>
      </w:r>
      <w:r w:rsidRPr="00C6165A">
        <w:t xml:space="preserve"> de España, solo por detrás de Extremadura</w:t>
      </w:r>
      <w:r w:rsidR="002A27CA">
        <w:t xml:space="preserve"> y Castilla la Mancha</w:t>
      </w:r>
      <w:r w:rsidRPr="00C6165A">
        <w:t xml:space="preserve">. En </w:t>
      </w:r>
      <w:r w:rsidR="000C3918" w:rsidRPr="00C6165A">
        <w:t>ovino</w:t>
      </w:r>
      <w:r w:rsidRPr="00C6165A">
        <w:t xml:space="preserve"> de ordeño</w:t>
      </w:r>
      <w:r w:rsidR="002D65E7" w:rsidRPr="00C6165A">
        <w:t xml:space="preserve">, con </w:t>
      </w:r>
      <w:r w:rsidR="006B1B1D" w:rsidRPr="00C6165A">
        <w:t xml:space="preserve">más de </w:t>
      </w:r>
      <w:r w:rsidR="002A27CA">
        <w:t>776.467</w:t>
      </w:r>
      <w:r w:rsidR="002D65E7" w:rsidRPr="00C6165A">
        <w:t xml:space="preserve"> animales</w:t>
      </w:r>
      <w:r w:rsidR="00E15FD9" w:rsidRPr="00C6165A">
        <w:t xml:space="preserve"> en total, la mayoría censados en la provincia de Zamora</w:t>
      </w:r>
      <w:r w:rsidR="002D65E7" w:rsidRPr="00C6165A">
        <w:t>,</w:t>
      </w:r>
      <w:r w:rsidRPr="00C6165A">
        <w:t xml:space="preserve"> representamos un porcentaje mucho mayor, un </w:t>
      </w:r>
      <w:r w:rsidR="002A27CA">
        <w:t>38,66</w:t>
      </w:r>
      <w:r w:rsidRPr="00C6165A">
        <w:t xml:space="preserve">%, siendo la </w:t>
      </w:r>
      <w:r w:rsidR="002A27CA">
        <w:t xml:space="preserve">segunda </w:t>
      </w:r>
      <w:r w:rsidRPr="00C6165A">
        <w:t>comunidad autónoma más importante</w:t>
      </w:r>
      <w:r w:rsidR="006E3240" w:rsidRPr="00C6165A">
        <w:t xml:space="preserve"> </w:t>
      </w:r>
      <w:r w:rsidR="0031787E">
        <w:t>tras</w:t>
      </w:r>
      <w:r w:rsidR="006E3240" w:rsidRPr="00C6165A">
        <w:t xml:space="preserve"> Castilla la Mancha</w:t>
      </w:r>
      <w:r w:rsidR="0031787E">
        <w:t>,</w:t>
      </w:r>
      <w:r w:rsidR="002A27CA">
        <w:t xml:space="preserve"> con un censo de 827.089</w:t>
      </w:r>
      <w:r w:rsidR="006E3240" w:rsidRPr="00C6165A">
        <w:t>.</w:t>
      </w:r>
    </w:p>
    <w:p w14:paraId="4A278570" w14:textId="77777777" w:rsidR="00E430D2" w:rsidRPr="00C6165A" w:rsidRDefault="00E430D2" w:rsidP="00AA49C3">
      <w:pPr>
        <w:spacing w:after="120"/>
      </w:pPr>
    </w:p>
    <w:p w14:paraId="45FC8EAD" w14:textId="18A218A7" w:rsidR="00AA49C3" w:rsidRDefault="00AA49C3" w:rsidP="00AA49C3">
      <w:pPr>
        <w:spacing w:after="120"/>
      </w:pPr>
      <w:r w:rsidRPr="00C6165A">
        <w:t>En la tabla siguiente se puede ver el censo y la evolución por tipo de ganado:</w:t>
      </w:r>
    </w:p>
    <w:p w14:paraId="5F9494DE" w14:textId="77777777" w:rsidR="00AB6E49" w:rsidRPr="00C6165A" w:rsidRDefault="00AB6E49" w:rsidP="00AA49C3">
      <w:pPr>
        <w:spacing w:after="1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1276"/>
        <w:gridCol w:w="1194"/>
        <w:gridCol w:w="1195"/>
        <w:gridCol w:w="1195"/>
        <w:gridCol w:w="1207"/>
      </w:tblGrid>
      <w:tr w:rsidR="00C6165A" w:rsidRPr="00C6165A" w14:paraId="1D2ECB08" w14:textId="77777777" w:rsidTr="00DC4F14">
        <w:trPr>
          <w:trHeight w:val="300"/>
          <w:jc w:val="center"/>
        </w:trPr>
        <w:tc>
          <w:tcPr>
            <w:tcW w:w="4875" w:type="dxa"/>
            <w:gridSpan w:val="4"/>
            <w:tcBorders>
              <w:top w:val="nil"/>
              <w:left w:val="nil"/>
            </w:tcBorders>
            <w:shd w:val="clear" w:color="auto" w:fill="auto"/>
            <w:noWrap/>
            <w:vAlign w:val="center"/>
            <w:hideMark/>
          </w:tcPr>
          <w:p w14:paraId="04FA6622" w14:textId="77777777" w:rsidR="00727F37" w:rsidRPr="00C6165A" w:rsidRDefault="00727F37" w:rsidP="00727F37">
            <w:pPr>
              <w:jc w:val="center"/>
              <w:rPr>
                <w:sz w:val="22"/>
                <w:szCs w:val="22"/>
              </w:rPr>
            </w:pPr>
          </w:p>
        </w:tc>
        <w:tc>
          <w:tcPr>
            <w:tcW w:w="1195" w:type="dxa"/>
            <w:shd w:val="clear" w:color="auto" w:fill="auto"/>
            <w:noWrap/>
            <w:vAlign w:val="center"/>
            <w:hideMark/>
          </w:tcPr>
          <w:p w14:paraId="152CCD51" w14:textId="01466D9D" w:rsidR="00727F37" w:rsidRPr="00C6165A" w:rsidRDefault="00727F37" w:rsidP="00727F37">
            <w:pPr>
              <w:jc w:val="center"/>
              <w:rPr>
                <w:b/>
                <w:bCs/>
                <w:sz w:val="22"/>
                <w:szCs w:val="22"/>
              </w:rPr>
            </w:pPr>
            <w:r w:rsidRPr="00C6165A">
              <w:rPr>
                <w:b/>
                <w:bCs/>
                <w:sz w:val="22"/>
                <w:szCs w:val="22"/>
              </w:rPr>
              <w:t>202</w:t>
            </w:r>
            <w:r w:rsidR="002A27CA">
              <w:rPr>
                <w:b/>
                <w:bCs/>
                <w:sz w:val="22"/>
                <w:szCs w:val="22"/>
              </w:rPr>
              <w:t>1</w:t>
            </w:r>
          </w:p>
        </w:tc>
        <w:tc>
          <w:tcPr>
            <w:tcW w:w="1195" w:type="dxa"/>
            <w:shd w:val="clear" w:color="auto" w:fill="auto"/>
            <w:noWrap/>
            <w:vAlign w:val="center"/>
            <w:hideMark/>
          </w:tcPr>
          <w:p w14:paraId="72CD6148" w14:textId="29903B6E" w:rsidR="00727F37" w:rsidRPr="00C6165A" w:rsidRDefault="00727F37" w:rsidP="00727F37">
            <w:pPr>
              <w:jc w:val="center"/>
              <w:rPr>
                <w:b/>
                <w:bCs/>
                <w:sz w:val="22"/>
                <w:szCs w:val="22"/>
              </w:rPr>
            </w:pPr>
            <w:r w:rsidRPr="00C6165A">
              <w:rPr>
                <w:b/>
                <w:bCs/>
                <w:sz w:val="22"/>
                <w:szCs w:val="22"/>
              </w:rPr>
              <w:t>202</w:t>
            </w:r>
            <w:r w:rsidR="002A27CA">
              <w:rPr>
                <w:b/>
                <w:bCs/>
                <w:sz w:val="22"/>
                <w:szCs w:val="22"/>
              </w:rPr>
              <w:t>2</w:t>
            </w:r>
          </w:p>
        </w:tc>
        <w:tc>
          <w:tcPr>
            <w:tcW w:w="1207" w:type="dxa"/>
            <w:tcBorders>
              <w:bottom w:val="single" w:sz="6" w:space="0" w:color="auto"/>
            </w:tcBorders>
            <w:shd w:val="clear" w:color="auto" w:fill="auto"/>
            <w:noWrap/>
            <w:vAlign w:val="center"/>
            <w:hideMark/>
          </w:tcPr>
          <w:p w14:paraId="4C1A0496" w14:textId="77777777" w:rsidR="00727F37" w:rsidRPr="00C6165A" w:rsidRDefault="00727F37" w:rsidP="00727F37">
            <w:pPr>
              <w:jc w:val="center"/>
              <w:rPr>
                <w:b/>
                <w:bCs/>
                <w:sz w:val="22"/>
                <w:szCs w:val="22"/>
              </w:rPr>
            </w:pPr>
            <w:r w:rsidRPr="00C6165A">
              <w:rPr>
                <w:b/>
                <w:bCs/>
                <w:sz w:val="22"/>
                <w:szCs w:val="22"/>
              </w:rPr>
              <w:t>Variación (%)</w:t>
            </w:r>
          </w:p>
        </w:tc>
      </w:tr>
      <w:tr w:rsidR="002A27CA" w:rsidRPr="00C6165A" w14:paraId="29F14054" w14:textId="77777777" w:rsidTr="002A27CA">
        <w:trPr>
          <w:trHeight w:val="300"/>
          <w:jc w:val="center"/>
        </w:trPr>
        <w:tc>
          <w:tcPr>
            <w:tcW w:w="4875" w:type="dxa"/>
            <w:gridSpan w:val="4"/>
            <w:shd w:val="clear" w:color="auto" w:fill="auto"/>
            <w:noWrap/>
            <w:vAlign w:val="center"/>
            <w:hideMark/>
          </w:tcPr>
          <w:p w14:paraId="272FB1E6" w14:textId="77777777" w:rsidR="002A27CA" w:rsidRPr="00C6165A" w:rsidRDefault="002A27CA" w:rsidP="002A27CA">
            <w:pPr>
              <w:jc w:val="left"/>
              <w:rPr>
                <w:b/>
                <w:sz w:val="22"/>
                <w:szCs w:val="22"/>
              </w:rPr>
            </w:pPr>
            <w:r w:rsidRPr="00C6165A">
              <w:rPr>
                <w:b/>
                <w:sz w:val="22"/>
                <w:szCs w:val="22"/>
              </w:rPr>
              <w:t>Total</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87CAC" w14:textId="5990188A" w:rsidR="002A27CA" w:rsidRPr="00C6165A" w:rsidRDefault="002A27CA" w:rsidP="002A27CA">
            <w:pPr>
              <w:jc w:val="right"/>
              <w:rPr>
                <w:b/>
                <w:sz w:val="22"/>
                <w:szCs w:val="22"/>
              </w:rPr>
            </w:pPr>
            <w:r>
              <w:rPr>
                <w:b/>
                <w:sz w:val="22"/>
                <w:szCs w:val="22"/>
              </w:rPr>
              <w:t>2.430.864</w:t>
            </w:r>
          </w:p>
        </w:tc>
        <w:tc>
          <w:tcPr>
            <w:tcW w:w="1195" w:type="dxa"/>
            <w:tcBorders>
              <w:top w:val="single" w:sz="4" w:space="0" w:color="auto"/>
              <w:left w:val="nil"/>
              <w:bottom w:val="single" w:sz="4" w:space="0" w:color="auto"/>
              <w:right w:val="single" w:sz="4" w:space="0" w:color="auto"/>
            </w:tcBorders>
            <w:shd w:val="clear" w:color="auto" w:fill="auto"/>
            <w:noWrap/>
            <w:vAlign w:val="bottom"/>
          </w:tcPr>
          <w:p w14:paraId="0563D490" w14:textId="674A2061" w:rsidR="002A27CA" w:rsidRPr="00C6165A" w:rsidRDefault="00066614" w:rsidP="002A27CA">
            <w:pPr>
              <w:jc w:val="right"/>
              <w:rPr>
                <w:b/>
                <w:bCs/>
                <w:sz w:val="22"/>
                <w:szCs w:val="22"/>
              </w:rPr>
            </w:pPr>
            <w:r>
              <w:rPr>
                <w:b/>
                <w:bCs/>
                <w:sz w:val="22"/>
                <w:szCs w:val="22"/>
              </w:rPr>
              <w:t>2.289.229</w:t>
            </w:r>
          </w:p>
        </w:tc>
        <w:tc>
          <w:tcPr>
            <w:tcW w:w="1207" w:type="dxa"/>
            <w:tcBorders>
              <w:top w:val="single" w:sz="4" w:space="0" w:color="auto"/>
              <w:left w:val="nil"/>
              <w:bottom w:val="single" w:sz="4" w:space="0" w:color="auto"/>
              <w:right w:val="single" w:sz="4" w:space="0" w:color="auto"/>
            </w:tcBorders>
            <w:shd w:val="clear" w:color="auto" w:fill="auto"/>
            <w:noWrap/>
            <w:vAlign w:val="bottom"/>
          </w:tcPr>
          <w:p w14:paraId="61DE5860" w14:textId="463E27AE" w:rsidR="002A27CA" w:rsidRPr="00C6165A" w:rsidRDefault="00066614" w:rsidP="002A27CA">
            <w:pPr>
              <w:jc w:val="center"/>
              <w:rPr>
                <w:b/>
                <w:bCs/>
                <w:sz w:val="22"/>
                <w:szCs w:val="22"/>
              </w:rPr>
            </w:pPr>
            <w:r>
              <w:rPr>
                <w:b/>
                <w:bCs/>
                <w:sz w:val="22"/>
                <w:szCs w:val="22"/>
              </w:rPr>
              <w:t>-5,8%</w:t>
            </w:r>
          </w:p>
        </w:tc>
      </w:tr>
      <w:tr w:rsidR="002A27CA" w:rsidRPr="00C6165A" w14:paraId="75ACA8EB" w14:textId="77777777" w:rsidTr="002A27CA">
        <w:trPr>
          <w:trHeight w:val="300"/>
          <w:jc w:val="center"/>
        </w:trPr>
        <w:tc>
          <w:tcPr>
            <w:tcW w:w="4875" w:type="dxa"/>
            <w:gridSpan w:val="4"/>
            <w:shd w:val="clear" w:color="auto" w:fill="auto"/>
            <w:noWrap/>
            <w:vAlign w:val="center"/>
            <w:hideMark/>
          </w:tcPr>
          <w:p w14:paraId="273DAE1C" w14:textId="77777777" w:rsidR="002A27CA" w:rsidRPr="00C6165A" w:rsidRDefault="002A27CA" w:rsidP="002A27CA">
            <w:pPr>
              <w:jc w:val="left"/>
              <w:rPr>
                <w:sz w:val="22"/>
                <w:szCs w:val="22"/>
              </w:rPr>
            </w:pPr>
            <w:r w:rsidRPr="00C6165A">
              <w:rPr>
                <w:sz w:val="22"/>
                <w:szCs w:val="22"/>
              </w:rPr>
              <w:t>Corderos</w:t>
            </w:r>
          </w:p>
        </w:tc>
        <w:tc>
          <w:tcPr>
            <w:tcW w:w="1195" w:type="dxa"/>
            <w:tcBorders>
              <w:top w:val="nil"/>
              <w:left w:val="single" w:sz="4" w:space="0" w:color="auto"/>
              <w:bottom w:val="single" w:sz="4" w:space="0" w:color="auto"/>
              <w:right w:val="single" w:sz="4" w:space="0" w:color="auto"/>
            </w:tcBorders>
            <w:shd w:val="clear" w:color="auto" w:fill="auto"/>
            <w:noWrap/>
            <w:vAlign w:val="bottom"/>
          </w:tcPr>
          <w:p w14:paraId="044D289D" w14:textId="7900E4D2" w:rsidR="002A27CA" w:rsidRPr="00C6165A" w:rsidRDefault="002A27CA" w:rsidP="002A27CA">
            <w:pPr>
              <w:jc w:val="right"/>
              <w:rPr>
                <w:sz w:val="22"/>
                <w:szCs w:val="22"/>
              </w:rPr>
            </w:pPr>
            <w:r>
              <w:rPr>
                <w:sz w:val="22"/>
                <w:szCs w:val="22"/>
              </w:rPr>
              <w:t>434.651</w:t>
            </w:r>
          </w:p>
        </w:tc>
        <w:tc>
          <w:tcPr>
            <w:tcW w:w="1195" w:type="dxa"/>
            <w:tcBorders>
              <w:top w:val="nil"/>
              <w:left w:val="nil"/>
              <w:bottom w:val="single" w:sz="4" w:space="0" w:color="auto"/>
              <w:right w:val="single" w:sz="4" w:space="0" w:color="auto"/>
            </w:tcBorders>
            <w:shd w:val="clear" w:color="auto" w:fill="auto"/>
            <w:noWrap/>
            <w:vAlign w:val="bottom"/>
          </w:tcPr>
          <w:p w14:paraId="1F1BCA9B" w14:textId="16AC4C88" w:rsidR="002A27CA" w:rsidRPr="00C6165A" w:rsidRDefault="00066614" w:rsidP="002A27CA">
            <w:pPr>
              <w:jc w:val="right"/>
              <w:rPr>
                <w:sz w:val="22"/>
                <w:szCs w:val="22"/>
              </w:rPr>
            </w:pPr>
            <w:r>
              <w:rPr>
                <w:sz w:val="22"/>
                <w:szCs w:val="22"/>
              </w:rPr>
              <w:t>414.700</w:t>
            </w:r>
          </w:p>
        </w:tc>
        <w:tc>
          <w:tcPr>
            <w:tcW w:w="1207" w:type="dxa"/>
            <w:tcBorders>
              <w:top w:val="nil"/>
              <w:left w:val="nil"/>
              <w:bottom w:val="single" w:sz="4" w:space="0" w:color="auto"/>
              <w:right w:val="single" w:sz="4" w:space="0" w:color="auto"/>
            </w:tcBorders>
            <w:shd w:val="clear" w:color="auto" w:fill="auto"/>
            <w:noWrap/>
            <w:vAlign w:val="bottom"/>
          </w:tcPr>
          <w:p w14:paraId="08385F4C" w14:textId="2BE19ABB" w:rsidR="002A27CA" w:rsidRPr="00C6165A" w:rsidRDefault="00066614" w:rsidP="002A27CA">
            <w:pPr>
              <w:jc w:val="center"/>
              <w:rPr>
                <w:sz w:val="22"/>
                <w:szCs w:val="22"/>
              </w:rPr>
            </w:pPr>
            <w:r>
              <w:rPr>
                <w:sz w:val="22"/>
                <w:szCs w:val="22"/>
              </w:rPr>
              <w:t>-4,6%</w:t>
            </w:r>
          </w:p>
        </w:tc>
      </w:tr>
      <w:tr w:rsidR="00C6165A" w:rsidRPr="00C6165A" w14:paraId="4DA0ECBD" w14:textId="77777777" w:rsidTr="002A27CA">
        <w:trPr>
          <w:trHeight w:val="300"/>
          <w:jc w:val="center"/>
        </w:trPr>
        <w:tc>
          <w:tcPr>
            <w:tcW w:w="4875" w:type="dxa"/>
            <w:gridSpan w:val="4"/>
            <w:shd w:val="clear" w:color="auto" w:fill="auto"/>
            <w:noWrap/>
            <w:vAlign w:val="center"/>
            <w:hideMark/>
          </w:tcPr>
          <w:p w14:paraId="7BD9360E" w14:textId="77777777" w:rsidR="006E3240" w:rsidRPr="00C6165A" w:rsidRDefault="006E3240" w:rsidP="006E3240">
            <w:pPr>
              <w:jc w:val="left"/>
              <w:rPr>
                <w:sz w:val="22"/>
                <w:szCs w:val="22"/>
              </w:rPr>
            </w:pPr>
            <w:r w:rsidRPr="00C6165A">
              <w:rPr>
                <w:sz w:val="22"/>
                <w:szCs w:val="22"/>
              </w:rPr>
              <w:t>Sementales</w:t>
            </w:r>
          </w:p>
        </w:tc>
        <w:tc>
          <w:tcPr>
            <w:tcW w:w="1195" w:type="dxa"/>
            <w:tcBorders>
              <w:top w:val="nil"/>
              <w:left w:val="single" w:sz="4" w:space="0" w:color="auto"/>
              <w:bottom w:val="single" w:sz="4" w:space="0" w:color="auto"/>
              <w:right w:val="single" w:sz="4" w:space="0" w:color="auto"/>
            </w:tcBorders>
            <w:shd w:val="clear" w:color="auto" w:fill="auto"/>
            <w:noWrap/>
            <w:vAlign w:val="bottom"/>
          </w:tcPr>
          <w:p w14:paraId="56FBAC7F" w14:textId="61F51314" w:rsidR="002A27CA" w:rsidRPr="00C6165A" w:rsidRDefault="002A27CA" w:rsidP="002A27CA">
            <w:pPr>
              <w:jc w:val="right"/>
              <w:rPr>
                <w:sz w:val="22"/>
                <w:szCs w:val="22"/>
              </w:rPr>
            </w:pPr>
            <w:r>
              <w:rPr>
                <w:sz w:val="22"/>
                <w:szCs w:val="22"/>
              </w:rPr>
              <w:t>54.782</w:t>
            </w:r>
          </w:p>
        </w:tc>
        <w:tc>
          <w:tcPr>
            <w:tcW w:w="1195" w:type="dxa"/>
            <w:tcBorders>
              <w:top w:val="nil"/>
              <w:left w:val="nil"/>
              <w:bottom w:val="single" w:sz="4" w:space="0" w:color="auto"/>
              <w:right w:val="single" w:sz="4" w:space="0" w:color="auto"/>
            </w:tcBorders>
            <w:shd w:val="clear" w:color="auto" w:fill="auto"/>
            <w:noWrap/>
            <w:vAlign w:val="bottom"/>
          </w:tcPr>
          <w:p w14:paraId="10157641" w14:textId="496BE469" w:rsidR="006E3240" w:rsidRPr="00C6165A" w:rsidRDefault="00066614" w:rsidP="006E3240">
            <w:pPr>
              <w:jc w:val="right"/>
              <w:rPr>
                <w:sz w:val="22"/>
                <w:szCs w:val="22"/>
              </w:rPr>
            </w:pPr>
            <w:r>
              <w:rPr>
                <w:sz w:val="22"/>
                <w:szCs w:val="22"/>
              </w:rPr>
              <w:t>54.120</w:t>
            </w:r>
          </w:p>
        </w:tc>
        <w:tc>
          <w:tcPr>
            <w:tcW w:w="1207" w:type="dxa"/>
            <w:tcBorders>
              <w:top w:val="nil"/>
              <w:left w:val="nil"/>
              <w:bottom w:val="single" w:sz="4" w:space="0" w:color="auto"/>
              <w:right w:val="single" w:sz="4" w:space="0" w:color="auto"/>
            </w:tcBorders>
            <w:shd w:val="clear" w:color="auto" w:fill="auto"/>
            <w:noWrap/>
            <w:vAlign w:val="bottom"/>
          </w:tcPr>
          <w:p w14:paraId="22666798" w14:textId="183D909A" w:rsidR="006E3240" w:rsidRPr="00C6165A" w:rsidRDefault="00066614" w:rsidP="006E3240">
            <w:pPr>
              <w:jc w:val="center"/>
              <w:rPr>
                <w:sz w:val="22"/>
                <w:szCs w:val="22"/>
              </w:rPr>
            </w:pPr>
            <w:r>
              <w:rPr>
                <w:sz w:val="22"/>
                <w:szCs w:val="22"/>
              </w:rPr>
              <w:t>-1,2%</w:t>
            </w:r>
          </w:p>
        </w:tc>
      </w:tr>
      <w:tr w:rsidR="00C6165A" w:rsidRPr="00C6165A" w14:paraId="5A458517" w14:textId="77777777" w:rsidTr="002A27CA">
        <w:trPr>
          <w:trHeight w:val="300"/>
          <w:jc w:val="center"/>
        </w:trPr>
        <w:tc>
          <w:tcPr>
            <w:tcW w:w="1271" w:type="dxa"/>
            <w:vMerge w:val="restart"/>
            <w:shd w:val="clear" w:color="auto" w:fill="auto"/>
            <w:noWrap/>
            <w:vAlign w:val="center"/>
            <w:hideMark/>
          </w:tcPr>
          <w:p w14:paraId="31A6E32E" w14:textId="77777777" w:rsidR="006E3240" w:rsidRPr="00C6165A" w:rsidRDefault="006E3240" w:rsidP="006E3240">
            <w:pPr>
              <w:jc w:val="left"/>
              <w:rPr>
                <w:sz w:val="22"/>
                <w:szCs w:val="22"/>
              </w:rPr>
            </w:pPr>
            <w:r w:rsidRPr="00C6165A">
              <w:rPr>
                <w:sz w:val="22"/>
                <w:szCs w:val="22"/>
              </w:rPr>
              <w:t>Hembras para vida</w:t>
            </w:r>
          </w:p>
        </w:tc>
        <w:tc>
          <w:tcPr>
            <w:tcW w:w="3604" w:type="dxa"/>
            <w:gridSpan w:val="3"/>
            <w:shd w:val="clear" w:color="auto" w:fill="auto"/>
            <w:noWrap/>
            <w:vAlign w:val="center"/>
            <w:hideMark/>
          </w:tcPr>
          <w:p w14:paraId="6A66315A" w14:textId="77777777" w:rsidR="006E3240" w:rsidRPr="00C6165A" w:rsidRDefault="006E3240" w:rsidP="006E3240">
            <w:pPr>
              <w:jc w:val="left"/>
              <w:rPr>
                <w:i/>
                <w:sz w:val="22"/>
                <w:szCs w:val="22"/>
              </w:rPr>
            </w:pPr>
            <w:proofErr w:type="gramStart"/>
            <w:r w:rsidRPr="00C6165A">
              <w:rPr>
                <w:i/>
                <w:sz w:val="22"/>
                <w:szCs w:val="22"/>
              </w:rPr>
              <w:t>Total</w:t>
            </w:r>
            <w:proofErr w:type="gramEnd"/>
            <w:r w:rsidRPr="00C6165A">
              <w:rPr>
                <w:i/>
                <w:sz w:val="22"/>
                <w:szCs w:val="22"/>
              </w:rPr>
              <w:t xml:space="preserve"> hembras para vida</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03B22" w14:textId="3CE203B1" w:rsidR="006E3240" w:rsidRPr="00C6165A" w:rsidRDefault="00066614" w:rsidP="00E15FD9">
            <w:pPr>
              <w:jc w:val="center"/>
              <w:rPr>
                <w:i/>
                <w:sz w:val="22"/>
                <w:szCs w:val="22"/>
              </w:rPr>
            </w:pPr>
            <w:r>
              <w:rPr>
                <w:i/>
                <w:sz w:val="22"/>
                <w:szCs w:val="22"/>
              </w:rPr>
              <w:t>1.941.431</w:t>
            </w:r>
          </w:p>
        </w:tc>
        <w:tc>
          <w:tcPr>
            <w:tcW w:w="1195" w:type="dxa"/>
            <w:tcBorders>
              <w:top w:val="single" w:sz="4" w:space="0" w:color="auto"/>
              <w:left w:val="nil"/>
              <w:bottom w:val="single" w:sz="4" w:space="0" w:color="auto"/>
              <w:right w:val="single" w:sz="4" w:space="0" w:color="auto"/>
            </w:tcBorders>
            <w:shd w:val="clear" w:color="auto" w:fill="auto"/>
            <w:noWrap/>
            <w:vAlign w:val="center"/>
          </w:tcPr>
          <w:p w14:paraId="6B6987B4" w14:textId="4299A2DA" w:rsidR="006E3240" w:rsidRPr="00C6165A" w:rsidRDefault="00066614" w:rsidP="00E15FD9">
            <w:pPr>
              <w:jc w:val="center"/>
              <w:rPr>
                <w:i/>
                <w:iCs/>
                <w:sz w:val="22"/>
                <w:szCs w:val="22"/>
                <w:lang w:eastAsia="es-ES"/>
              </w:rPr>
            </w:pPr>
            <w:r>
              <w:rPr>
                <w:i/>
                <w:iCs/>
                <w:sz w:val="22"/>
                <w:szCs w:val="22"/>
                <w:lang w:eastAsia="es-ES"/>
              </w:rPr>
              <w:t>1.820.409</w:t>
            </w:r>
          </w:p>
        </w:tc>
        <w:tc>
          <w:tcPr>
            <w:tcW w:w="1207" w:type="dxa"/>
            <w:tcBorders>
              <w:top w:val="single" w:sz="4" w:space="0" w:color="auto"/>
              <w:left w:val="nil"/>
              <w:bottom w:val="single" w:sz="4" w:space="0" w:color="auto"/>
              <w:right w:val="single" w:sz="4" w:space="0" w:color="auto"/>
            </w:tcBorders>
            <w:shd w:val="clear" w:color="auto" w:fill="auto"/>
            <w:noWrap/>
            <w:vAlign w:val="center"/>
          </w:tcPr>
          <w:p w14:paraId="4A87E413" w14:textId="5A8A8B4E" w:rsidR="006E3240" w:rsidRPr="00C6165A" w:rsidRDefault="00066614" w:rsidP="00E15FD9">
            <w:pPr>
              <w:jc w:val="center"/>
              <w:rPr>
                <w:sz w:val="22"/>
                <w:szCs w:val="22"/>
                <w:lang w:eastAsia="es-ES"/>
              </w:rPr>
            </w:pPr>
            <w:r>
              <w:rPr>
                <w:sz w:val="22"/>
                <w:szCs w:val="22"/>
                <w:lang w:eastAsia="es-ES"/>
              </w:rPr>
              <w:t>-6,2%</w:t>
            </w:r>
          </w:p>
        </w:tc>
      </w:tr>
      <w:tr w:rsidR="00C6165A" w:rsidRPr="00C6165A" w14:paraId="0FE000B0" w14:textId="77777777" w:rsidTr="002A27CA">
        <w:trPr>
          <w:trHeight w:val="300"/>
          <w:jc w:val="center"/>
        </w:trPr>
        <w:tc>
          <w:tcPr>
            <w:tcW w:w="1271" w:type="dxa"/>
            <w:vMerge/>
            <w:shd w:val="clear" w:color="auto" w:fill="auto"/>
            <w:noWrap/>
            <w:vAlign w:val="center"/>
            <w:hideMark/>
          </w:tcPr>
          <w:p w14:paraId="380FBB8B" w14:textId="77777777" w:rsidR="00727F37" w:rsidRPr="00C6165A" w:rsidRDefault="00727F37" w:rsidP="00727F37">
            <w:pPr>
              <w:jc w:val="left"/>
              <w:rPr>
                <w:sz w:val="22"/>
                <w:szCs w:val="22"/>
              </w:rPr>
            </w:pPr>
          </w:p>
        </w:tc>
        <w:tc>
          <w:tcPr>
            <w:tcW w:w="1134" w:type="dxa"/>
            <w:vMerge w:val="restart"/>
            <w:shd w:val="clear" w:color="auto" w:fill="auto"/>
            <w:noWrap/>
            <w:vAlign w:val="center"/>
            <w:hideMark/>
          </w:tcPr>
          <w:p w14:paraId="4E9A8475" w14:textId="77777777" w:rsidR="00727F37" w:rsidRPr="00C6165A" w:rsidRDefault="00727F37" w:rsidP="00727F37">
            <w:pPr>
              <w:jc w:val="left"/>
              <w:rPr>
                <w:sz w:val="22"/>
                <w:szCs w:val="22"/>
              </w:rPr>
            </w:pPr>
            <w:r w:rsidRPr="00C6165A">
              <w:rPr>
                <w:sz w:val="22"/>
                <w:szCs w:val="22"/>
              </w:rPr>
              <w:t>Nunca han parido</w:t>
            </w:r>
          </w:p>
        </w:tc>
        <w:tc>
          <w:tcPr>
            <w:tcW w:w="2470" w:type="dxa"/>
            <w:gridSpan w:val="2"/>
            <w:shd w:val="clear" w:color="auto" w:fill="auto"/>
            <w:noWrap/>
            <w:vAlign w:val="center"/>
            <w:hideMark/>
          </w:tcPr>
          <w:p w14:paraId="18D868DA" w14:textId="77777777" w:rsidR="00727F37" w:rsidRPr="00C6165A" w:rsidRDefault="00727F37" w:rsidP="00727F37">
            <w:pPr>
              <w:jc w:val="left"/>
              <w:rPr>
                <w:sz w:val="22"/>
                <w:szCs w:val="22"/>
              </w:rPr>
            </w:pPr>
            <w:r w:rsidRPr="00C6165A">
              <w:rPr>
                <w:sz w:val="22"/>
                <w:szCs w:val="22"/>
              </w:rPr>
              <w:t>No cubiertas</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B3FB3" w14:textId="53FA321F" w:rsidR="00727F37" w:rsidRPr="00C6165A" w:rsidRDefault="00066614" w:rsidP="00E15FD9">
            <w:pPr>
              <w:jc w:val="center"/>
              <w:rPr>
                <w:sz w:val="22"/>
                <w:szCs w:val="22"/>
              </w:rPr>
            </w:pPr>
            <w:r>
              <w:rPr>
                <w:sz w:val="22"/>
                <w:szCs w:val="22"/>
              </w:rPr>
              <w:t>19.412</w:t>
            </w:r>
          </w:p>
        </w:tc>
        <w:tc>
          <w:tcPr>
            <w:tcW w:w="1195" w:type="dxa"/>
            <w:tcBorders>
              <w:top w:val="single" w:sz="4" w:space="0" w:color="auto"/>
              <w:left w:val="nil"/>
              <w:bottom w:val="single" w:sz="4" w:space="0" w:color="auto"/>
              <w:right w:val="single" w:sz="4" w:space="0" w:color="auto"/>
            </w:tcBorders>
            <w:shd w:val="clear" w:color="auto" w:fill="auto"/>
            <w:noWrap/>
            <w:vAlign w:val="center"/>
          </w:tcPr>
          <w:p w14:paraId="19077AF7" w14:textId="00687279" w:rsidR="00727F37" w:rsidRPr="00C6165A" w:rsidRDefault="00066614" w:rsidP="00E15FD9">
            <w:pPr>
              <w:jc w:val="center"/>
              <w:rPr>
                <w:sz w:val="22"/>
                <w:szCs w:val="22"/>
                <w:lang w:eastAsia="es-ES"/>
              </w:rPr>
            </w:pPr>
            <w:r>
              <w:rPr>
                <w:sz w:val="22"/>
                <w:szCs w:val="22"/>
                <w:lang w:eastAsia="es-ES"/>
              </w:rPr>
              <w:t>18.206</w:t>
            </w:r>
          </w:p>
        </w:tc>
        <w:tc>
          <w:tcPr>
            <w:tcW w:w="1207" w:type="dxa"/>
            <w:tcBorders>
              <w:top w:val="single" w:sz="4" w:space="0" w:color="auto"/>
              <w:left w:val="nil"/>
              <w:bottom w:val="single" w:sz="4" w:space="0" w:color="auto"/>
              <w:right w:val="single" w:sz="4" w:space="0" w:color="auto"/>
            </w:tcBorders>
            <w:shd w:val="clear" w:color="auto" w:fill="auto"/>
            <w:noWrap/>
            <w:vAlign w:val="center"/>
          </w:tcPr>
          <w:p w14:paraId="4F050D67" w14:textId="1407A2A3" w:rsidR="00727F37" w:rsidRPr="00C6165A" w:rsidRDefault="00066614" w:rsidP="00E15FD9">
            <w:pPr>
              <w:jc w:val="center"/>
              <w:rPr>
                <w:sz w:val="22"/>
                <w:szCs w:val="22"/>
                <w:lang w:eastAsia="es-ES"/>
              </w:rPr>
            </w:pPr>
            <w:r>
              <w:rPr>
                <w:sz w:val="22"/>
                <w:szCs w:val="22"/>
                <w:lang w:eastAsia="es-ES"/>
              </w:rPr>
              <w:t>-6,2%</w:t>
            </w:r>
          </w:p>
        </w:tc>
      </w:tr>
      <w:tr w:rsidR="00C6165A" w:rsidRPr="00C6165A" w14:paraId="3327062E" w14:textId="77777777" w:rsidTr="00DC4F14">
        <w:trPr>
          <w:trHeight w:val="300"/>
          <w:jc w:val="center"/>
        </w:trPr>
        <w:tc>
          <w:tcPr>
            <w:tcW w:w="1271" w:type="dxa"/>
            <w:vMerge/>
            <w:shd w:val="clear" w:color="auto" w:fill="auto"/>
            <w:noWrap/>
            <w:vAlign w:val="center"/>
            <w:hideMark/>
          </w:tcPr>
          <w:p w14:paraId="1F87125E" w14:textId="77777777" w:rsidR="00241E51" w:rsidRPr="00C6165A" w:rsidRDefault="00241E51" w:rsidP="00241E51">
            <w:pPr>
              <w:jc w:val="left"/>
              <w:rPr>
                <w:sz w:val="22"/>
                <w:szCs w:val="22"/>
              </w:rPr>
            </w:pPr>
          </w:p>
        </w:tc>
        <w:tc>
          <w:tcPr>
            <w:tcW w:w="1134" w:type="dxa"/>
            <w:vMerge/>
            <w:shd w:val="clear" w:color="auto" w:fill="auto"/>
            <w:noWrap/>
            <w:vAlign w:val="center"/>
            <w:hideMark/>
          </w:tcPr>
          <w:p w14:paraId="1BD85CFE" w14:textId="77777777" w:rsidR="00241E51" w:rsidRPr="00C6165A" w:rsidRDefault="00241E51" w:rsidP="00241E51">
            <w:pPr>
              <w:jc w:val="left"/>
              <w:rPr>
                <w:sz w:val="22"/>
                <w:szCs w:val="22"/>
              </w:rPr>
            </w:pPr>
          </w:p>
        </w:tc>
        <w:tc>
          <w:tcPr>
            <w:tcW w:w="1276" w:type="dxa"/>
            <w:vMerge w:val="restart"/>
            <w:shd w:val="clear" w:color="auto" w:fill="auto"/>
            <w:noWrap/>
            <w:vAlign w:val="center"/>
            <w:hideMark/>
          </w:tcPr>
          <w:p w14:paraId="567442A1" w14:textId="77777777" w:rsidR="00241E51" w:rsidRPr="00C6165A" w:rsidRDefault="00241E51" w:rsidP="00241E51">
            <w:pPr>
              <w:jc w:val="left"/>
              <w:rPr>
                <w:sz w:val="22"/>
                <w:szCs w:val="22"/>
              </w:rPr>
            </w:pPr>
            <w:r w:rsidRPr="00C6165A">
              <w:rPr>
                <w:sz w:val="22"/>
                <w:szCs w:val="22"/>
              </w:rPr>
              <w:t>Cubiertas 1ª vez</w:t>
            </w:r>
          </w:p>
        </w:tc>
        <w:tc>
          <w:tcPr>
            <w:tcW w:w="1194" w:type="dxa"/>
            <w:shd w:val="clear" w:color="auto" w:fill="auto"/>
            <w:noWrap/>
            <w:vAlign w:val="center"/>
            <w:hideMark/>
          </w:tcPr>
          <w:p w14:paraId="452D09D5" w14:textId="77777777" w:rsidR="00241E51" w:rsidRPr="00C6165A" w:rsidRDefault="00241E51" w:rsidP="00241E51">
            <w:pPr>
              <w:jc w:val="left"/>
              <w:rPr>
                <w:sz w:val="22"/>
                <w:szCs w:val="22"/>
              </w:rPr>
            </w:pPr>
            <w:r w:rsidRPr="00C6165A">
              <w:rPr>
                <w:sz w:val="22"/>
                <w:szCs w:val="22"/>
              </w:rPr>
              <w:t>Ordeño</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F0712" w14:textId="6EC75C73" w:rsidR="00241E51" w:rsidRPr="00C6165A" w:rsidRDefault="00066614" w:rsidP="00E15FD9">
            <w:pPr>
              <w:jc w:val="center"/>
              <w:rPr>
                <w:sz w:val="22"/>
                <w:szCs w:val="22"/>
              </w:rPr>
            </w:pPr>
            <w:r>
              <w:rPr>
                <w:sz w:val="22"/>
                <w:szCs w:val="22"/>
              </w:rPr>
              <w:t>44.451</w:t>
            </w:r>
          </w:p>
        </w:tc>
        <w:tc>
          <w:tcPr>
            <w:tcW w:w="1195" w:type="dxa"/>
            <w:tcBorders>
              <w:top w:val="single" w:sz="4" w:space="0" w:color="auto"/>
              <w:left w:val="nil"/>
              <w:bottom w:val="single" w:sz="4" w:space="0" w:color="auto"/>
              <w:right w:val="single" w:sz="4" w:space="0" w:color="auto"/>
            </w:tcBorders>
            <w:shd w:val="clear" w:color="auto" w:fill="auto"/>
            <w:noWrap/>
            <w:vAlign w:val="center"/>
          </w:tcPr>
          <w:p w14:paraId="661F1D72" w14:textId="7C7244D3" w:rsidR="00241E51" w:rsidRPr="00C6165A" w:rsidRDefault="00066614" w:rsidP="00E15FD9">
            <w:pPr>
              <w:jc w:val="center"/>
              <w:rPr>
                <w:sz w:val="22"/>
                <w:szCs w:val="22"/>
              </w:rPr>
            </w:pPr>
            <w:r>
              <w:rPr>
                <w:sz w:val="22"/>
                <w:szCs w:val="22"/>
              </w:rPr>
              <w:t>41.302</w:t>
            </w:r>
          </w:p>
        </w:tc>
        <w:tc>
          <w:tcPr>
            <w:tcW w:w="1207" w:type="dxa"/>
            <w:tcBorders>
              <w:top w:val="single" w:sz="4" w:space="0" w:color="auto"/>
              <w:left w:val="nil"/>
              <w:bottom w:val="single" w:sz="4" w:space="0" w:color="auto"/>
              <w:right w:val="single" w:sz="4" w:space="0" w:color="auto"/>
            </w:tcBorders>
            <w:shd w:val="clear" w:color="auto" w:fill="auto"/>
            <w:noWrap/>
            <w:vAlign w:val="center"/>
          </w:tcPr>
          <w:p w14:paraId="52B98B6F" w14:textId="3DCEEC24" w:rsidR="00241E51" w:rsidRPr="00C6165A" w:rsidRDefault="00066614" w:rsidP="00E15FD9">
            <w:pPr>
              <w:jc w:val="center"/>
              <w:rPr>
                <w:sz w:val="22"/>
                <w:szCs w:val="22"/>
              </w:rPr>
            </w:pPr>
            <w:r>
              <w:rPr>
                <w:sz w:val="22"/>
                <w:szCs w:val="22"/>
              </w:rPr>
              <w:t>-7,1%</w:t>
            </w:r>
          </w:p>
        </w:tc>
      </w:tr>
      <w:tr w:rsidR="00C6165A" w:rsidRPr="00C6165A" w14:paraId="626C1E31" w14:textId="77777777" w:rsidTr="00DC4F14">
        <w:trPr>
          <w:trHeight w:val="300"/>
          <w:jc w:val="center"/>
        </w:trPr>
        <w:tc>
          <w:tcPr>
            <w:tcW w:w="1271" w:type="dxa"/>
            <w:vMerge/>
            <w:shd w:val="clear" w:color="auto" w:fill="auto"/>
            <w:noWrap/>
            <w:vAlign w:val="center"/>
            <w:hideMark/>
          </w:tcPr>
          <w:p w14:paraId="7B24D8EA" w14:textId="77777777" w:rsidR="00241E51" w:rsidRPr="00C6165A" w:rsidRDefault="00241E51" w:rsidP="00241E51">
            <w:pPr>
              <w:jc w:val="left"/>
              <w:rPr>
                <w:sz w:val="22"/>
                <w:szCs w:val="22"/>
              </w:rPr>
            </w:pPr>
          </w:p>
        </w:tc>
        <w:tc>
          <w:tcPr>
            <w:tcW w:w="1134" w:type="dxa"/>
            <w:vMerge/>
            <w:shd w:val="clear" w:color="auto" w:fill="auto"/>
            <w:noWrap/>
            <w:vAlign w:val="center"/>
            <w:hideMark/>
          </w:tcPr>
          <w:p w14:paraId="4FA290C7" w14:textId="77777777" w:rsidR="00241E51" w:rsidRPr="00C6165A" w:rsidRDefault="00241E51" w:rsidP="00241E51">
            <w:pPr>
              <w:jc w:val="left"/>
              <w:rPr>
                <w:sz w:val="22"/>
                <w:szCs w:val="22"/>
              </w:rPr>
            </w:pPr>
          </w:p>
        </w:tc>
        <w:tc>
          <w:tcPr>
            <w:tcW w:w="1276" w:type="dxa"/>
            <w:vMerge/>
            <w:shd w:val="clear" w:color="auto" w:fill="auto"/>
            <w:noWrap/>
            <w:vAlign w:val="center"/>
            <w:hideMark/>
          </w:tcPr>
          <w:p w14:paraId="2A99013B" w14:textId="77777777" w:rsidR="00241E51" w:rsidRPr="00C6165A" w:rsidRDefault="00241E51" w:rsidP="00241E51">
            <w:pPr>
              <w:jc w:val="left"/>
              <w:rPr>
                <w:sz w:val="22"/>
                <w:szCs w:val="22"/>
              </w:rPr>
            </w:pPr>
          </w:p>
        </w:tc>
        <w:tc>
          <w:tcPr>
            <w:tcW w:w="1194" w:type="dxa"/>
            <w:shd w:val="clear" w:color="auto" w:fill="auto"/>
            <w:noWrap/>
            <w:vAlign w:val="center"/>
            <w:hideMark/>
          </w:tcPr>
          <w:p w14:paraId="4AD0ED3B" w14:textId="77777777" w:rsidR="00241E51" w:rsidRPr="00C6165A" w:rsidRDefault="00241E51" w:rsidP="00241E51">
            <w:pPr>
              <w:jc w:val="left"/>
              <w:rPr>
                <w:sz w:val="22"/>
                <w:szCs w:val="22"/>
              </w:rPr>
            </w:pPr>
            <w:r w:rsidRPr="00C6165A">
              <w:rPr>
                <w:sz w:val="22"/>
                <w:szCs w:val="22"/>
              </w:rPr>
              <w:t>No ordeño</w:t>
            </w:r>
          </w:p>
        </w:tc>
        <w:tc>
          <w:tcPr>
            <w:tcW w:w="1195" w:type="dxa"/>
            <w:tcBorders>
              <w:top w:val="nil"/>
              <w:left w:val="single" w:sz="4" w:space="0" w:color="auto"/>
              <w:bottom w:val="single" w:sz="4" w:space="0" w:color="auto"/>
              <w:right w:val="single" w:sz="4" w:space="0" w:color="auto"/>
            </w:tcBorders>
            <w:shd w:val="clear" w:color="auto" w:fill="auto"/>
            <w:noWrap/>
            <w:vAlign w:val="center"/>
          </w:tcPr>
          <w:p w14:paraId="4C29BE22" w14:textId="7ADCDFC0" w:rsidR="00241E51" w:rsidRPr="00C6165A" w:rsidRDefault="00066614" w:rsidP="00E15FD9">
            <w:pPr>
              <w:jc w:val="center"/>
              <w:rPr>
                <w:sz w:val="22"/>
                <w:szCs w:val="22"/>
              </w:rPr>
            </w:pPr>
            <w:r>
              <w:rPr>
                <w:sz w:val="22"/>
                <w:szCs w:val="22"/>
              </w:rPr>
              <w:t>84.194</w:t>
            </w:r>
          </w:p>
        </w:tc>
        <w:tc>
          <w:tcPr>
            <w:tcW w:w="1195" w:type="dxa"/>
            <w:tcBorders>
              <w:top w:val="nil"/>
              <w:left w:val="nil"/>
              <w:bottom w:val="single" w:sz="4" w:space="0" w:color="auto"/>
              <w:right w:val="single" w:sz="4" w:space="0" w:color="auto"/>
            </w:tcBorders>
            <w:shd w:val="clear" w:color="auto" w:fill="auto"/>
            <w:noWrap/>
            <w:vAlign w:val="center"/>
          </w:tcPr>
          <w:p w14:paraId="7870060D" w14:textId="01051246" w:rsidR="00241E51" w:rsidRPr="00C6165A" w:rsidRDefault="00066614" w:rsidP="00E15FD9">
            <w:pPr>
              <w:jc w:val="center"/>
              <w:rPr>
                <w:sz w:val="22"/>
                <w:szCs w:val="22"/>
              </w:rPr>
            </w:pPr>
            <w:r>
              <w:rPr>
                <w:sz w:val="22"/>
                <w:szCs w:val="22"/>
              </w:rPr>
              <w:t>79.550</w:t>
            </w:r>
          </w:p>
        </w:tc>
        <w:tc>
          <w:tcPr>
            <w:tcW w:w="1207" w:type="dxa"/>
            <w:tcBorders>
              <w:top w:val="nil"/>
              <w:left w:val="nil"/>
              <w:bottom w:val="single" w:sz="4" w:space="0" w:color="auto"/>
              <w:right w:val="single" w:sz="4" w:space="0" w:color="auto"/>
            </w:tcBorders>
            <w:shd w:val="clear" w:color="auto" w:fill="auto"/>
            <w:noWrap/>
            <w:vAlign w:val="center"/>
          </w:tcPr>
          <w:p w14:paraId="7CA5098B" w14:textId="612680B5" w:rsidR="00241E51" w:rsidRPr="00C6165A" w:rsidRDefault="00066614" w:rsidP="00E15FD9">
            <w:pPr>
              <w:jc w:val="center"/>
              <w:rPr>
                <w:sz w:val="22"/>
                <w:szCs w:val="22"/>
              </w:rPr>
            </w:pPr>
            <w:r>
              <w:rPr>
                <w:sz w:val="22"/>
                <w:szCs w:val="22"/>
              </w:rPr>
              <w:t>-5,5%</w:t>
            </w:r>
          </w:p>
        </w:tc>
      </w:tr>
      <w:tr w:rsidR="00C6165A" w:rsidRPr="00C6165A" w14:paraId="519087B9" w14:textId="77777777" w:rsidTr="002A27CA">
        <w:trPr>
          <w:trHeight w:val="300"/>
          <w:jc w:val="center"/>
        </w:trPr>
        <w:tc>
          <w:tcPr>
            <w:tcW w:w="1271" w:type="dxa"/>
            <w:vMerge/>
            <w:shd w:val="clear" w:color="auto" w:fill="auto"/>
            <w:noWrap/>
            <w:vAlign w:val="center"/>
            <w:hideMark/>
          </w:tcPr>
          <w:p w14:paraId="68CF3203" w14:textId="77777777" w:rsidR="00241E51" w:rsidRPr="00C6165A" w:rsidRDefault="00241E51" w:rsidP="00241E51">
            <w:pPr>
              <w:jc w:val="left"/>
              <w:rPr>
                <w:sz w:val="22"/>
                <w:szCs w:val="22"/>
              </w:rPr>
            </w:pPr>
          </w:p>
        </w:tc>
        <w:tc>
          <w:tcPr>
            <w:tcW w:w="2410" w:type="dxa"/>
            <w:gridSpan w:val="2"/>
            <w:vMerge w:val="restart"/>
            <w:shd w:val="clear" w:color="auto" w:fill="auto"/>
            <w:noWrap/>
            <w:vAlign w:val="center"/>
            <w:hideMark/>
          </w:tcPr>
          <w:p w14:paraId="6FBE92BA" w14:textId="77777777" w:rsidR="00241E51" w:rsidRPr="00C6165A" w:rsidRDefault="00241E51" w:rsidP="00241E51">
            <w:pPr>
              <w:jc w:val="left"/>
              <w:rPr>
                <w:sz w:val="22"/>
                <w:szCs w:val="22"/>
              </w:rPr>
            </w:pPr>
            <w:r w:rsidRPr="00C6165A">
              <w:rPr>
                <w:sz w:val="22"/>
                <w:szCs w:val="22"/>
              </w:rPr>
              <w:t>Que ya han parido</w:t>
            </w:r>
          </w:p>
        </w:tc>
        <w:tc>
          <w:tcPr>
            <w:tcW w:w="1194" w:type="dxa"/>
            <w:shd w:val="clear" w:color="auto" w:fill="auto"/>
            <w:noWrap/>
            <w:vAlign w:val="center"/>
            <w:hideMark/>
          </w:tcPr>
          <w:p w14:paraId="7D0FCA26" w14:textId="77777777" w:rsidR="00241E51" w:rsidRPr="00C6165A" w:rsidRDefault="00241E51" w:rsidP="00241E51">
            <w:pPr>
              <w:jc w:val="left"/>
              <w:rPr>
                <w:sz w:val="22"/>
                <w:szCs w:val="22"/>
              </w:rPr>
            </w:pPr>
            <w:r w:rsidRPr="00C6165A">
              <w:rPr>
                <w:sz w:val="22"/>
                <w:szCs w:val="22"/>
              </w:rPr>
              <w:t>Ordeño</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CB1940" w14:textId="065B9333" w:rsidR="00241E51" w:rsidRPr="00C6165A" w:rsidRDefault="00066614" w:rsidP="00E15FD9">
            <w:pPr>
              <w:jc w:val="center"/>
              <w:rPr>
                <w:sz w:val="22"/>
                <w:szCs w:val="22"/>
              </w:rPr>
            </w:pPr>
            <w:r>
              <w:rPr>
                <w:sz w:val="22"/>
                <w:szCs w:val="22"/>
              </w:rPr>
              <w:t>835.672</w:t>
            </w:r>
          </w:p>
        </w:tc>
        <w:tc>
          <w:tcPr>
            <w:tcW w:w="1195" w:type="dxa"/>
            <w:tcBorders>
              <w:top w:val="single" w:sz="4" w:space="0" w:color="auto"/>
              <w:left w:val="nil"/>
              <w:bottom w:val="single" w:sz="4" w:space="0" w:color="auto"/>
              <w:right w:val="single" w:sz="4" w:space="0" w:color="auto"/>
            </w:tcBorders>
            <w:shd w:val="clear" w:color="auto" w:fill="auto"/>
            <w:noWrap/>
            <w:vAlign w:val="center"/>
          </w:tcPr>
          <w:p w14:paraId="4794996C" w14:textId="1304D84D" w:rsidR="00241E51" w:rsidRPr="00C6165A" w:rsidRDefault="00066614" w:rsidP="00E15FD9">
            <w:pPr>
              <w:jc w:val="center"/>
              <w:rPr>
                <w:sz w:val="22"/>
                <w:szCs w:val="22"/>
              </w:rPr>
            </w:pPr>
            <w:r>
              <w:rPr>
                <w:sz w:val="22"/>
                <w:szCs w:val="22"/>
              </w:rPr>
              <w:t>776.467</w:t>
            </w:r>
          </w:p>
        </w:tc>
        <w:tc>
          <w:tcPr>
            <w:tcW w:w="1207" w:type="dxa"/>
            <w:tcBorders>
              <w:top w:val="single" w:sz="4" w:space="0" w:color="auto"/>
              <w:left w:val="nil"/>
              <w:bottom w:val="single" w:sz="4" w:space="0" w:color="auto"/>
              <w:right w:val="single" w:sz="4" w:space="0" w:color="auto"/>
            </w:tcBorders>
            <w:shd w:val="clear" w:color="auto" w:fill="auto"/>
            <w:noWrap/>
            <w:vAlign w:val="center"/>
          </w:tcPr>
          <w:p w14:paraId="2ACE90AA" w14:textId="2353630C" w:rsidR="00241E51" w:rsidRPr="00C6165A" w:rsidRDefault="00066614" w:rsidP="00E15FD9">
            <w:pPr>
              <w:jc w:val="center"/>
              <w:rPr>
                <w:sz w:val="22"/>
                <w:szCs w:val="22"/>
              </w:rPr>
            </w:pPr>
            <w:r>
              <w:rPr>
                <w:sz w:val="22"/>
                <w:szCs w:val="22"/>
              </w:rPr>
              <w:t>-7,1%</w:t>
            </w:r>
          </w:p>
        </w:tc>
      </w:tr>
      <w:tr w:rsidR="00C6165A" w:rsidRPr="00C6165A" w14:paraId="680288A3" w14:textId="77777777" w:rsidTr="002A27CA">
        <w:trPr>
          <w:trHeight w:val="300"/>
          <w:jc w:val="center"/>
        </w:trPr>
        <w:tc>
          <w:tcPr>
            <w:tcW w:w="1271" w:type="dxa"/>
            <w:vMerge/>
            <w:shd w:val="clear" w:color="auto" w:fill="auto"/>
            <w:noWrap/>
            <w:vAlign w:val="center"/>
            <w:hideMark/>
          </w:tcPr>
          <w:p w14:paraId="30B3A65D" w14:textId="77777777" w:rsidR="00241E51" w:rsidRPr="00C6165A" w:rsidRDefault="00241E51" w:rsidP="00241E51">
            <w:pPr>
              <w:jc w:val="left"/>
              <w:rPr>
                <w:sz w:val="22"/>
                <w:szCs w:val="22"/>
              </w:rPr>
            </w:pPr>
          </w:p>
        </w:tc>
        <w:tc>
          <w:tcPr>
            <w:tcW w:w="2410" w:type="dxa"/>
            <w:gridSpan w:val="2"/>
            <w:vMerge/>
            <w:shd w:val="clear" w:color="auto" w:fill="auto"/>
            <w:noWrap/>
            <w:vAlign w:val="center"/>
            <w:hideMark/>
          </w:tcPr>
          <w:p w14:paraId="770215AC" w14:textId="77777777" w:rsidR="00241E51" w:rsidRPr="00C6165A" w:rsidRDefault="00241E51" w:rsidP="00241E51">
            <w:pPr>
              <w:jc w:val="left"/>
              <w:rPr>
                <w:sz w:val="22"/>
                <w:szCs w:val="22"/>
              </w:rPr>
            </w:pPr>
          </w:p>
        </w:tc>
        <w:tc>
          <w:tcPr>
            <w:tcW w:w="1194" w:type="dxa"/>
            <w:shd w:val="clear" w:color="auto" w:fill="auto"/>
            <w:noWrap/>
            <w:vAlign w:val="center"/>
            <w:hideMark/>
          </w:tcPr>
          <w:p w14:paraId="26066A29" w14:textId="77777777" w:rsidR="00241E51" w:rsidRPr="00C6165A" w:rsidRDefault="00241E51" w:rsidP="00241E51">
            <w:pPr>
              <w:jc w:val="left"/>
              <w:rPr>
                <w:sz w:val="22"/>
                <w:szCs w:val="22"/>
              </w:rPr>
            </w:pPr>
            <w:r w:rsidRPr="00C6165A">
              <w:rPr>
                <w:sz w:val="22"/>
                <w:szCs w:val="22"/>
              </w:rPr>
              <w:t>No ordeño</w:t>
            </w:r>
          </w:p>
        </w:tc>
        <w:tc>
          <w:tcPr>
            <w:tcW w:w="1195" w:type="dxa"/>
            <w:tcBorders>
              <w:top w:val="nil"/>
              <w:left w:val="single" w:sz="4" w:space="0" w:color="auto"/>
              <w:bottom w:val="single" w:sz="4" w:space="0" w:color="auto"/>
              <w:right w:val="single" w:sz="4" w:space="0" w:color="auto"/>
            </w:tcBorders>
            <w:shd w:val="clear" w:color="auto" w:fill="auto"/>
            <w:noWrap/>
            <w:vAlign w:val="center"/>
          </w:tcPr>
          <w:p w14:paraId="5F237857" w14:textId="185D8D78" w:rsidR="00241E51" w:rsidRPr="00C6165A" w:rsidRDefault="00066614" w:rsidP="00E15FD9">
            <w:pPr>
              <w:jc w:val="center"/>
              <w:rPr>
                <w:sz w:val="22"/>
                <w:szCs w:val="22"/>
              </w:rPr>
            </w:pPr>
            <w:r>
              <w:rPr>
                <w:sz w:val="22"/>
                <w:szCs w:val="22"/>
              </w:rPr>
              <w:t>957.702</w:t>
            </w:r>
          </w:p>
        </w:tc>
        <w:tc>
          <w:tcPr>
            <w:tcW w:w="1195" w:type="dxa"/>
            <w:tcBorders>
              <w:top w:val="nil"/>
              <w:left w:val="nil"/>
              <w:bottom w:val="single" w:sz="4" w:space="0" w:color="auto"/>
              <w:right w:val="single" w:sz="4" w:space="0" w:color="auto"/>
            </w:tcBorders>
            <w:shd w:val="clear" w:color="auto" w:fill="auto"/>
            <w:noWrap/>
            <w:vAlign w:val="center"/>
          </w:tcPr>
          <w:p w14:paraId="6ECC8C73" w14:textId="5884071E" w:rsidR="00241E51" w:rsidRPr="00C6165A" w:rsidRDefault="00066614" w:rsidP="00E15FD9">
            <w:pPr>
              <w:jc w:val="center"/>
              <w:rPr>
                <w:sz w:val="22"/>
                <w:szCs w:val="22"/>
              </w:rPr>
            </w:pPr>
            <w:r>
              <w:rPr>
                <w:sz w:val="22"/>
                <w:szCs w:val="22"/>
              </w:rPr>
              <w:t>904.884</w:t>
            </w:r>
          </w:p>
        </w:tc>
        <w:tc>
          <w:tcPr>
            <w:tcW w:w="1207" w:type="dxa"/>
            <w:tcBorders>
              <w:top w:val="nil"/>
              <w:left w:val="nil"/>
              <w:bottom w:val="single" w:sz="4" w:space="0" w:color="auto"/>
              <w:right w:val="single" w:sz="4" w:space="0" w:color="auto"/>
            </w:tcBorders>
            <w:shd w:val="clear" w:color="auto" w:fill="auto"/>
            <w:noWrap/>
            <w:vAlign w:val="center"/>
          </w:tcPr>
          <w:p w14:paraId="383518BB" w14:textId="152E8AD1" w:rsidR="00241E51" w:rsidRPr="00C6165A" w:rsidRDefault="00066614" w:rsidP="00E15FD9">
            <w:pPr>
              <w:jc w:val="center"/>
              <w:rPr>
                <w:sz w:val="22"/>
                <w:szCs w:val="22"/>
              </w:rPr>
            </w:pPr>
            <w:r>
              <w:rPr>
                <w:sz w:val="22"/>
                <w:szCs w:val="22"/>
              </w:rPr>
              <w:t>-5,5%</w:t>
            </w:r>
          </w:p>
        </w:tc>
      </w:tr>
    </w:tbl>
    <w:p w14:paraId="3367CD96" w14:textId="77777777" w:rsidR="00CB5999" w:rsidRPr="00703831" w:rsidRDefault="00CB5999" w:rsidP="00CB5999">
      <w:pPr>
        <w:jc w:val="center"/>
        <w:rPr>
          <w:i/>
          <w:iCs/>
          <w:sz w:val="16"/>
          <w:szCs w:val="16"/>
        </w:rPr>
      </w:pPr>
      <w:r w:rsidRPr="00703831">
        <w:rPr>
          <w:i/>
          <w:iCs/>
          <w:sz w:val="16"/>
          <w:szCs w:val="16"/>
        </w:rPr>
        <w:t>Fuente: Elaboración propia a partir de las encuestas ganaderas del Ministerio de Agricultura, Pesca y Alimentación</w:t>
      </w:r>
    </w:p>
    <w:p w14:paraId="0115576D" w14:textId="77777777" w:rsidR="00AA49C3" w:rsidRPr="00703831" w:rsidRDefault="00AA49C3" w:rsidP="00AA49C3">
      <w:pPr>
        <w:rPr>
          <w:i/>
          <w:iCs/>
        </w:rPr>
      </w:pPr>
    </w:p>
    <w:p w14:paraId="5D1B1FB5" w14:textId="4DD77563" w:rsidR="00AA49C3" w:rsidRPr="00C6165A" w:rsidRDefault="00AA49C3" w:rsidP="00AA49C3">
      <w:r w:rsidRPr="00C6165A">
        <w:t xml:space="preserve">De la </w:t>
      </w:r>
      <w:r w:rsidRPr="00C6165A">
        <w:rPr>
          <w:b/>
          <w:bCs/>
        </w:rPr>
        <w:t>especie caprina</w:t>
      </w:r>
      <w:r w:rsidRPr="00C6165A">
        <w:t xml:space="preserve"> el censo, también de noviembre de </w:t>
      </w:r>
      <w:r w:rsidR="00BB24A4" w:rsidRPr="00C6165A">
        <w:t>202</w:t>
      </w:r>
      <w:r w:rsidR="00066614">
        <w:t>2</w:t>
      </w:r>
      <w:r w:rsidRPr="00C6165A">
        <w:t xml:space="preserve">, fue de </w:t>
      </w:r>
      <w:r w:rsidR="00066614">
        <w:t>140.300</w:t>
      </w:r>
      <w:r w:rsidR="00BB24A4" w:rsidRPr="00C6165A">
        <w:t xml:space="preserve"> </w:t>
      </w:r>
      <w:r w:rsidRPr="00C6165A">
        <w:t xml:space="preserve">animales, </w:t>
      </w:r>
      <w:r w:rsidR="00066614">
        <w:t>9.025 menos</w:t>
      </w:r>
      <w:r w:rsidRPr="00C6165A">
        <w:t xml:space="preserve"> que en la encuesta anterior</w:t>
      </w:r>
      <w:r w:rsidR="00C75EA1">
        <w:t>, lo que ha supuesto una caída del 6% frente al ligero incremento de 0,3% del año anterior.</w:t>
      </w:r>
      <w:r w:rsidRPr="00C6165A">
        <w:t xml:space="preserve"> Castilla y León es la sexta región en importancia, con un 5</w:t>
      </w:r>
      <w:r w:rsidR="00E77654" w:rsidRPr="00C6165A">
        <w:t>,</w:t>
      </w:r>
      <w:r w:rsidR="00E15FD9" w:rsidRPr="00C6165A">
        <w:t>7</w:t>
      </w:r>
      <w:r w:rsidR="00066614">
        <w:t>0</w:t>
      </w:r>
      <w:r w:rsidR="00154C4C" w:rsidRPr="00C6165A">
        <w:t>%</w:t>
      </w:r>
      <w:r w:rsidRPr="00C6165A">
        <w:t xml:space="preserve"> de la cabaña ganadera nacional, a gran distancia de la primera, que es Andalucía</w:t>
      </w:r>
      <w:r w:rsidR="00E15FD9" w:rsidRPr="00C6165A">
        <w:t xml:space="preserve"> con un </w:t>
      </w:r>
      <w:r w:rsidR="00066614">
        <w:t>37,24</w:t>
      </w:r>
      <w:r w:rsidR="00E15FD9" w:rsidRPr="00C6165A">
        <w:t>%</w:t>
      </w:r>
      <w:r w:rsidRPr="00C6165A">
        <w:t>.</w:t>
      </w:r>
    </w:p>
    <w:p w14:paraId="749C577D" w14:textId="77777777" w:rsidR="00AA49C3" w:rsidRPr="00C6165A" w:rsidRDefault="00AA49C3" w:rsidP="00AA49C3"/>
    <w:p w14:paraId="2CD55677" w14:textId="77777777" w:rsidR="00AA49C3" w:rsidRDefault="00AA49C3" w:rsidP="00AA49C3">
      <w:pPr>
        <w:spacing w:after="120"/>
      </w:pPr>
      <w:r w:rsidRPr="00C6165A">
        <w:t>En la tabla siguiente se puede ver el censo y la evolución por tipo de ganado:</w:t>
      </w:r>
    </w:p>
    <w:p w14:paraId="2FF256CC" w14:textId="77777777" w:rsidR="00C75EA1" w:rsidRPr="00C6165A" w:rsidRDefault="00C75EA1" w:rsidP="00AA49C3">
      <w:pPr>
        <w:spacing w:after="120"/>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1955"/>
        <w:gridCol w:w="1012"/>
        <w:gridCol w:w="1012"/>
        <w:gridCol w:w="1573"/>
      </w:tblGrid>
      <w:tr w:rsidR="00C6165A" w:rsidRPr="00C6165A" w14:paraId="3C02C1E9" w14:textId="77777777" w:rsidTr="00643FEF">
        <w:trPr>
          <w:trHeight w:val="300"/>
          <w:tblHeader/>
          <w:jc w:val="center"/>
        </w:trPr>
        <w:tc>
          <w:tcPr>
            <w:tcW w:w="4644" w:type="dxa"/>
            <w:gridSpan w:val="3"/>
            <w:tcBorders>
              <w:top w:val="nil"/>
              <w:left w:val="nil"/>
            </w:tcBorders>
            <w:shd w:val="clear" w:color="auto" w:fill="auto"/>
            <w:noWrap/>
            <w:vAlign w:val="center"/>
            <w:hideMark/>
          </w:tcPr>
          <w:p w14:paraId="0F62D70B" w14:textId="77777777" w:rsidR="005B0C86" w:rsidRPr="00C6165A" w:rsidRDefault="005B0C86" w:rsidP="005B0C86">
            <w:pPr>
              <w:jc w:val="center"/>
              <w:rPr>
                <w:sz w:val="22"/>
                <w:szCs w:val="22"/>
              </w:rPr>
            </w:pPr>
          </w:p>
        </w:tc>
        <w:tc>
          <w:tcPr>
            <w:tcW w:w="1000" w:type="dxa"/>
            <w:shd w:val="clear" w:color="auto" w:fill="auto"/>
            <w:noWrap/>
            <w:vAlign w:val="center"/>
            <w:hideMark/>
          </w:tcPr>
          <w:p w14:paraId="5DE0833B" w14:textId="6D634C73" w:rsidR="005B0C86" w:rsidRPr="00C6165A" w:rsidRDefault="005B0C86" w:rsidP="005B0C86">
            <w:pPr>
              <w:jc w:val="center"/>
              <w:rPr>
                <w:b/>
                <w:bCs/>
                <w:sz w:val="22"/>
                <w:szCs w:val="22"/>
              </w:rPr>
            </w:pPr>
            <w:r w:rsidRPr="00C6165A">
              <w:rPr>
                <w:b/>
                <w:bCs/>
                <w:sz w:val="22"/>
                <w:szCs w:val="22"/>
              </w:rPr>
              <w:t>202</w:t>
            </w:r>
            <w:r w:rsidR="00066614">
              <w:rPr>
                <w:b/>
                <w:bCs/>
                <w:sz w:val="22"/>
                <w:szCs w:val="22"/>
              </w:rPr>
              <w:t>1</w:t>
            </w:r>
          </w:p>
        </w:tc>
        <w:tc>
          <w:tcPr>
            <w:tcW w:w="1000" w:type="dxa"/>
            <w:shd w:val="clear" w:color="auto" w:fill="auto"/>
            <w:noWrap/>
            <w:vAlign w:val="center"/>
            <w:hideMark/>
          </w:tcPr>
          <w:p w14:paraId="09175E28" w14:textId="55A12559" w:rsidR="005B0C86" w:rsidRPr="00C6165A" w:rsidRDefault="005B0C86" w:rsidP="005B0C86">
            <w:pPr>
              <w:jc w:val="center"/>
              <w:rPr>
                <w:b/>
                <w:bCs/>
                <w:sz w:val="22"/>
                <w:szCs w:val="22"/>
              </w:rPr>
            </w:pPr>
            <w:r w:rsidRPr="00C6165A">
              <w:rPr>
                <w:b/>
                <w:bCs/>
                <w:sz w:val="22"/>
                <w:szCs w:val="22"/>
              </w:rPr>
              <w:t>202</w:t>
            </w:r>
            <w:r w:rsidR="00066614">
              <w:rPr>
                <w:b/>
                <w:bCs/>
                <w:sz w:val="22"/>
                <w:szCs w:val="22"/>
              </w:rPr>
              <w:t>2</w:t>
            </w:r>
          </w:p>
        </w:tc>
        <w:tc>
          <w:tcPr>
            <w:tcW w:w="1573" w:type="dxa"/>
            <w:shd w:val="clear" w:color="auto" w:fill="auto"/>
            <w:noWrap/>
            <w:vAlign w:val="center"/>
            <w:hideMark/>
          </w:tcPr>
          <w:p w14:paraId="6083D156" w14:textId="77777777" w:rsidR="005B0C86" w:rsidRPr="00C6165A" w:rsidRDefault="005B0C86" w:rsidP="005B0C86">
            <w:pPr>
              <w:jc w:val="center"/>
              <w:rPr>
                <w:b/>
                <w:bCs/>
                <w:sz w:val="22"/>
                <w:szCs w:val="22"/>
              </w:rPr>
            </w:pPr>
            <w:r w:rsidRPr="00C6165A">
              <w:rPr>
                <w:b/>
                <w:bCs/>
                <w:sz w:val="22"/>
                <w:szCs w:val="22"/>
              </w:rPr>
              <w:t>Variación (%)</w:t>
            </w:r>
          </w:p>
        </w:tc>
      </w:tr>
      <w:tr w:rsidR="00C6165A" w:rsidRPr="00C6165A" w14:paraId="3F07F2B2" w14:textId="77777777" w:rsidTr="00066614">
        <w:trPr>
          <w:trHeight w:val="300"/>
          <w:tblHeader/>
          <w:jc w:val="center"/>
        </w:trPr>
        <w:tc>
          <w:tcPr>
            <w:tcW w:w="4644" w:type="dxa"/>
            <w:gridSpan w:val="3"/>
            <w:shd w:val="clear" w:color="auto" w:fill="auto"/>
            <w:noWrap/>
            <w:vAlign w:val="center"/>
            <w:hideMark/>
          </w:tcPr>
          <w:p w14:paraId="50D5D02D" w14:textId="77777777" w:rsidR="00E15FD9" w:rsidRPr="00C6165A" w:rsidRDefault="00E15FD9" w:rsidP="00E15FD9">
            <w:pPr>
              <w:jc w:val="left"/>
              <w:rPr>
                <w:b/>
                <w:sz w:val="22"/>
                <w:szCs w:val="22"/>
              </w:rPr>
            </w:pPr>
            <w:r w:rsidRPr="00C6165A">
              <w:rPr>
                <w:b/>
                <w:sz w:val="22"/>
                <w:szCs w:val="22"/>
              </w:rPr>
              <w:t>Total</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02198" w14:textId="69002EBF" w:rsidR="00E15FD9" w:rsidRPr="00C6165A" w:rsidRDefault="00066614" w:rsidP="00E15FD9">
            <w:pPr>
              <w:jc w:val="center"/>
              <w:rPr>
                <w:b/>
                <w:sz w:val="22"/>
                <w:szCs w:val="22"/>
              </w:rPr>
            </w:pPr>
            <w:r>
              <w:rPr>
                <w:b/>
                <w:sz w:val="22"/>
                <w:szCs w:val="22"/>
              </w:rPr>
              <w:t>149.325</w:t>
            </w:r>
          </w:p>
        </w:tc>
        <w:tc>
          <w:tcPr>
            <w:tcW w:w="1000" w:type="dxa"/>
            <w:tcBorders>
              <w:top w:val="single" w:sz="4" w:space="0" w:color="auto"/>
              <w:left w:val="nil"/>
              <w:bottom w:val="single" w:sz="4" w:space="0" w:color="auto"/>
              <w:right w:val="single" w:sz="4" w:space="0" w:color="auto"/>
            </w:tcBorders>
            <w:shd w:val="clear" w:color="auto" w:fill="auto"/>
            <w:noWrap/>
            <w:vAlign w:val="center"/>
          </w:tcPr>
          <w:p w14:paraId="5B35967D" w14:textId="763BC6D5" w:rsidR="00E15FD9" w:rsidRPr="00C6165A" w:rsidRDefault="0091100E" w:rsidP="00E15FD9">
            <w:pPr>
              <w:jc w:val="center"/>
              <w:rPr>
                <w:b/>
                <w:sz w:val="22"/>
                <w:szCs w:val="22"/>
              </w:rPr>
            </w:pPr>
            <w:r>
              <w:rPr>
                <w:b/>
                <w:sz w:val="22"/>
                <w:szCs w:val="22"/>
              </w:rPr>
              <w:t>140.300</w:t>
            </w:r>
          </w:p>
        </w:tc>
        <w:tc>
          <w:tcPr>
            <w:tcW w:w="1573" w:type="dxa"/>
            <w:tcBorders>
              <w:top w:val="single" w:sz="4" w:space="0" w:color="auto"/>
              <w:left w:val="nil"/>
              <w:bottom w:val="single" w:sz="4" w:space="0" w:color="auto"/>
              <w:right w:val="single" w:sz="4" w:space="0" w:color="auto"/>
            </w:tcBorders>
            <w:shd w:val="clear" w:color="auto" w:fill="auto"/>
            <w:noWrap/>
            <w:vAlign w:val="center"/>
          </w:tcPr>
          <w:p w14:paraId="31DB242F" w14:textId="1683AAD5" w:rsidR="00E15FD9" w:rsidRPr="00C6165A" w:rsidRDefault="0091100E" w:rsidP="00E15FD9">
            <w:pPr>
              <w:jc w:val="center"/>
              <w:rPr>
                <w:b/>
                <w:bCs/>
                <w:sz w:val="22"/>
                <w:szCs w:val="22"/>
              </w:rPr>
            </w:pPr>
            <w:r>
              <w:rPr>
                <w:b/>
                <w:bCs/>
                <w:sz w:val="22"/>
                <w:szCs w:val="22"/>
              </w:rPr>
              <w:t>-6,0%</w:t>
            </w:r>
          </w:p>
        </w:tc>
      </w:tr>
      <w:tr w:rsidR="00C6165A" w:rsidRPr="00C6165A" w14:paraId="326D8C67" w14:textId="77777777" w:rsidTr="00066614">
        <w:trPr>
          <w:trHeight w:val="300"/>
          <w:jc w:val="center"/>
        </w:trPr>
        <w:tc>
          <w:tcPr>
            <w:tcW w:w="4644" w:type="dxa"/>
            <w:gridSpan w:val="3"/>
            <w:shd w:val="clear" w:color="auto" w:fill="auto"/>
            <w:noWrap/>
            <w:vAlign w:val="center"/>
            <w:hideMark/>
          </w:tcPr>
          <w:p w14:paraId="2EF6656A" w14:textId="77777777" w:rsidR="00E15FD9" w:rsidRPr="00C6165A" w:rsidRDefault="00E15FD9" w:rsidP="00E15FD9">
            <w:pPr>
              <w:jc w:val="left"/>
              <w:rPr>
                <w:sz w:val="22"/>
                <w:szCs w:val="22"/>
              </w:rPr>
            </w:pPr>
            <w:r w:rsidRPr="00C6165A">
              <w:rPr>
                <w:sz w:val="22"/>
                <w:szCs w:val="22"/>
              </w:rPr>
              <w:t>Chivos</w:t>
            </w:r>
          </w:p>
        </w:tc>
        <w:tc>
          <w:tcPr>
            <w:tcW w:w="1000" w:type="dxa"/>
            <w:tcBorders>
              <w:top w:val="nil"/>
              <w:left w:val="single" w:sz="4" w:space="0" w:color="auto"/>
              <w:bottom w:val="single" w:sz="4" w:space="0" w:color="auto"/>
              <w:right w:val="single" w:sz="4" w:space="0" w:color="auto"/>
            </w:tcBorders>
            <w:shd w:val="clear" w:color="auto" w:fill="auto"/>
            <w:noWrap/>
            <w:vAlign w:val="center"/>
          </w:tcPr>
          <w:p w14:paraId="3D9D69AD" w14:textId="008CAA52" w:rsidR="00E15FD9" w:rsidRPr="00C6165A" w:rsidRDefault="00066614" w:rsidP="00E15FD9">
            <w:pPr>
              <w:jc w:val="center"/>
              <w:rPr>
                <w:sz w:val="22"/>
                <w:szCs w:val="22"/>
              </w:rPr>
            </w:pPr>
            <w:r>
              <w:rPr>
                <w:sz w:val="22"/>
                <w:szCs w:val="22"/>
              </w:rPr>
              <w:t>28.967</w:t>
            </w:r>
          </w:p>
        </w:tc>
        <w:tc>
          <w:tcPr>
            <w:tcW w:w="1000" w:type="dxa"/>
            <w:tcBorders>
              <w:top w:val="nil"/>
              <w:left w:val="nil"/>
              <w:bottom w:val="single" w:sz="4" w:space="0" w:color="auto"/>
              <w:right w:val="single" w:sz="4" w:space="0" w:color="auto"/>
            </w:tcBorders>
            <w:shd w:val="clear" w:color="auto" w:fill="auto"/>
            <w:noWrap/>
            <w:vAlign w:val="center"/>
          </w:tcPr>
          <w:p w14:paraId="5AEBE757" w14:textId="526DB808" w:rsidR="00E15FD9" w:rsidRPr="00C6165A" w:rsidRDefault="0091100E" w:rsidP="00E15FD9">
            <w:pPr>
              <w:jc w:val="center"/>
              <w:rPr>
                <w:sz w:val="22"/>
                <w:szCs w:val="22"/>
              </w:rPr>
            </w:pPr>
            <w:r>
              <w:rPr>
                <w:sz w:val="22"/>
                <w:szCs w:val="22"/>
              </w:rPr>
              <w:t>26.286</w:t>
            </w:r>
          </w:p>
        </w:tc>
        <w:tc>
          <w:tcPr>
            <w:tcW w:w="1573" w:type="dxa"/>
            <w:tcBorders>
              <w:top w:val="nil"/>
              <w:left w:val="nil"/>
              <w:bottom w:val="single" w:sz="4" w:space="0" w:color="auto"/>
              <w:right w:val="single" w:sz="4" w:space="0" w:color="auto"/>
            </w:tcBorders>
            <w:shd w:val="clear" w:color="auto" w:fill="auto"/>
            <w:noWrap/>
            <w:vAlign w:val="center"/>
          </w:tcPr>
          <w:p w14:paraId="2716D81D" w14:textId="3B3EF5A1" w:rsidR="00E15FD9" w:rsidRPr="00C6165A" w:rsidRDefault="0091100E" w:rsidP="00E15FD9">
            <w:pPr>
              <w:jc w:val="center"/>
              <w:rPr>
                <w:sz w:val="22"/>
                <w:szCs w:val="22"/>
              </w:rPr>
            </w:pPr>
            <w:r>
              <w:rPr>
                <w:sz w:val="22"/>
                <w:szCs w:val="22"/>
              </w:rPr>
              <w:t>-9,3%</w:t>
            </w:r>
          </w:p>
        </w:tc>
      </w:tr>
      <w:tr w:rsidR="00C6165A" w:rsidRPr="00C6165A" w14:paraId="2378A54E" w14:textId="77777777" w:rsidTr="00066614">
        <w:trPr>
          <w:trHeight w:val="300"/>
          <w:jc w:val="center"/>
        </w:trPr>
        <w:tc>
          <w:tcPr>
            <w:tcW w:w="4644" w:type="dxa"/>
            <w:gridSpan w:val="3"/>
            <w:shd w:val="clear" w:color="auto" w:fill="auto"/>
            <w:noWrap/>
            <w:vAlign w:val="center"/>
            <w:hideMark/>
          </w:tcPr>
          <w:p w14:paraId="2FB02A47" w14:textId="77777777" w:rsidR="00E15FD9" w:rsidRPr="00C6165A" w:rsidRDefault="00E15FD9" w:rsidP="00E15FD9">
            <w:pPr>
              <w:jc w:val="left"/>
              <w:rPr>
                <w:sz w:val="22"/>
                <w:szCs w:val="22"/>
              </w:rPr>
            </w:pPr>
            <w:r w:rsidRPr="00C6165A">
              <w:rPr>
                <w:sz w:val="22"/>
                <w:szCs w:val="22"/>
              </w:rPr>
              <w:t>Sementales</w:t>
            </w:r>
          </w:p>
        </w:tc>
        <w:tc>
          <w:tcPr>
            <w:tcW w:w="1000" w:type="dxa"/>
            <w:tcBorders>
              <w:top w:val="nil"/>
              <w:left w:val="single" w:sz="4" w:space="0" w:color="auto"/>
              <w:bottom w:val="single" w:sz="4" w:space="0" w:color="auto"/>
              <w:right w:val="single" w:sz="4" w:space="0" w:color="auto"/>
            </w:tcBorders>
            <w:shd w:val="clear" w:color="auto" w:fill="auto"/>
            <w:noWrap/>
            <w:vAlign w:val="center"/>
          </w:tcPr>
          <w:p w14:paraId="1452BDFD" w14:textId="75CC45B0" w:rsidR="00E15FD9" w:rsidRPr="00C6165A" w:rsidRDefault="00066614" w:rsidP="00E15FD9">
            <w:pPr>
              <w:jc w:val="center"/>
              <w:rPr>
                <w:sz w:val="22"/>
                <w:szCs w:val="22"/>
              </w:rPr>
            </w:pPr>
            <w:r>
              <w:rPr>
                <w:sz w:val="22"/>
                <w:szCs w:val="22"/>
              </w:rPr>
              <w:t>4.680</w:t>
            </w:r>
          </w:p>
        </w:tc>
        <w:tc>
          <w:tcPr>
            <w:tcW w:w="1000" w:type="dxa"/>
            <w:tcBorders>
              <w:top w:val="nil"/>
              <w:left w:val="nil"/>
              <w:bottom w:val="single" w:sz="4" w:space="0" w:color="auto"/>
              <w:right w:val="single" w:sz="4" w:space="0" w:color="auto"/>
            </w:tcBorders>
            <w:shd w:val="clear" w:color="auto" w:fill="auto"/>
            <w:noWrap/>
            <w:vAlign w:val="center"/>
          </w:tcPr>
          <w:p w14:paraId="454F3E5E" w14:textId="0CF0A3D2" w:rsidR="00E15FD9" w:rsidRPr="00C6165A" w:rsidRDefault="0091100E" w:rsidP="00E15FD9">
            <w:pPr>
              <w:jc w:val="center"/>
              <w:rPr>
                <w:sz w:val="22"/>
                <w:szCs w:val="22"/>
              </w:rPr>
            </w:pPr>
            <w:r>
              <w:rPr>
                <w:sz w:val="22"/>
                <w:szCs w:val="22"/>
              </w:rPr>
              <w:t>4.614</w:t>
            </w:r>
          </w:p>
        </w:tc>
        <w:tc>
          <w:tcPr>
            <w:tcW w:w="1573" w:type="dxa"/>
            <w:tcBorders>
              <w:top w:val="nil"/>
              <w:left w:val="nil"/>
              <w:bottom w:val="single" w:sz="4" w:space="0" w:color="auto"/>
              <w:right w:val="single" w:sz="4" w:space="0" w:color="auto"/>
            </w:tcBorders>
            <w:shd w:val="clear" w:color="auto" w:fill="auto"/>
            <w:noWrap/>
            <w:vAlign w:val="center"/>
          </w:tcPr>
          <w:p w14:paraId="0C18837A" w14:textId="3EAB7DA2" w:rsidR="00E15FD9" w:rsidRPr="00C6165A" w:rsidRDefault="0091100E" w:rsidP="00E15FD9">
            <w:pPr>
              <w:jc w:val="center"/>
              <w:rPr>
                <w:sz w:val="22"/>
                <w:szCs w:val="22"/>
              </w:rPr>
            </w:pPr>
            <w:r>
              <w:rPr>
                <w:sz w:val="22"/>
                <w:szCs w:val="22"/>
              </w:rPr>
              <w:t>-1,4%</w:t>
            </w:r>
          </w:p>
        </w:tc>
      </w:tr>
      <w:tr w:rsidR="00C6165A" w:rsidRPr="00C6165A" w14:paraId="2EE64410" w14:textId="77777777" w:rsidTr="00066614">
        <w:trPr>
          <w:trHeight w:val="300"/>
          <w:jc w:val="center"/>
        </w:trPr>
        <w:tc>
          <w:tcPr>
            <w:tcW w:w="1413" w:type="dxa"/>
            <w:vMerge w:val="restart"/>
            <w:shd w:val="clear" w:color="auto" w:fill="auto"/>
            <w:noWrap/>
            <w:vAlign w:val="center"/>
            <w:hideMark/>
          </w:tcPr>
          <w:p w14:paraId="666A6DD6" w14:textId="77777777" w:rsidR="00E15FD9" w:rsidRPr="00C6165A" w:rsidRDefault="00E15FD9" w:rsidP="00E15FD9">
            <w:pPr>
              <w:jc w:val="left"/>
              <w:rPr>
                <w:sz w:val="22"/>
                <w:szCs w:val="22"/>
              </w:rPr>
            </w:pPr>
            <w:r w:rsidRPr="00C6165A">
              <w:rPr>
                <w:sz w:val="22"/>
                <w:szCs w:val="22"/>
              </w:rPr>
              <w:t>Hembras para vida</w:t>
            </w:r>
          </w:p>
        </w:tc>
        <w:tc>
          <w:tcPr>
            <w:tcW w:w="3231" w:type="dxa"/>
            <w:gridSpan w:val="2"/>
            <w:shd w:val="clear" w:color="auto" w:fill="auto"/>
            <w:noWrap/>
            <w:vAlign w:val="center"/>
            <w:hideMark/>
          </w:tcPr>
          <w:p w14:paraId="1C04960B" w14:textId="40310564" w:rsidR="00E15FD9" w:rsidRPr="00C6165A" w:rsidRDefault="00E15FD9" w:rsidP="00E15FD9">
            <w:pPr>
              <w:jc w:val="left"/>
              <w:rPr>
                <w:i/>
                <w:sz w:val="22"/>
                <w:szCs w:val="22"/>
              </w:rPr>
            </w:pPr>
            <w:r w:rsidRPr="00C6165A">
              <w:rPr>
                <w:i/>
                <w:iCs/>
                <w:sz w:val="22"/>
                <w:szCs w:val="22"/>
              </w:rPr>
              <w:t xml:space="preserve">Total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FCDBAA" w14:textId="2A45E86F" w:rsidR="00E15FD9" w:rsidRPr="00C6165A" w:rsidRDefault="00066614" w:rsidP="00E15FD9">
            <w:pPr>
              <w:jc w:val="center"/>
              <w:rPr>
                <w:sz w:val="22"/>
                <w:szCs w:val="22"/>
              </w:rPr>
            </w:pPr>
            <w:r>
              <w:rPr>
                <w:sz w:val="22"/>
                <w:szCs w:val="22"/>
              </w:rPr>
              <w:t>115.678</w:t>
            </w:r>
          </w:p>
        </w:tc>
        <w:tc>
          <w:tcPr>
            <w:tcW w:w="1000" w:type="dxa"/>
            <w:tcBorders>
              <w:top w:val="single" w:sz="4" w:space="0" w:color="auto"/>
              <w:left w:val="nil"/>
              <w:bottom w:val="single" w:sz="4" w:space="0" w:color="auto"/>
              <w:right w:val="single" w:sz="4" w:space="0" w:color="auto"/>
            </w:tcBorders>
            <w:shd w:val="clear" w:color="auto" w:fill="auto"/>
            <w:noWrap/>
            <w:vAlign w:val="center"/>
          </w:tcPr>
          <w:p w14:paraId="5D840763" w14:textId="67763386" w:rsidR="00E15FD9" w:rsidRPr="00C6165A" w:rsidRDefault="0091100E" w:rsidP="00E15FD9">
            <w:pPr>
              <w:jc w:val="center"/>
              <w:rPr>
                <w:i/>
                <w:iCs/>
                <w:sz w:val="22"/>
                <w:szCs w:val="22"/>
                <w:lang w:eastAsia="es-ES"/>
              </w:rPr>
            </w:pPr>
            <w:r>
              <w:rPr>
                <w:i/>
                <w:iCs/>
                <w:sz w:val="22"/>
                <w:szCs w:val="22"/>
                <w:lang w:eastAsia="es-ES"/>
              </w:rPr>
              <w:t>109.400</w:t>
            </w:r>
          </w:p>
        </w:tc>
        <w:tc>
          <w:tcPr>
            <w:tcW w:w="1573" w:type="dxa"/>
            <w:tcBorders>
              <w:top w:val="single" w:sz="4" w:space="0" w:color="auto"/>
              <w:left w:val="nil"/>
              <w:bottom w:val="single" w:sz="4" w:space="0" w:color="auto"/>
              <w:right w:val="single" w:sz="4" w:space="0" w:color="auto"/>
            </w:tcBorders>
            <w:shd w:val="clear" w:color="auto" w:fill="auto"/>
            <w:noWrap/>
            <w:vAlign w:val="center"/>
          </w:tcPr>
          <w:p w14:paraId="2D1C39E8" w14:textId="26691BD3" w:rsidR="00E15FD9" w:rsidRPr="00C6165A" w:rsidRDefault="0091100E" w:rsidP="00E15FD9">
            <w:pPr>
              <w:jc w:val="center"/>
              <w:rPr>
                <w:sz w:val="22"/>
                <w:szCs w:val="22"/>
                <w:lang w:eastAsia="es-ES"/>
              </w:rPr>
            </w:pPr>
            <w:r>
              <w:rPr>
                <w:sz w:val="22"/>
                <w:szCs w:val="22"/>
                <w:lang w:eastAsia="es-ES"/>
              </w:rPr>
              <w:t>-5,4%</w:t>
            </w:r>
          </w:p>
        </w:tc>
      </w:tr>
      <w:tr w:rsidR="00C6165A" w:rsidRPr="00C6165A" w14:paraId="5DACCA67" w14:textId="77777777" w:rsidTr="00066614">
        <w:trPr>
          <w:trHeight w:val="300"/>
          <w:jc w:val="center"/>
        </w:trPr>
        <w:tc>
          <w:tcPr>
            <w:tcW w:w="1413" w:type="dxa"/>
            <w:vMerge/>
            <w:shd w:val="clear" w:color="auto" w:fill="auto"/>
            <w:vAlign w:val="center"/>
            <w:hideMark/>
          </w:tcPr>
          <w:p w14:paraId="52CDD7ED" w14:textId="77777777" w:rsidR="00E15FD9" w:rsidRPr="00C6165A" w:rsidRDefault="00E15FD9" w:rsidP="00E15FD9">
            <w:pPr>
              <w:jc w:val="left"/>
              <w:rPr>
                <w:sz w:val="22"/>
                <w:szCs w:val="22"/>
              </w:rPr>
            </w:pPr>
          </w:p>
        </w:tc>
        <w:tc>
          <w:tcPr>
            <w:tcW w:w="1276" w:type="dxa"/>
            <w:vMerge w:val="restart"/>
            <w:shd w:val="clear" w:color="auto" w:fill="auto"/>
            <w:noWrap/>
            <w:vAlign w:val="center"/>
            <w:hideMark/>
          </w:tcPr>
          <w:p w14:paraId="3DE18F31" w14:textId="18500888" w:rsidR="00E15FD9" w:rsidRPr="00C6165A" w:rsidRDefault="00E15FD9" w:rsidP="00E15FD9">
            <w:pPr>
              <w:jc w:val="left"/>
              <w:rPr>
                <w:sz w:val="22"/>
                <w:szCs w:val="22"/>
              </w:rPr>
            </w:pPr>
            <w:r w:rsidRPr="00C6165A">
              <w:rPr>
                <w:sz w:val="22"/>
                <w:szCs w:val="22"/>
              </w:rPr>
              <w:t>Nunca han parido</w:t>
            </w:r>
          </w:p>
        </w:tc>
        <w:tc>
          <w:tcPr>
            <w:tcW w:w="1955" w:type="dxa"/>
            <w:shd w:val="clear" w:color="auto" w:fill="auto"/>
            <w:noWrap/>
            <w:vAlign w:val="center"/>
            <w:hideMark/>
          </w:tcPr>
          <w:p w14:paraId="113F1A74" w14:textId="77777777" w:rsidR="00E15FD9" w:rsidRPr="00C6165A" w:rsidRDefault="00E15FD9" w:rsidP="00E15FD9">
            <w:pPr>
              <w:jc w:val="left"/>
              <w:rPr>
                <w:sz w:val="22"/>
                <w:szCs w:val="22"/>
              </w:rPr>
            </w:pPr>
            <w:r w:rsidRPr="00C6165A">
              <w:rPr>
                <w:sz w:val="22"/>
                <w:szCs w:val="22"/>
              </w:rPr>
              <w:t>No cubiertas</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E68AD7" w14:textId="3EA1114B" w:rsidR="00E15FD9" w:rsidRPr="00C6165A" w:rsidRDefault="00066614" w:rsidP="00E15FD9">
            <w:pPr>
              <w:jc w:val="center"/>
              <w:rPr>
                <w:sz w:val="22"/>
                <w:szCs w:val="22"/>
              </w:rPr>
            </w:pPr>
            <w:r>
              <w:rPr>
                <w:sz w:val="22"/>
                <w:szCs w:val="22"/>
              </w:rPr>
              <w:t>1.158</w:t>
            </w:r>
          </w:p>
        </w:tc>
        <w:tc>
          <w:tcPr>
            <w:tcW w:w="1000" w:type="dxa"/>
            <w:tcBorders>
              <w:top w:val="single" w:sz="4" w:space="0" w:color="auto"/>
              <w:left w:val="nil"/>
              <w:bottom w:val="single" w:sz="4" w:space="0" w:color="auto"/>
              <w:right w:val="single" w:sz="4" w:space="0" w:color="auto"/>
            </w:tcBorders>
            <w:shd w:val="clear" w:color="auto" w:fill="auto"/>
            <w:noWrap/>
            <w:vAlign w:val="center"/>
          </w:tcPr>
          <w:p w14:paraId="73692482" w14:textId="5098F663" w:rsidR="00E15FD9" w:rsidRPr="00C6165A" w:rsidRDefault="0091100E" w:rsidP="00E15FD9">
            <w:pPr>
              <w:jc w:val="center"/>
              <w:rPr>
                <w:sz w:val="22"/>
                <w:szCs w:val="22"/>
              </w:rPr>
            </w:pPr>
            <w:r>
              <w:rPr>
                <w:sz w:val="22"/>
                <w:szCs w:val="22"/>
              </w:rPr>
              <w:t>1.093</w:t>
            </w:r>
          </w:p>
        </w:tc>
        <w:tc>
          <w:tcPr>
            <w:tcW w:w="1573" w:type="dxa"/>
            <w:tcBorders>
              <w:top w:val="single" w:sz="4" w:space="0" w:color="auto"/>
              <w:left w:val="nil"/>
              <w:bottom w:val="single" w:sz="4" w:space="0" w:color="auto"/>
              <w:right w:val="single" w:sz="4" w:space="0" w:color="auto"/>
            </w:tcBorders>
            <w:shd w:val="clear" w:color="auto" w:fill="auto"/>
            <w:noWrap/>
            <w:vAlign w:val="center"/>
          </w:tcPr>
          <w:p w14:paraId="23AA773B" w14:textId="36D4AEAB" w:rsidR="00E15FD9" w:rsidRPr="00C6165A" w:rsidRDefault="0091100E" w:rsidP="00E15FD9">
            <w:pPr>
              <w:jc w:val="center"/>
              <w:rPr>
                <w:sz w:val="22"/>
                <w:szCs w:val="22"/>
              </w:rPr>
            </w:pPr>
            <w:r>
              <w:rPr>
                <w:sz w:val="22"/>
                <w:szCs w:val="22"/>
              </w:rPr>
              <w:t>-5,6%</w:t>
            </w:r>
          </w:p>
        </w:tc>
      </w:tr>
      <w:tr w:rsidR="00C6165A" w:rsidRPr="00C6165A" w14:paraId="25A241CC" w14:textId="77777777" w:rsidTr="00066614">
        <w:trPr>
          <w:trHeight w:val="300"/>
          <w:jc w:val="center"/>
        </w:trPr>
        <w:tc>
          <w:tcPr>
            <w:tcW w:w="1413" w:type="dxa"/>
            <w:vMerge/>
            <w:shd w:val="clear" w:color="auto" w:fill="auto"/>
            <w:vAlign w:val="center"/>
            <w:hideMark/>
          </w:tcPr>
          <w:p w14:paraId="48DDC58E" w14:textId="77777777" w:rsidR="00E15FD9" w:rsidRPr="00C6165A" w:rsidRDefault="00E15FD9" w:rsidP="00E15FD9">
            <w:pPr>
              <w:jc w:val="left"/>
              <w:rPr>
                <w:sz w:val="22"/>
                <w:szCs w:val="22"/>
              </w:rPr>
            </w:pPr>
          </w:p>
        </w:tc>
        <w:tc>
          <w:tcPr>
            <w:tcW w:w="1276" w:type="dxa"/>
            <w:vMerge/>
            <w:shd w:val="clear" w:color="auto" w:fill="auto"/>
            <w:vAlign w:val="center"/>
            <w:hideMark/>
          </w:tcPr>
          <w:p w14:paraId="7EF0C740" w14:textId="77777777" w:rsidR="00E15FD9" w:rsidRPr="00C6165A" w:rsidRDefault="00E15FD9" w:rsidP="00E15FD9">
            <w:pPr>
              <w:jc w:val="left"/>
              <w:rPr>
                <w:sz w:val="22"/>
                <w:szCs w:val="22"/>
              </w:rPr>
            </w:pPr>
          </w:p>
        </w:tc>
        <w:tc>
          <w:tcPr>
            <w:tcW w:w="1955" w:type="dxa"/>
            <w:shd w:val="clear" w:color="auto" w:fill="auto"/>
            <w:noWrap/>
            <w:vAlign w:val="center"/>
            <w:hideMark/>
          </w:tcPr>
          <w:p w14:paraId="7618ED50" w14:textId="77777777" w:rsidR="00E15FD9" w:rsidRPr="00C6165A" w:rsidRDefault="00E15FD9" w:rsidP="00E15FD9">
            <w:pPr>
              <w:jc w:val="left"/>
              <w:rPr>
                <w:sz w:val="22"/>
                <w:szCs w:val="22"/>
              </w:rPr>
            </w:pPr>
            <w:r w:rsidRPr="00C6165A">
              <w:rPr>
                <w:sz w:val="22"/>
                <w:szCs w:val="22"/>
              </w:rPr>
              <w:t>Cubiertas 1ª vez</w:t>
            </w:r>
          </w:p>
        </w:tc>
        <w:tc>
          <w:tcPr>
            <w:tcW w:w="1000" w:type="dxa"/>
            <w:tcBorders>
              <w:top w:val="nil"/>
              <w:left w:val="single" w:sz="4" w:space="0" w:color="auto"/>
              <w:bottom w:val="single" w:sz="4" w:space="0" w:color="auto"/>
              <w:right w:val="single" w:sz="4" w:space="0" w:color="auto"/>
            </w:tcBorders>
            <w:shd w:val="clear" w:color="auto" w:fill="auto"/>
            <w:noWrap/>
            <w:vAlign w:val="center"/>
          </w:tcPr>
          <w:p w14:paraId="35551B10" w14:textId="54D6A6F8" w:rsidR="00E15FD9" w:rsidRPr="00C6165A" w:rsidRDefault="00066614" w:rsidP="00E15FD9">
            <w:pPr>
              <w:jc w:val="center"/>
              <w:rPr>
                <w:sz w:val="22"/>
                <w:szCs w:val="22"/>
              </w:rPr>
            </w:pPr>
            <w:r>
              <w:rPr>
                <w:sz w:val="22"/>
                <w:szCs w:val="22"/>
              </w:rPr>
              <w:t>5.468</w:t>
            </w:r>
          </w:p>
        </w:tc>
        <w:tc>
          <w:tcPr>
            <w:tcW w:w="1000" w:type="dxa"/>
            <w:tcBorders>
              <w:top w:val="nil"/>
              <w:left w:val="nil"/>
              <w:bottom w:val="single" w:sz="4" w:space="0" w:color="auto"/>
              <w:right w:val="single" w:sz="4" w:space="0" w:color="auto"/>
            </w:tcBorders>
            <w:shd w:val="clear" w:color="auto" w:fill="auto"/>
            <w:noWrap/>
            <w:vAlign w:val="center"/>
          </w:tcPr>
          <w:p w14:paraId="1CFBF82D" w14:textId="7144656D" w:rsidR="00E15FD9" w:rsidRPr="00C6165A" w:rsidRDefault="0091100E" w:rsidP="00E15FD9">
            <w:pPr>
              <w:jc w:val="center"/>
              <w:rPr>
                <w:sz w:val="22"/>
                <w:szCs w:val="22"/>
              </w:rPr>
            </w:pPr>
            <w:r>
              <w:rPr>
                <w:sz w:val="22"/>
                <w:szCs w:val="22"/>
              </w:rPr>
              <w:t>5.156</w:t>
            </w:r>
          </w:p>
        </w:tc>
        <w:tc>
          <w:tcPr>
            <w:tcW w:w="1573" w:type="dxa"/>
            <w:tcBorders>
              <w:top w:val="nil"/>
              <w:left w:val="nil"/>
              <w:bottom w:val="single" w:sz="4" w:space="0" w:color="auto"/>
              <w:right w:val="single" w:sz="4" w:space="0" w:color="auto"/>
            </w:tcBorders>
            <w:shd w:val="clear" w:color="auto" w:fill="auto"/>
            <w:noWrap/>
            <w:vAlign w:val="center"/>
          </w:tcPr>
          <w:p w14:paraId="096C9524" w14:textId="63411D66" w:rsidR="00E15FD9" w:rsidRPr="00C6165A" w:rsidRDefault="0091100E" w:rsidP="00E15FD9">
            <w:pPr>
              <w:jc w:val="center"/>
              <w:rPr>
                <w:sz w:val="22"/>
                <w:szCs w:val="22"/>
              </w:rPr>
            </w:pPr>
            <w:r>
              <w:rPr>
                <w:sz w:val="22"/>
                <w:szCs w:val="22"/>
              </w:rPr>
              <w:t>-5,7%</w:t>
            </w:r>
          </w:p>
        </w:tc>
      </w:tr>
      <w:tr w:rsidR="00C6165A" w:rsidRPr="00C6165A" w14:paraId="45BE0598" w14:textId="77777777" w:rsidTr="00066614">
        <w:trPr>
          <w:trHeight w:val="300"/>
          <w:jc w:val="center"/>
        </w:trPr>
        <w:tc>
          <w:tcPr>
            <w:tcW w:w="1413" w:type="dxa"/>
            <w:vMerge/>
            <w:shd w:val="clear" w:color="auto" w:fill="auto"/>
            <w:vAlign w:val="center"/>
            <w:hideMark/>
          </w:tcPr>
          <w:p w14:paraId="5CC30008" w14:textId="77777777" w:rsidR="00E15FD9" w:rsidRPr="00C6165A" w:rsidRDefault="00E15FD9" w:rsidP="00E15FD9">
            <w:pPr>
              <w:jc w:val="left"/>
              <w:rPr>
                <w:sz w:val="22"/>
                <w:szCs w:val="22"/>
              </w:rPr>
            </w:pPr>
          </w:p>
        </w:tc>
        <w:tc>
          <w:tcPr>
            <w:tcW w:w="1276" w:type="dxa"/>
            <w:vMerge w:val="restart"/>
            <w:shd w:val="clear" w:color="auto" w:fill="auto"/>
            <w:noWrap/>
            <w:vAlign w:val="center"/>
            <w:hideMark/>
          </w:tcPr>
          <w:p w14:paraId="3FE51357" w14:textId="102A0733" w:rsidR="00E15FD9" w:rsidRPr="00C6165A" w:rsidRDefault="00E15FD9" w:rsidP="00E15FD9">
            <w:pPr>
              <w:jc w:val="left"/>
              <w:rPr>
                <w:sz w:val="22"/>
                <w:szCs w:val="22"/>
              </w:rPr>
            </w:pPr>
            <w:r w:rsidRPr="00C6165A">
              <w:rPr>
                <w:sz w:val="22"/>
                <w:szCs w:val="22"/>
              </w:rPr>
              <w:t>Que ya han parido</w:t>
            </w:r>
          </w:p>
        </w:tc>
        <w:tc>
          <w:tcPr>
            <w:tcW w:w="1955" w:type="dxa"/>
            <w:shd w:val="clear" w:color="auto" w:fill="auto"/>
            <w:noWrap/>
            <w:vAlign w:val="center"/>
            <w:hideMark/>
          </w:tcPr>
          <w:p w14:paraId="5223C1AD" w14:textId="77777777" w:rsidR="00E15FD9" w:rsidRPr="00C6165A" w:rsidRDefault="00E15FD9" w:rsidP="00E15FD9">
            <w:pPr>
              <w:jc w:val="left"/>
              <w:rPr>
                <w:sz w:val="22"/>
                <w:szCs w:val="22"/>
              </w:rPr>
            </w:pPr>
            <w:r w:rsidRPr="00C6165A">
              <w:rPr>
                <w:sz w:val="22"/>
                <w:szCs w:val="22"/>
              </w:rPr>
              <w:t>Ordeño</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9F838" w14:textId="2379A3F3" w:rsidR="00E15FD9" w:rsidRPr="00C6165A" w:rsidRDefault="00066614" w:rsidP="00E15FD9">
            <w:pPr>
              <w:jc w:val="center"/>
              <w:rPr>
                <w:sz w:val="22"/>
                <w:szCs w:val="22"/>
              </w:rPr>
            </w:pPr>
            <w:r>
              <w:rPr>
                <w:sz w:val="22"/>
                <w:szCs w:val="22"/>
              </w:rPr>
              <w:t>79.083</w:t>
            </w:r>
          </w:p>
        </w:tc>
        <w:tc>
          <w:tcPr>
            <w:tcW w:w="1000" w:type="dxa"/>
            <w:tcBorders>
              <w:top w:val="single" w:sz="4" w:space="0" w:color="auto"/>
              <w:left w:val="nil"/>
              <w:bottom w:val="single" w:sz="4" w:space="0" w:color="auto"/>
              <w:right w:val="single" w:sz="4" w:space="0" w:color="auto"/>
            </w:tcBorders>
            <w:shd w:val="clear" w:color="auto" w:fill="auto"/>
            <w:noWrap/>
            <w:vAlign w:val="center"/>
          </w:tcPr>
          <w:p w14:paraId="1F44452D" w14:textId="38E6AAD9" w:rsidR="00E15FD9" w:rsidRPr="00C6165A" w:rsidRDefault="0091100E" w:rsidP="00E15FD9">
            <w:pPr>
              <w:jc w:val="center"/>
              <w:rPr>
                <w:sz w:val="22"/>
                <w:szCs w:val="22"/>
              </w:rPr>
            </w:pPr>
            <w:r>
              <w:rPr>
                <w:sz w:val="22"/>
                <w:szCs w:val="22"/>
              </w:rPr>
              <w:t>75.064</w:t>
            </w:r>
          </w:p>
        </w:tc>
        <w:tc>
          <w:tcPr>
            <w:tcW w:w="1573" w:type="dxa"/>
            <w:tcBorders>
              <w:top w:val="single" w:sz="4" w:space="0" w:color="auto"/>
              <w:left w:val="nil"/>
              <w:bottom w:val="single" w:sz="4" w:space="0" w:color="auto"/>
              <w:right w:val="single" w:sz="4" w:space="0" w:color="auto"/>
            </w:tcBorders>
            <w:shd w:val="clear" w:color="auto" w:fill="auto"/>
            <w:noWrap/>
            <w:vAlign w:val="center"/>
          </w:tcPr>
          <w:p w14:paraId="191E981B" w14:textId="78B4A83C" w:rsidR="00E15FD9" w:rsidRPr="00C6165A" w:rsidRDefault="0091100E" w:rsidP="00E15FD9">
            <w:pPr>
              <w:jc w:val="center"/>
              <w:rPr>
                <w:sz w:val="22"/>
                <w:szCs w:val="22"/>
              </w:rPr>
            </w:pPr>
            <w:r>
              <w:rPr>
                <w:sz w:val="22"/>
                <w:szCs w:val="22"/>
              </w:rPr>
              <w:t>-5,1%</w:t>
            </w:r>
          </w:p>
        </w:tc>
      </w:tr>
      <w:tr w:rsidR="00C6165A" w:rsidRPr="00C6165A" w14:paraId="080701B6" w14:textId="77777777" w:rsidTr="00066614">
        <w:trPr>
          <w:trHeight w:val="300"/>
          <w:jc w:val="center"/>
        </w:trPr>
        <w:tc>
          <w:tcPr>
            <w:tcW w:w="1413" w:type="dxa"/>
            <w:vMerge/>
            <w:shd w:val="clear" w:color="auto" w:fill="auto"/>
            <w:vAlign w:val="center"/>
            <w:hideMark/>
          </w:tcPr>
          <w:p w14:paraId="25E9847E" w14:textId="77777777" w:rsidR="00E15FD9" w:rsidRPr="00C6165A" w:rsidRDefault="00E15FD9" w:rsidP="00E15FD9">
            <w:pPr>
              <w:jc w:val="left"/>
              <w:rPr>
                <w:sz w:val="22"/>
                <w:szCs w:val="22"/>
              </w:rPr>
            </w:pPr>
          </w:p>
        </w:tc>
        <w:tc>
          <w:tcPr>
            <w:tcW w:w="1276" w:type="dxa"/>
            <w:vMerge/>
            <w:shd w:val="clear" w:color="auto" w:fill="auto"/>
            <w:vAlign w:val="bottom"/>
            <w:hideMark/>
          </w:tcPr>
          <w:p w14:paraId="0A8C9B4F" w14:textId="77777777" w:rsidR="00E15FD9" w:rsidRPr="00C6165A" w:rsidRDefault="00E15FD9" w:rsidP="00E15FD9">
            <w:pPr>
              <w:jc w:val="left"/>
              <w:rPr>
                <w:sz w:val="22"/>
                <w:szCs w:val="22"/>
              </w:rPr>
            </w:pPr>
          </w:p>
        </w:tc>
        <w:tc>
          <w:tcPr>
            <w:tcW w:w="1955" w:type="dxa"/>
            <w:shd w:val="clear" w:color="auto" w:fill="auto"/>
            <w:noWrap/>
            <w:vAlign w:val="center"/>
            <w:hideMark/>
          </w:tcPr>
          <w:p w14:paraId="4F2EEEC1" w14:textId="77777777" w:rsidR="00E15FD9" w:rsidRPr="00C6165A" w:rsidRDefault="00E15FD9" w:rsidP="00E15FD9">
            <w:pPr>
              <w:jc w:val="left"/>
              <w:rPr>
                <w:sz w:val="22"/>
                <w:szCs w:val="22"/>
              </w:rPr>
            </w:pPr>
            <w:r w:rsidRPr="00C6165A">
              <w:rPr>
                <w:sz w:val="22"/>
                <w:szCs w:val="22"/>
              </w:rPr>
              <w:t>No ordeño</w:t>
            </w:r>
          </w:p>
        </w:tc>
        <w:tc>
          <w:tcPr>
            <w:tcW w:w="1000" w:type="dxa"/>
            <w:tcBorders>
              <w:top w:val="nil"/>
              <w:left w:val="single" w:sz="4" w:space="0" w:color="auto"/>
              <w:bottom w:val="single" w:sz="4" w:space="0" w:color="auto"/>
              <w:right w:val="single" w:sz="4" w:space="0" w:color="auto"/>
            </w:tcBorders>
            <w:shd w:val="clear" w:color="auto" w:fill="auto"/>
            <w:noWrap/>
            <w:vAlign w:val="center"/>
          </w:tcPr>
          <w:p w14:paraId="568A3FC6" w14:textId="019E1852" w:rsidR="00E15FD9" w:rsidRPr="00C6165A" w:rsidRDefault="00066614" w:rsidP="00E15FD9">
            <w:pPr>
              <w:jc w:val="center"/>
              <w:rPr>
                <w:sz w:val="22"/>
                <w:szCs w:val="22"/>
              </w:rPr>
            </w:pPr>
            <w:r>
              <w:rPr>
                <w:sz w:val="22"/>
                <w:szCs w:val="22"/>
              </w:rPr>
              <w:t>29.969</w:t>
            </w:r>
          </w:p>
        </w:tc>
        <w:tc>
          <w:tcPr>
            <w:tcW w:w="1000" w:type="dxa"/>
            <w:tcBorders>
              <w:top w:val="nil"/>
              <w:left w:val="nil"/>
              <w:bottom w:val="single" w:sz="4" w:space="0" w:color="auto"/>
              <w:right w:val="single" w:sz="4" w:space="0" w:color="auto"/>
            </w:tcBorders>
            <w:shd w:val="clear" w:color="auto" w:fill="auto"/>
            <w:noWrap/>
            <w:vAlign w:val="center"/>
          </w:tcPr>
          <w:p w14:paraId="10BD6AB8" w14:textId="337DFEA9" w:rsidR="00E15FD9" w:rsidRPr="00C6165A" w:rsidRDefault="0091100E" w:rsidP="00E15FD9">
            <w:pPr>
              <w:jc w:val="center"/>
              <w:rPr>
                <w:sz w:val="22"/>
                <w:szCs w:val="22"/>
              </w:rPr>
            </w:pPr>
            <w:r>
              <w:rPr>
                <w:sz w:val="22"/>
                <w:szCs w:val="22"/>
              </w:rPr>
              <w:t>28.087</w:t>
            </w:r>
          </w:p>
        </w:tc>
        <w:tc>
          <w:tcPr>
            <w:tcW w:w="1573" w:type="dxa"/>
            <w:tcBorders>
              <w:top w:val="nil"/>
              <w:left w:val="nil"/>
              <w:bottom w:val="single" w:sz="4" w:space="0" w:color="auto"/>
              <w:right w:val="single" w:sz="4" w:space="0" w:color="auto"/>
            </w:tcBorders>
            <w:shd w:val="clear" w:color="auto" w:fill="auto"/>
            <w:noWrap/>
            <w:vAlign w:val="center"/>
          </w:tcPr>
          <w:p w14:paraId="4DB3DBE0" w14:textId="751647A7" w:rsidR="00E15FD9" w:rsidRPr="00C6165A" w:rsidRDefault="0091100E" w:rsidP="00E15FD9">
            <w:pPr>
              <w:jc w:val="center"/>
              <w:rPr>
                <w:sz w:val="22"/>
                <w:szCs w:val="22"/>
              </w:rPr>
            </w:pPr>
            <w:r>
              <w:rPr>
                <w:sz w:val="22"/>
                <w:szCs w:val="22"/>
              </w:rPr>
              <w:t>-6,3%</w:t>
            </w:r>
          </w:p>
        </w:tc>
      </w:tr>
    </w:tbl>
    <w:p w14:paraId="7E331FC0" w14:textId="77777777" w:rsidR="00CB5999" w:rsidRPr="00703831" w:rsidRDefault="00CB5999" w:rsidP="00CB5999">
      <w:pPr>
        <w:jc w:val="center"/>
        <w:rPr>
          <w:i/>
          <w:iCs/>
          <w:sz w:val="16"/>
          <w:szCs w:val="16"/>
        </w:rPr>
      </w:pPr>
      <w:r w:rsidRPr="00703831">
        <w:rPr>
          <w:i/>
          <w:iCs/>
          <w:sz w:val="16"/>
          <w:szCs w:val="16"/>
        </w:rPr>
        <w:t>Fuente: Elaboración propia a partir de las encuestas ganaderas del Ministerio de Agricultura, Pesca y Alimentación</w:t>
      </w:r>
    </w:p>
    <w:p w14:paraId="1F93FA20" w14:textId="77777777" w:rsidR="00AA49C3" w:rsidRPr="00C6165A" w:rsidRDefault="00AA49C3" w:rsidP="00AA49C3"/>
    <w:p w14:paraId="0AEF6AF4" w14:textId="3A9F2855" w:rsidR="00AA49C3" w:rsidRPr="00C6165A" w:rsidRDefault="00AA49C3" w:rsidP="00AA49C3">
      <w:r w:rsidRPr="00C6165A">
        <w:t xml:space="preserve">De la </w:t>
      </w:r>
      <w:r w:rsidRPr="00C6165A">
        <w:rPr>
          <w:b/>
          <w:bCs/>
        </w:rPr>
        <w:t>especie porcina</w:t>
      </w:r>
      <w:r w:rsidRPr="00C6165A">
        <w:t xml:space="preserve">, el Ministerio censó en mayo de </w:t>
      </w:r>
      <w:r w:rsidR="006D4BB3" w:rsidRPr="00C6165A">
        <w:t>202</w:t>
      </w:r>
      <w:r w:rsidR="0091100E">
        <w:t>3</w:t>
      </w:r>
      <w:r w:rsidRPr="00C6165A">
        <w:t xml:space="preserve"> un total de </w:t>
      </w:r>
      <w:r w:rsidR="006C327D" w:rsidRPr="00C6165A">
        <w:rPr>
          <w:bCs/>
        </w:rPr>
        <w:t>4.</w:t>
      </w:r>
      <w:r w:rsidR="0091100E">
        <w:rPr>
          <w:bCs/>
        </w:rPr>
        <w:t>427.435</w:t>
      </w:r>
      <w:r w:rsidR="006C327D" w:rsidRPr="00C6165A">
        <w:rPr>
          <w:bCs/>
        </w:rPr>
        <w:t xml:space="preserve"> </w:t>
      </w:r>
      <w:r w:rsidRPr="00C6165A">
        <w:rPr>
          <w:bCs/>
        </w:rPr>
        <w:t xml:space="preserve">animales, que supone un </w:t>
      </w:r>
      <w:r w:rsidR="0091100E">
        <w:rPr>
          <w:bCs/>
        </w:rPr>
        <w:t>descenso</w:t>
      </w:r>
      <w:r w:rsidRPr="00C6165A">
        <w:rPr>
          <w:bCs/>
        </w:rPr>
        <w:t xml:space="preserve"> de </w:t>
      </w:r>
      <w:r w:rsidR="006C327D" w:rsidRPr="00C6165A">
        <w:rPr>
          <w:bCs/>
        </w:rPr>
        <w:t xml:space="preserve">más de </w:t>
      </w:r>
      <w:r w:rsidR="0091100E">
        <w:rPr>
          <w:bCs/>
        </w:rPr>
        <w:t>74.700</w:t>
      </w:r>
      <w:r w:rsidR="00CB6C8D" w:rsidRPr="00C6165A">
        <w:rPr>
          <w:bCs/>
        </w:rPr>
        <w:t xml:space="preserve"> </w:t>
      </w:r>
      <w:r w:rsidRPr="00C6165A">
        <w:rPr>
          <w:bCs/>
        </w:rPr>
        <w:t xml:space="preserve">cabezas en comparación con </w:t>
      </w:r>
      <w:r w:rsidR="006C327D" w:rsidRPr="00C6165A">
        <w:rPr>
          <w:bCs/>
        </w:rPr>
        <w:t>202</w:t>
      </w:r>
      <w:r w:rsidR="0091100E">
        <w:rPr>
          <w:bCs/>
        </w:rPr>
        <w:t>2</w:t>
      </w:r>
      <w:r w:rsidR="00C75EA1">
        <w:rPr>
          <w:bCs/>
        </w:rPr>
        <w:t>, un 1,66% menos frente al incremento del 1,78% del año previo.</w:t>
      </w:r>
      <w:r w:rsidR="0075547C" w:rsidRPr="00C6165A">
        <w:t xml:space="preserve"> </w:t>
      </w:r>
      <w:r w:rsidR="00CB6C8D" w:rsidRPr="00C6165A">
        <w:rPr>
          <w:bCs/>
        </w:rPr>
        <w:t>Castilla y León es la tercera región</w:t>
      </w:r>
      <w:r w:rsidR="00CB6C8D" w:rsidRPr="00C6165A">
        <w:t xml:space="preserve"> de España en censo de porcino, con el 13,</w:t>
      </w:r>
      <w:r w:rsidR="0091100E">
        <w:t>08</w:t>
      </w:r>
      <w:r w:rsidR="00154C4C" w:rsidRPr="00C6165A">
        <w:t>%</w:t>
      </w:r>
      <w:r w:rsidR="00CB6C8D" w:rsidRPr="00C6165A">
        <w:t xml:space="preserve"> del total</w:t>
      </w:r>
      <w:r w:rsidR="00E31C2F" w:rsidRPr="00C6165A">
        <w:t xml:space="preserve"> nacional (</w:t>
      </w:r>
      <w:r w:rsidR="0091100E" w:rsidRPr="0091100E">
        <w:t>33</w:t>
      </w:r>
      <w:r w:rsidR="0091100E">
        <w:t>.</w:t>
      </w:r>
      <w:r w:rsidR="0091100E" w:rsidRPr="0091100E">
        <w:t>858</w:t>
      </w:r>
      <w:r w:rsidR="0091100E">
        <w:t>.</w:t>
      </w:r>
      <w:r w:rsidR="0091100E" w:rsidRPr="0091100E">
        <w:t>512</w:t>
      </w:r>
      <w:r w:rsidR="0091100E">
        <w:t xml:space="preserve"> </w:t>
      </w:r>
      <w:r w:rsidR="00E31C2F" w:rsidRPr="00C6165A">
        <w:t>animales)</w:t>
      </w:r>
      <w:r w:rsidR="00CB6C8D" w:rsidRPr="00C6165A">
        <w:t xml:space="preserve">, por detrás </w:t>
      </w:r>
      <w:r w:rsidR="00CB6C8D" w:rsidRPr="0091100E">
        <w:t>de Aragón</w:t>
      </w:r>
      <w:r w:rsidR="00E31C2F" w:rsidRPr="0091100E">
        <w:t xml:space="preserve"> (</w:t>
      </w:r>
      <w:r w:rsidR="0091100E" w:rsidRPr="0091100E">
        <w:t xml:space="preserve">9.785.114 </w:t>
      </w:r>
      <w:r w:rsidR="00E31C2F" w:rsidRPr="0091100E">
        <w:t>animales)</w:t>
      </w:r>
      <w:r w:rsidR="00CB6C8D" w:rsidRPr="0091100E">
        <w:t xml:space="preserve"> y Cataluña</w:t>
      </w:r>
      <w:r w:rsidR="00E31C2F" w:rsidRPr="0091100E">
        <w:t xml:space="preserve"> (</w:t>
      </w:r>
      <w:r w:rsidR="0091100E" w:rsidRPr="0091100E">
        <w:t xml:space="preserve">7.991.797 </w:t>
      </w:r>
      <w:r w:rsidR="00E31C2F" w:rsidRPr="0091100E">
        <w:t>animales)</w:t>
      </w:r>
      <w:r w:rsidR="00CB6C8D" w:rsidRPr="0091100E">
        <w:t>.</w:t>
      </w:r>
      <w:r w:rsidR="00CB6C8D" w:rsidRPr="00C6165A">
        <w:t xml:space="preserve"> </w:t>
      </w:r>
      <w:r w:rsidR="0075547C" w:rsidRPr="00C6165A">
        <w:t xml:space="preserve">En este censo están incluidas las </w:t>
      </w:r>
      <w:r w:rsidR="004B65E5" w:rsidRPr="00C6165A">
        <w:t>1.</w:t>
      </w:r>
      <w:r w:rsidR="0037566C" w:rsidRPr="00C6165A">
        <w:t>055.914</w:t>
      </w:r>
      <w:r w:rsidR="004B65E5" w:rsidRPr="00C6165A">
        <w:t xml:space="preserve"> </w:t>
      </w:r>
      <w:r w:rsidR="0075547C" w:rsidRPr="00C6165A">
        <w:t>cabezas de porcino ibérico que tiene nuestra región</w:t>
      </w:r>
      <w:r w:rsidR="00CB6C8D" w:rsidRPr="00C6165A">
        <w:t xml:space="preserve">, donde se ha experimentado un </w:t>
      </w:r>
      <w:r w:rsidR="004B65E5" w:rsidRPr="00C6165A">
        <w:t>incremento</w:t>
      </w:r>
      <w:r w:rsidR="00CB6C8D" w:rsidRPr="00C6165A">
        <w:t xml:space="preserve"> </w:t>
      </w:r>
      <w:r w:rsidR="002C44C9" w:rsidRPr="00C6165A">
        <w:t>del</w:t>
      </w:r>
      <w:r w:rsidR="00CB6C8D" w:rsidRPr="00C6165A">
        <w:t xml:space="preserve"> </w:t>
      </w:r>
      <w:r w:rsidR="00804246">
        <w:t>0,89</w:t>
      </w:r>
      <w:r w:rsidR="00154C4C" w:rsidRPr="00C6165A">
        <w:t>%</w:t>
      </w:r>
      <w:r w:rsidR="00CB6C8D" w:rsidRPr="00C6165A">
        <w:t xml:space="preserve"> en el último año, siendo la </w:t>
      </w:r>
      <w:r w:rsidR="004B65E5" w:rsidRPr="00C6165A">
        <w:t>segunda</w:t>
      </w:r>
      <w:r w:rsidR="00CB6C8D" w:rsidRPr="00C6165A">
        <w:t xml:space="preserve"> región en número de animales por detrás de Extremadura,</w:t>
      </w:r>
      <w:r w:rsidR="00511215" w:rsidRPr="00C6165A">
        <w:t xml:space="preserve"> que tiene</w:t>
      </w:r>
      <w:r w:rsidR="00CB6C8D" w:rsidRPr="00C6165A">
        <w:t xml:space="preserve"> el </w:t>
      </w:r>
      <w:r w:rsidR="00804246">
        <w:t>38,82</w:t>
      </w:r>
      <w:r w:rsidR="00154C4C" w:rsidRPr="00C6165A">
        <w:t>%</w:t>
      </w:r>
      <w:r w:rsidR="00CB6C8D" w:rsidRPr="00C6165A">
        <w:t xml:space="preserve"> del total nacional de cerdo ibérico.</w:t>
      </w:r>
    </w:p>
    <w:p w14:paraId="1DE6D781" w14:textId="77777777" w:rsidR="00AA49C3" w:rsidRPr="00C6165A" w:rsidRDefault="00AA49C3" w:rsidP="00AA49C3"/>
    <w:p w14:paraId="3BE62091" w14:textId="7851A9A8" w:rsidR="00AA49C3" w:rsidRDefault="00AA49C3" w:rsidP="00AA49C3">
      <w:pPr>
        <w:spacing w:after="120"/>
      </w:pPr>
      <w:r w:rsidRPr="00C6165A">
        <w:t>En la tabla siguiente se puede ver el censo y la evolución por tipo de ganado:</w:t>
      </w:r>
    </w:p>
    <w:p w14:paraId="0E54AFDF" w14:textId="77777777" w:rsidR="00C75EA1" w:rsidRDefault="00C75EA1" w:rsidP="00AA49C3">
      <w:pPr>
        <w:spacing w:after="120"/>
      </w:pPr>
    </w:p>
    <w:tbl>
      <w:tblPr>
        <w:tblW w:w="8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091"/>
        <w:gridCol w:w="2456"/>
        <w:gridCol w:w="1195"/>
        <w:gridCol w:w="1195"/>
        <w:gridCol w:w="1207"/>
      </w:tblGrid>
      <w:tr w:rsidR="00C6165A" w:rsidRPr="00C6165A" w14:paraId="78B8E502" w14:textId="77777777" w:rsidTr="00804246">
        <w:trPr>
          <w:trHeight w:val="290"/>
          <w:jc w:val="center"/>
        </w:trPr>
        <w:tc>
          <w:tcPr>
            <w:tcW w:w="5121" w:type="dxa"/>
            <w:gridSpan w:val="3"/>
            <w:tcBorders>
              <w:top w:val="nil"/>
              <w:left w:val="nil"/>
            </w:tcBorders>
            <w:shd w:val="clear" w:color="auto" w:fill="auto"/>
            <w:noWrap/>
            <w:vAlign w:val="center"/>
            <w:hideMark/>
          </w:tcPr>
          <w:p w14:paraId="067C3711" w14:textId="77777777" w:rsidR="004B65E5" w:rsidRPr="00C6165A" w:rsidRDefault="004B65E5" w:rsidP="004B65E5">
            <w:pPr>
              <w:jc w:val="center"/>
              <w:rPr>
                <w:sz w:val="22"/>
                <w:szCs w:val="22"/>
              </w:rPr>
            </w:pPr>
          </w:p>
        </w:tc>
        <w:tc>
          <w:tcPr>
            <w:tcW w:w="1195" w:type="dxa"/>
            <w:shd w:val="clear" w:color="auto" w:fill="auto"/>
            <w:noWrap/>
            <w:vAlign w:val="center"/>
            <w:hideMark/>
          </w:tcPr>
          <w:p w14:paraId="6659393A" w14:textId="3FE08B1F" w:rsidR="004B65E5" w:rsidRPr="00C6165A" w:rsidRDefault="004B65E5" w:rsidP="004B65E5">
            <w:pPr>
              <w:jc w:val="center"/>
              <w:rPr>
                <w:b/>
                <w:bCs/>
                <w:sz w:val="22"/>
                <w:szCs w:val="22"/>
              </w:rPr>
            </w:pPr>
            <w:r w:rsidRPr="00C6165A">
              <w:rPr>
                <w:b/>
                <w:bCs/>
                <w:sz w:val="22"/>
                <w:szCs w:val="22"/>
              </w:rPr>
              <w:t>202</w:t>
            </w:r>
            <w:r w:rsidR="00804246">
              <w:rPr>
                <w:b/>
                <w:bCs/>
                <w:sz w:val="22"/>
                <w:szCs w:val="22"/>
              </w:rPr>
              <w:t>2</w:t>
            </w:r>
          </w:p>
        </w:tc>
        <w:tc>
          <w:tcPr>
            <w:tcW w:w="1195" w:type="dxa"/>
            <w:shd w:val="clear" w:color="auto" w:fill="auto"/>
            <w:noWrap/>
            <w:vAlign w:val="center"/>
            <w:hideMark/>
          </w:tcPr>
          <w:p w14:paraId="07F54CCD" w14:textId="2C79D9E3" w:rsidR="004B65E5" w:rsidRPr="00C6165A" w:rsidRDefault="004B65E5" w:rsidP="004B65E5">
            <w:pPr>
              <w:jc w:val="center"/>
              <w:rPr>
                <w:b/>
                <w:bCs/>
                <w:sz w:val="22"/>
                <w:szCs w:val="22"/>
              </w:rPr>
            </w:pPr>
            <w:r w:rsidRPr="00C6165A">
              <w:rPr>
                <w:b/>
                <w:bCs/>
                <w:sz w:val="22"/>
                <w:szCs w:val="22"/>
              </w:rPr>
              <w:t>202</w:t>
            </w:r>
            <w:r w:rsidR="00804246">
              <w:rPr>
                <w:b/>
                <w:bCs/>
                <w:sz w:val="22"/>
                <w:szCs w:val="22"/>
              </w:rPr>
              <w:t>3</w:t>
            </w:r>
          </w:p>
        </w:tc>
        <w:tc>
          <w:tcPr>
            <w:tcW w:w="1207" w:type="dxa"/>
            <w:shd w:val="clear" w:color="auto" w:fill="auto"/>
            <w:noWrap/>
            <w:vAlign w:val="center"/>
            <w:hideMark/>
          </w:tcPr>
          <w:p w14:paraId="68900912" w14:textId="77777777" w:rsidR="004B65E5" w:rsidRPr="00C6165A" w:rsidRDefault="004B65E5" w:rsidP="004B65E5">
            <w:pPr>
              <w:jc w:val="center"/>
              <w:rPr>
                <w:b/>
                <w:bCs/>
                <w:sz w:val="22"/>
                <w:szCs w:val="22"/>
              </w:rPr>
            </w:pPr>
            <w:r w:rsidRPr="00C6165A">
              <w:rPr>
                <w:b/>
                <w:bCs/>
                <w:sz w:val="22"/>
                <w:szCs w:val="22"/>
              </w:rPr>
              <w:t>Variación (%)</w:t>
            </w:r>
          </w:p>
        </w:tc>
      </w:tr>
      <w:tr w:rsidR="00804246" w:rsidRPr="00C6165A" w14:paraId="63CF814B" w14:textId="77777777" w:rsidTr="00804246">
        <w:trPr>
          <w:trHeight w:val="290"/>
          <w:jc w:val="center"/>
        </w:trPr>
        <w:tc>
          <w:tcPr>
            <w:tcW w:w="5121" w:type="dxa"/>
            <w:gridSpan w:val="3"/>
            <w:shd w:val="clear" w:color="auto" w:fill="auto"/>
            <w:noWrap/>
            <w:vAlign w:val="center"/>
            <w:hideMark/>
          </w:tcPr>
          <w:p w14:paraId="68366606" w14:textId="77777777" w:rsidR="00804246" w:rsidRPr="00C6165A" w:rsidRDefault="00804246" w:rsidP="00804246">
            <w:pPr>
              <w:jc w:val="left"/>
              <w:rPr>
                <w:b/>
                <w:sz w:val="22"/>
                <w:szCs w:val="22"/>
              </w:rPr>
            </w:pPr>
            <w:r w:rsidRPr="00C6165A">
              <w:rPr>
                <w:b/>
                <w:sz w:val="22"/>
                <w:szCs w:val="22"/>
              </w:rPr>
              <w:t>Total</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4EE64" w14:textId="0B8C1DF6" w:rsidR="00804246" w:rsidRPr="00C6165A" w:rsidRDefault="00804246" w:rsidP="00804246">
            <w:pPr>
              <w:jc w:val="center"/>
              <w:rPr>
                <w:b/>
                <w:bCs/>
                <w:sz w:val="22"/>
                <w:szCs w:val="22"/>
              </w:rPr>
            </w:pPr>
            <w:r w:rsidRPr="00C6165A">
              <w:rPr>
                <w:b/>
                <w:bCs/>
                <w:sz w:val="22"/>
                <w:szCs w:val="22"/>
              </w:rPr>
              <w:t>4.502.205</w:t>
            </w:r>
          </w:p>
        </w:tc>
        <w:tc>
          <w:tcPr>
            <w:tcW w:w="1195" w:type="dxa"/>
            <w:tcBorders>
              <w:top w:val="single" w:sz="4" w:space="0" w:color="auto"/>
              <w:left w:val="nil"/>
              <w:bottom w:val="single" w:sz="4" w:space="0" w:color="auto"/>
              <w:right w:val="single" w:sz="4" w:space="0" w:color="auto"/>
            </w:tcBorders>
            <w:shd w:val="clear" w:color="auto" w:fill="auto"/>
            <w:noWrap/>
            <w:vAlign w:val="center"/>
          </w:tcPr>
          <w:p w14:paraId="146A2F9F" w14:textId="0CFC5F17" w:rsidR="00804246" w:rsidRPr="00C6165A" w:rsidRDefault="00804246" w:rsidP="00804246">
            <w:pPr>
              <w:jc w:val="center"/>
              <w:rPr>
                <w:b/>
                <w:bCs/>
                <w:sz w:val="22"/>
                <w:szCs w:val="22"/>
              </w:rPr>
            </w:pPr>
            <w:r>
              <w:rPr>
                <w:b/>
                <w:bCs/>
                <w:sz w:val="22"/>
                <w:szCs w:val="22"/>
              </w:rPr>
              <w:t>4.427.435</w:t>
            </w:r>
          </w:p>
        </w:tc>
        <w:tc>
          <w:tcPr>
            <w:tcW w:w="1207" w:type="dxa"/>
            <w:tcBorders>
              <w:top w:val="single" w:sz="4" w:space="0" w:color="auto"/>
              <w:left w:val="nil"/>
              <w:bottom w:val="single" w:sz="4" w:space="0" w:color="auto"/>
              <w:right w:val="single" w:sz="4" w:space="0" w:color="auto"/>
            </w:tcBorders>
            <w:shd w:val="clear" w:color="auto" w:fill="auto"/>
            <w:noWrap/>
            <w:vAlign w:val="center"/>
          </w:tcPr>
          <w:p w14:paraId="48B1B091" w14:textId="1007A5CA" w:rsidR="00804246" w:rsidRPr="00C6165A" w:rsidRDefault="00804246" w:rsidP="00804246">
            <w:pPr>
              <w:jc w:val="center"/>
              <w:rPr>
                <w:b/>
                <w:bCs/>
                <w:sz w:val="22"/>
                <w:szCs w:val="22"/>
              </w:rPr>
            </w:pPr>
            <w:r>
              <w:rPr>
                <w:b/>
                <w:bCs/>
                <w:sz w:val="22"/>
                <w:szCs w:val="22"/>
              </w:rPr>
              <w:t>-1,66%</w:t>
            </w:r>
          </w:p>
        </w:tc>
      </w:tr>
      <w:tr w:rsidR="00804246" w:rsidRPr="00C6165A" w14:paraId="1655563C" w14:textId="77777777" w:rsidTr="00804246">
        <w:trPr>
          <w:trHeight w:val="290"/>
          <w:jc w:val="center"/>
        </w:trPr>
        <w:tc>
          <w:tcPr>
            <w:tcW w:w="5121" w:type="dxa"/>
            <w:gridSpan w:val="3"/>
            <w:shd w:val="clear" w:color="auto" w:fill="auto"/>
            <w:noWrap/>
            <w:vAlign w:val="center"/>
            <w:hideMark/>
          </w:tcPr>
          <w:p w14:paraId="2A9FF330" w14:textId="77777777" w:rsidR="00804246" w:rsidRPr="00C6165A" w:rsidRDefault="00804246" w:rsidP="00804246">
            <w:pPr>
              <w:jc w:val="left"/>
              <w:rPr>
                <w:sz w:val="22"/>
                <w:szCs w:val="22"/>
              </w:rPr>
            </w:pPr>
            <w:r w:rsidRPr="00C6165A">
              <w:rPr>
                <w:sz w:val="22"/>
                <w:szCs w:val="22"/>
              </w:rPr>
              <w:t>Lechones</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55414337" w14:textId="7D3C622A" w:rsidR="00804246" w:rsidRPr="00C6165A" w:rsidRDefault="00804246" w:rsidP="00804246">
            <w:pPr>
              <w:jc w:val="center"/>
              <w:rPr>
                <w:sz w:val="22"/>
                <w:szCs w:val="22"/>
              </w:rPr>
            </w:pPr>
            <w:r w:rsidRPr="00C6165A">
              <w:rPr>
                <w:sz w:val="22"/>
                <w:szCs w:val="22"/>
              </w:rPr>
              <w:t>1.313.975</w:t>
            </w:r>
          </w:p>
        </w:tc>
        <w:tc>
          <w:tcPr>
            <w:tcW w:w="1195" w:type="dxa"/>
            <w:tcBorders>
              <w:top w:val="nil"/>
              <w:left w:val="nil"/>
              <w:bottom w:val="single" w:sz="4" w:space="0" w:color="auto"/>
              <w:right w:val="single" w:sz="4" w:space="0" w:color="auto"/>
            </w:tcBorders>
            <w:shd w:val="clear" w:color="auto" w:fill="auto"/>
            <w:noWrap/>
            <w:vAlign w:val="center"/>
          </w:tcPr>
          <w:p w14:paraId="43BC7976" w14:textId="299AA503" w:rsidR="00804246" w:rsidRPr="00C6165A" w:rsidRDefault="00804246" w:rsidP="00804246">
            <w:pPr>
              <w:jc w:val="center"/>
              <w:rPr>
                <w:sz w:val="22"/>
                <w:szCs w:val="22"/>
              </w:rPr>
            </w:pPr>
            <w:r>
              <w:rPr>
                <w:sz w:val="22"/>
                <w:szCs w:val="22"/>
              </w:rPr>
              <w:t>1.220.198</w:t>
            </w:r>
          </w:p>
        </w:tc>
        <w:tc>
          <w:tcPr>
            <w:tcW w:w="1207" w:type="dxa"/>
            <w:tcBorders>
              <w:top w:val="nil"/>
              <w:left w:val="nil"/>
              <w:bottom w:val="single" w:sz="4" w:space="0" w:color="auto"/>
              <w:right w:val="single" w:sz="4" w:space="0" w:color="auto"/>
            </w:tcBorders>
            <w:shd w:val="clear" w:color="auto" w:fill="auto"/>
            <w:noWrap/>
            <w:vAlign w:val="center"/>
          </w:tcPr>
          <w:p w14:paraId="308C6D99" w14:textId="210562AF" w:rsidR="00804246" w:rsidRPr="00C6165A" w:rsidRDefault="00804246" w:rsidP="00804246">
            <w:pPr>
              <w:jc w:val="center"/>
              <w:rPr>
                <w:sz w:val="22"/>
                <w:szCs w:val="22"/>
              </w:rPr>
            </w:pPr>
            <w:r>
              <w:rPr>
                <w:sz w:val="22"/>
                <w:szCs w:val="22"/>
              </w:rPr>
              <w:t>-7,14%</w:t>
            </w:r>
          </w:p>
        </w:tc>
      </w:tr>
      <w:tr w:rsidR="00804246" w:rsidRPr="00C6165A" w14:paraId="3C49FDB7" w14:textId="77777777" w:rsidTr="00804246">
        <w:trPr>
          <w:trHeight w:val="290"/>
          <w:jc w:val="center"/>
        </w:trPr>
        <w:tc>
          <w:tcPr>
            <w:tcW w:w="5121" w:type="dxa"/>
            <w:gridSpan w:val="3"/>
            <w:shd w:val="clear" w:color="auto" w:fill="auto"/>
            <w:noWrap/>
            <w:vAlign w:val="center"/>
            <w:hideMark/>
          </w:tcPr>
          <w:p w14:paraId="62D9F27E" w14:textId="77777777" w:rsidR="00804246" w:rsidRPr="00C6165A" w:rsidRDefault="00804246" w:rsidP="00804246">
            <w:pPr>
              <w:jc w:val="left"/>
              <w:rPr>
                <w:sz w:val="22"/>
                <w:szCs w:val="22"/>
              </w:rPr>
            </w:pPr>
            <w:r w:rsidRPr="00C6165A">
              <w:rPr>
                <w:sz w:val="22"/>
                <w:szCs w:val="22"/>
              </w:rPr>
              <w:t>Cerdos de 20-49 kg (peso vivo)</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5E38BC8A" w14:textId="523FB17B" w:rsidR="00804246" w:rsidRPr="00C6165A" w:rsidRDefault="00804246" w:rsidP="00804246">
            <w:pPr>
              <w:jc w:val="center"/>
              <w:rPr>
                <w:sz w:val="22"/>
                <w:szCs w:val="22"/>
              </w:rPr>
            </w:pPr>
            <w:r w:rsidRPr="00C6165A">
              <w:rPr>
                <w:sz w:val="22"/>
                <w:szCs w:val="22"/>
              </w:rPr>
              <w:t>760.679</w:t>
            </w:r>
          </w:p>
        </w:tc>
        <w:tc>
          <w:tcPr>
            <w:tcW w:w="1195" w:type="dxa"/>
            <w:tcBorders>
              <w:top w:val="nil"/>
              <w:left w:val="nil"/>
              <w:bottom w:val="single" w:sz="4" w:space="0" w:color="auto"/>
              <w:right w:val="single" w:sz="4" w:space="0" w:color="auto"/>
            </w:tcBorders>
            <w:shd w:val="clear" w:color="auto" w:fill="auto"/>
            <w:noWrap/>
            <w:vAlign w:val="center"/>
          </w:tcPr>
          <w:p w14:paraId="41A5E222" w14:textId="0B3D2A8E" w:rsidR="00804246" w:rsidRPr="00C6165A" w:rsidRDefault="00804246" w:rsidP="00804246">
            <w:pPr>
              <w:jc w:val="center"/>
              <w:rPr>
                <w:sz w:val="22"/>
                <w:szCs w:val="22"/>
              </w:rPr>
            </w:pPr>
            <w:r>
              <w:rPr>
                <w:sz w:val="22"/>
                <w:szCs w:val="22"/>
              </w:rPr>
              <w:t>739.586</w:t>
            </w:r>
          </w:p>
        </w:tc>
        <w:tc>
          <w:tcPr>
            <w:tcW w:w="1207" w:type="dxa"/>
            <w:tcBorders>
              <w:top w:val="nil"/>
              <w:left w:val="nil"/>
              <w:bottom w:val="single" w:sz="4" w:space="0" w:color="auto"/>
              <w:right w:val="single" w:sz="4" w:space="0" w:color="auto"/>
            </w:tcBorders>
            <w:shd w:val="clear" w:color="auto" w:fill="auto"/>
            <w:noWrap/>
            <w:vAlign w:val="center"/>
          </w:tcPr>
          <w:p w14:paraId="13E110B0" w14:textId="1DB5682E" w:rsidR="00804246" w:rsidRPr="00804246" w:rsidRDefault="00804246" w:rsidP="00804246">
            <w:pPr>
              <w:jc w:val="center"/>
              <w:rPr>
                <w:rFonts w:ascii="Calibri" w:hAnsi="Calibri" w:cs="Calibri"/>
                <w:color w:val="000000"/>
                <w:sz w:val="22"/>
                <w:szCs w:val="22"/>
                <w:lang w:eastAsia="es-ES"/>
              </w:rPr>
            </w:pPr>
            <w:r>
              <w:rPr>
                <w:rFonts w:ascii="Calibri" w:hAnsi="Calibri" w:cs="Calibri"/>
                <w:color w:val="000000"/>
                <w:sz w:val="22"/>
                <w:szCs w:val="22"/>
              </w:rPr>
              <w:t>-2,77%</w:t>
            </w:r>
          </w:p>
        </w:tc>
      </w:tr>
      <w:tr w:rsidR="00804246" w:rsidRPr="00C6165A" w14:paraId="7755D3CF" w14:textId="77777777" w:rsidTr="00804246">
        <w:trPr>
          <w:trHeight w:val="290"/>
          <w:jc w:val="center"/>
        </w:trPr>
        <w:tc>
          <w:tcPr>
            <w:tcW w:w="1574" w:type="dxa"/>
            <w:vMerge w:val="restart"/>
            <w:shd w:val="clear" w:color="auto" w:fill="auto"/>
            <w:noWrap/>
            <w:vAlign w:val="center"/>
            <w:hideMark/>
          </w:tcPr>
          <w:p w14:paraId="7D971DC8" w14:textId="77777777" w:rsidR="00804246" w:rsidRPr="00C6165A" w:rsidRDefault="00804246" w:rsidP="00804246">
            <w:pPr>
              <w:jc w:val="left"/>
              <w:rPr>
                <w:sz w:val="22"/>
                <w:szCs w:val="22"/>
              </w:rPr>
            </w:pPr>
            <w:r w:rsidRPr="00C6165A">
              <w:rPr>
                <w:sz w:val="22"/>
                <w:szCs w:val="22"/>
              </w:rPr>
              <w:t>Cerdos en cebo</w:t>
            </w:r>
          </w:p>
        </w:tc>
        <w:tc>
          <w:tcPr>
            <w:tcW w:w="3547" w:type="dxa"/>
            <w:gridSpan w:val="2"/>
            <w:shd w:val="clear" w:color="auto" w:fill="auto"/>
            <w:noWrap/>
            <w:vAlign w:val="center"/>
            <w:hideMark/>
          </w:tcPr>
          <w:p w14:paraId="295E8CBA" w14:textId="77777777" w:rsidR="00804246" w:rsidRPr="00C6165A" w:rsidRDefault="00804246" w:rsidP="00804246">
            <w:pPr>
              <w:jc w:val="left"/>
              <w:rPr>
                <w:i/>
                <w:sz w:val="22"/>
                <w:szCs w:val="22"/>
              </w:rPr>
            </w:pPr>
            <w:proofErr w:type="gramStart"/>
            <w:r w:rsidRPr="00C6165A">
              <w:rPr>
                <w:i/>
                <w:sz w:val="22"/>
                <w:szCs w:val="22"/>
              </w:rPr>
              <w:t>Total</w:t>
            </w:r>
            <w:proofErr w:type="gramEnd"/>
            <w:r w:rsidRPr="00C6165A">
              <w:rPr>
                <w:i/>
                <w:sz w:val="22"/>
                <w:szCs w:val="22"/>
              </w:rPr>
              <w:t xml:space="preserve"> cerdos de cebo (peso vivo)</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973D8" w14:textId="53E36CC9" w:rsidR="00804246" w:rsidRPr="00C6165A" w:rsidRDefault="00804246" w:rsidP="00804246">
            <w:pPr>
              <w:jc w:val="center"/>
              <w:rPr>
                <w:i/>
                <w:iCs/>
                <w:sz w:val="22"/>
                <w:szCs w:val="22"/>
              </w:rPr>
            </w:pPr>
            <w:r w:rsidRPr="00C6165A">
              <w:rPr>
                <w:i/>
                <w:sz w:val="22"/>
                <w:szCs w:val="22"/>
              </w:rPr>
              <w:t>1.957.300</w:t>
            </w:r>
          </w:p>
        </w:tc>
        <w:tc>
          <w:tcPr>
            <w:tcW w:w="1195" w:type="dxa"/>
            <w:tcBorders>
              <w:top w:val="single" w:sz="4" w:space="0" w:color="auto"/>
              <w:left w:val="nil"/>
              <w:bottom w:val="single" w:sz="4" w:space="0" w:color="auto"/>
              <w:right w:val="single" w:sz="4" w:space="0" w:color="auto"/>
            </w:tcBorders>
            <w:shd w:val="clear" w:color="auto" w:fill="auto"/>
            <w:noWrap/>
            <w:vAlign w:val="center"/>
          </w:tcPr>
          <w:p w14:paraId="3BEDE8C1" w14:textId="10D22774" w:rsidR="00804246" w:rsidRPr="00C6165A" w:rsidRDefault="00804246" w:rsidP="00804246">
            <w:pPr>
              <w:jc w:val="center"/>
              <w:rPr>
                <w:i/>
                <w:sz w:val="22"/>
                <w:szCs w:val="22"/>
              </w:rPr>
            </w:pPr>
            <w:r>
              <w:rPr>
                <w:i/>
                <w:sz w:val="22"/>
                <w:szCs w:val="22"/>
              </w:rPr>
              <w:t>1.982.492</w:t>
            </w:r>
          </w:p>
        </w:tc>
        <w:tc>
          <w:tcPr>
            <w:tcW w:w="1207" w:type="dxa"/>
            <w:tcBorders>
              <w:top w:val="single" w:sz="4" w:space="0" w:color="auto"/>
              <w:left w:val="nil"/>
              <w:bottom w:val="single" w:sz="4" w:space="0" w:color="auto"/>
              <w:right w:val="single" w:sz="4" w:space="0" w:color="auto"/>
            </w:tcBorders>
            <w:shd w:val="clear" w:color="auto" w:fill="auto"/>
            <w:noWrap/>
            <w:vAlign w:val="center"/>
          </w:tcPr>
          <w:p w14:paraId="3107124D" w14:textId="7D6C77EA" w:rsidR="00804246" w:rsidRPr="00804246" w:rsidRDefault="00804246" w:rsidP="00804246">
            <w:pPr>
              <w:jc w:val="center"/>
              <w:rPr>
                <w:rFonts w:ascii="Calibri" w:hAnsi="Calibri" w:cs="Calibri"/>
                <w:color w:val="000000"/>
                <w:sz w:val="22"/>
                <w:szCs w:val="22"/>
                <w:lang w:eastAsia="es-ES"/>
              </w:rPr>
            </w:pPr>
            <w:r>
              <w:rPr>
                <w:rFonts w:ascii="Calibri" w:hAnsi="Calibri" w:cs="Calibri"/>
                <w:color w:val="000000"/>
                <w:sz w:val="22"/>
                <w:szCs w:val="22"/>
              </w:rPr>
              <w:t>1,29%</w:t>
            </w:r>
          </w:p>
        </w:tc>
      </w:tr>
      <w:tr w:rsidR="00804246" w:rsidRPr="00C6165A" w14:paraId="7F8D771C" w14:textId="77777777" w:rsidTr="00804246">
        <w:trPr>
          <w:trHeight w:val="290"/>
          <w:jc w:val="center"/>
        </w:trPr>
        <w:tc>
          <w:tcPr>
            <w:tcW w:w="1574" w:type="dxa"/>
            <w:vMerge/>
            <w:shd w:val="clear" w:color="auto" w:fill="auto"/>
            <w:noWrap/>
            <w:vAlign w:val="center"/>
            <w:hideMark/>
          </w:tcPr>
          <w:p w14:paraId="32ABA31D" w14:textId="77777777" w:rsidR="00804246" w:rsidRPr="00C6165A" w:rsidRDefault="00804246" w:rsidP="00804246">
            <w:pPr>
              <w:jc w:val="left"/>
              <w:rPr>
                <w:sz w:val="22"/>
                <w:szCs w:val="22"/>
              </w:rPr>
            </w:pPr>
          </w:p>
        </w:tc>
        <w:tc>
          <w:tcPr>
            <w:tcW w:w="3547" w:type="dxa"/>
            <w:gridSpan w:val="2"/>
            <w:shd w:val="clear" w:color="auto" w:fill="auto"/>
            <w:noWrap/>
            <w:vAlign w:val="center"/>
            <w:hideMark/>
          </w:tcPr>
          <w:p w14:paraId="7D9D4D33" w14:textId="77777777" w:rsidR="00804246" w:rsidRPr="00C6165A" w:rsidRDefault="00804246" w:rsidP="00804246">
            <w:pPr>
              <w:jc w:val="left"/>
              <w:rPr>
                <w:sz w:val="22"/>
                <w:szCs w:val="22"/>
              </w:rPr>
            </w:pPr>
            <w:r w:rsidRPr="00C6165A">
              <w:rPr>
                <w:sz w:val="22"/>
                <w:szCs w:val="22"/>
              </w:rPr>
              <w:t>De 50-79 kg</w:t>
            </w:r>
          </w:p>
        </w:tc>
        <w:tc>
          <w:tcPr>
            <w:tcW w:w="1195" w:type="dxa"/>
            <w:tcBorders>
              <w:top w:val="nil"/>
              <w:left w:val="single" w:sz="4" w:space="0" w:color="auto"/>
              <w:bottom w:val="single" w:sz="4" w:space="0" w:color="auto"/>
              <w:right w:val="single" w:sz="4" w:space="0" w:color="auto"/>
            </w:tcBorders>
            <w:shd w:val="clear" w:color="auto" w:fill="auto"/>
            <w:noWrap/>
            <w:vAlign w:val="center"/>
          </w:tcPr>
          <w:p w14:paraId="16A78A2D" w14:textId="4B09ED37" w:rsidR="00804246" w:rsidRPr="00C6165A" w:rsidRDefault="00804246" w:rsidP="00804246">
            <w:pPr>
              <w:jc w:val="center"/>
              <w:rPr>
                <w:sz w:val="22"/>
                <w:szCs w:val="22"/>
              </w:rPr>
            </w:pPr>
            <w:r w:rsidRPr="00C6165A">
              <w:rPr>
                <w:sz w:val="22"/>
                <w:szCs w:val="22"/>
              </w:rPr>
              <w:t>719.527</w:t>
            </w:r>
          </w:p>
        </w:tc>
        <w:tc>
          <w:tcPr>
            <w:tcW w:w="1195" w:type="dxa"/>
            <w:tcBorders>
              <w:top w:val="nil"/>
              <w:left w:val="nil"/>
              <w:bottom w:val="single" w:sz="4" w:space="0" w:color="auto"/>
              <w:right w:val="single" w:sz="4" w:space="0" w:color="auto"/>
            </w:tcBorders>
            <w:shd w:val="clear" w:color="auto" w:fill="auto"/>
            <w:noWrap/>
            <w:vAlign w:val="center"/>
          </w:tcPr>
          <w:p w14:paraId="346CA283" w14:textId="3A9A8307" w:rsidR="00804246" w:rsidRPr="00C6165A" w:rsidRDefault="00804246" w:rsidP="00804246">
            <w:pPr>
              <w:jc w:val="center"/>
              <w:rPr>
                <w:sz w:val="22"/>
                <w:szCs w:val="22"/>
              </w:rPr>
            </w:pPr>
            <w:r>
              <w:rPr>
                <w:sz w:val="22"/>
                <w:szCs w:val="22"/>
              </w:rPr>
              <w:t>731.645</w:t>
            </w:r>
          </w:p>
        </w:tc>
        <w:tc>
          <w:tcPr>
            <w:tcW w:w="1207" w:type="dxa"/>
            <w:tcBorders>
              <w:top w:val="nil"/>
              <w:left w:val="nil"/>
              <w:bottom w:val="single" w:sz="4" w:space="0" w:color="auto"/>
              <w:right w:val="single" w:sz="4" w:space="0" w:color="auto"/>
            </w:tcBorders>
            <w:shd w:val="clear" w:color="auto" w:fill="auto"/>
            <w:noWrap/>
            <w:vAlign w:val="center"/>
          </w:tcPr>
          <w:p w14:paraId="46A33DFA" w14:textId="5C1731D7" w:rsidR="00804246" w:rsidRPr="00804246" w:rsidRDefault="00804246" w:rsidP="00804246">
            <w:pPr>
              <w:jc w:val="center"/>
              <w:rPr>
                <w:rFonts w:ascii="Calibri" w:hAnsi="Calibri" w:cs="Calibri"/>
                <w:color w:val="000000"/>
                <w:sz w:val="22"/>
                <w:szCs w:val="22"/>
                <w:lang w:eastAsia="es-ES"/>
              </w:rPr>
            </w:pPr>
            <w:r>
              <w:rPr>
                <w:rFonts w:ascii="Calibri" w:hAnsi="Calibri" w:cs="Calibri"/>
                <w:color w:val="000000"/>
                <w:sz w:val="22"/>
                <w:szCs w:val="22"/>
              </w:rPr>
              <w:t>1,68%</w:t>
            </w:r>
          </w:p>
        </w:tc>
      </w:tr>
      <w:tr w:rsidR="00804246" w:rsidRPr="00C6165A" w14:paraId="1ED504B4" w14:textId="77777777" w:rsidTr="00804246">
        <w:trPr>
          <w:trHeight w:val="290"/>
          <w:jc w:val="center"/>
        </w:trPr>
        <w:tc>
          <w:tcPr>
            <w:tcW w:w="1574" w:type="dxa"/>
            <w:vMerge/>
            <w:shd w:val="clear" w:color="auto" w:fill="auto"/>
            <w:noWrap/>
            <w:vAlign w:val="center"/>
            <w:hideMark/>
          </w:tcPr>
          <w:p w14:paraId="711F5E76" w14:textId="77777777" w:rsidR="00804246" w:rsidRPr="00C6165A" w:rsidRDefault="00804246" w:rsidP="00804246">
            <w:pPr>
              <w:jc w:val="left"/>
              <w:rPr>
                <w:sz w:val="22"/>
                <w:szCs w:val="22"/>
              </w:rPr>
            </w:pPr>
          </w:p>
        </w:tc>
        <w:tc>
          <w:tcPr>
            <w:tcW w:w="3547" w:type="dxa"/>
            <w:gridSpan w:val="2"/>
            <w:shd w:val="clear" w:color="auto" w:fill="auto"/>
            <w:noWrap/>
            <w:vAlign w:val="center"/>
            <w:hideMark/>
          </w:tcPr>
          <w:p w14:paraId="5B77C748" w14:textId="77777777" w:rsidR="00804246" w:rsidRPr="00C6165A" w:rsidRDefault="00804246" w:rsidP="00804246">
            <w:pPr>
              <w:jc w:val="left"/>
              <w:rPr>
                <w:sz w:val="22"/>
                <w:szCs w:val="22"/>
              </w:rPr>
            </w:pPr>
            <w:r w:rsidRPr="00C6165A">
              <w:rPr>
                <w:sz w:val="22"/>
                <w:szCs w:val="22"/>
              </w:rPr>
              <w:t>De 80-109 kg</w:t>
            </w:r>
          </w:p>
        </w:tc>
        <w:tc>
          <w:tcPr>
            <w:tcW w:w="1195" w:type="dxa"/>
            <w:tcBorders>
              <w:top w:val="nil"/>
              <w:left w:val="single" w:sz="4" w:space="0" w:color="auto"/>
              <w:bottom w:val="single" w:sz="4" w:space="0" w:color="auto"/>
              <w:right w:val="single" w:sz="4" w:space="0" w:color="auto"/>
            </w:tcBorders>
            <w:shd w:val="clear" w:color="auto" w:fill="auto"/>
            <w:noWrap/>
            <w:vAlign w:val="center"/>
          </w:tcPr>
          <w:p w14:paraId="1D24FD16" w14:textId="17FFD680" w:rsidR="00804246" w:rsidRPr="00C6165A" w:rsidRDefault="00804246" w:rsidP="00804246">
            <w:pPr>
              <w:jc w:val="center"/>
              <w:rPr>
                <w:sz w:val="22"/>
                <w:szCs w:val="22"/>
              </w:rPr>
            </w:pPr>
            <w:r w:rsidRPr="00C6165A">
              <w:rPr>
                <w:sz w:val="22"/>
                <w:szCs w:val="22"/>
              </w:rPr>
              <w:t>793.865</w:t>
            </w:r>
          </w:p>
        </w:tc>
        <w:tc>
          <w:tcPr>
            <w:tcW w:w="1195" w:type="dxa"/>
            <w:tcBorders>
              <w:top w:val="nil"/>
              <w:left w:val="nil"/>
              <w:bottom w:val="single" w:sz="4" w:space="0" w:color="auto"/>
              <w:right w:val="single" w:sz="4" w:space="0" w:color="auto"/>
            </w:tcBorders>
            <w:shd w:val="clear" w:color="auto" w:fill="auto"/>
            <w:noWrap/>
            <w:vAlign w:val="center"/>
          </w:tcPr>
          <w:p w14:paraId="2F0DE5FF" w14:textId="6F2C0235" w:rsidR="00804246" w:rsidRPr="00C6165A" w:rsidRDefault="00804246" w:rsidP="00804246">
            <w:pPr>
              <w:jc w:val="center"/>
              <w:rPr>
                <w:sz w:val="22"/>
                <w:szCs w:val="22"/>
              </w:rPr>
            </w:pPr>
            <w:r>
              <w:rPr>
                <w:sz w:val="22"/>
                <w:szCs w:val="22"/>
              </w:rPr>
              <w:t>793.752</w:t>
            </w:r>
          </w:p>
        </w:tc>
        <w:tc>
          <w:tcPr>
            <w:tcW w:w="1207" w:type="dxa"/>
            <w:tcBorders>
              <w:top w:val="nil"/>
              <w:left w:val="nil"/>
              <w:bottom w:val="single" w:sz="4" w:space="0" w:color="auto"/>
              <w:right w:val="single" w:sz="4" w:space="0" w:color="auto"/>
            </w:tcBorders>
            <w:shd w:val="clear" w:color="auto" w:fill="auto"/>
            <w:noWrap/>
            <w:vAlign w:val="center"/>
          </w:tcPr>
          <w:p w14:paraId="433D3989" w14:textId="2C15A3CB" w:rsidR="00804246" w:rsidRPr="00804246" w:rsidRDefault="00804246" w:rsidP="00804246">
            <w:pPr>
              <w:jc w:val="center"/>
              <w:rPr>
                <w:rFonts w:ascii="Calibri" w:hAnsi="Calibri" w:cs="Calibri"/>
                <w:color w:val="000000"/>
                <w:sz w:val="22"/>
                <w:szCs w:val="22"/>
                <w:lang w:eastAsia="es-ES"/>
              </w:rPr>
            </w:pPr>
            <w:r>
              <w:rPr>
                <w:rFonts w:ascii="Calibri" w:hAnsi="Calibri" w:cs="Calibri"/>
                <w:color w:val="000000"/>
                <w:sz w:val="22"/>
                <w:szCs w:val="22"/>
              </w:rPr>
              <w:t>-0,01%</w:t>
            </w:r>
          </w:p>
        </w:tc>
      </w:tr>
      <w:tr w:rsidR="00804246" w:rsidRPr="00C6165A" w14:paraId="7E4638F7" w14:textId="77777777" w:rsidTr="00804246">
        <w:trPr>
          <w:trHeight w:val="290"/>
          <w:jc w:val="center"/>
        </w:trPr>
        <w:tc>
          <w:tcPr>
            <w:tcW w:w="1574" w:type="dxa"/>
            <w:vMerge/>
            <w:shd w:val="clear" w:color="auto" w:fill="auto"/>
            <w:noWrap/>
            <w:vAlign w:val="center"/>
            <w:hideMark/>
          </w:tcPr>
          <w:p w14:paraId="6D222F40" w14:textId="77777777" w:rsidR="00804246" w:rsidRPr="00C6165A" w:rsidRDefault="00804246" w:rsidP="00804246">
            <w:pPr>
              <w:jc w:val="left"/>
              <w:rPr>
                <w:sz w:val="22"/>
                <w:szCs w:val="22"/>
              </w:rPr>
            </w:pPr>
          </w:p>
        </w:tc>
        <w:tc>
          <w:tcPr>
            <w:tcW w:w="3547" w:type="dxa"/>
            <w:gridSpan w:val="2"/>
            <w:shd w:val="clear" w:color="auto" w:fill="auto"/>
            <w:noWrap/>
            <w:vAlign w:val="center"/>
            <w:hideMark/>
          </w:tcPr>
          <w:p w14:paraId="537B9D7D" w14:textId="77777777" w:rsidR="00804246" w:rsidRPr="00C6165A" w:rsidRDefault="00804246" w:rsidP="00804246">
            <w:pPr>
              <w:jc w:val="left"/>
              <w:rPr>
                <w:sz w:val="22"/>
                <w:szCs w:val="22"/>
              </w:rPr>
            </w:pPr>
            <w:r w:rsidRPr="00C6165A">
              <w:rPr>
                <w:sz w:val="22"/>
                <w:szCs w:val="22"/>
              </w:rPr>
              <w:t>&gt; 109 kg</w:t>
            </w:r>
          </w:p>
        </w:tc>
        <w:tc>
          <w:tcPr>
            <w:tcW w:w="1195" w:type="dxa"/>
            <w:tcBorders>
              <w:top w:val="nil"/>
              <w:left w:val="single" w:sz="4" w:space="0" w:color="auto"/>
              <w:bottom w:val="single" w:sz="4" w:space="0" w:color="auto"/>
              <w:right w:val="single" w:sz="4" w:space="0" w:color="auto"/>
            </w:tcBorders>
            <w:shd w:val="clear" w:color="auto" w:fill="auto"/>
            <w:noWrap/>
            <w:vAlign w:val="center"/>
          </w:tcPr>
          <w:p w14:paraId="4855AC56" w14:textId="6644B7F5" w:rsidR="00804246" w:rsidRPr="00C6165A" w:rsidRDefault="00804246" w:rsidP="00804246">
            <w:pPr>
              <w:jc w:val="center"/>
              <w:rPr>
                <w:sz w:val="22"/>
                <w:szCs w:val="22"/>
              </w:rPr>
            </w:pPr>
            <w:r w:rsidRPr="00C6165A">
              <w:rPr>
                <w:sz w:val="22"/>
                <w:szCs w:val="22"/>
              </w:rPr>
              <w:t>443.908</w:t>
            </w:r>
          </w:p>
        </w:tc>
        <w:tc>
          <w:tcPr>
            <w:tcW w:w="1195" w:type="dxa"/>
            <w:tcBorders>
              <w:top w:val="nil"/>
              <w:left w:val="nil"/>
              <w:bottom w:val="single" w:sz="4" w:space="0" w:color="auto"/>
              <w:right w:val="single" w:sz="4" w:space="0" w:color="auto"/>
            </w:tcBorders>
            <w:shd w:val="clear" w:color="auto" w:fill="auto"/>
            <w:noWrap/>
            <w:vAlign w:val="center"/>
          </w:tcPr>
          <w:p w14:paraId="19C1369C" w14:textId="75D37282" w:rsidR="00804246" w:rsidRPr="00C6165A" w:rsidRDefault="00804246" w:rsidP="00804246">
            <w:pPr>
              <w:jc w:val="center"/>
              <w:rPr>
                <w:sz w:val="22"/>
                <w:szCs w:val="22"/>
              </w:rPr>
            </w:pPr>
            <w:r>
              <w:rPr>
                <w:sz w:val="22"/>
                <w:szCs w:val="22"/>
              </w:rPr>
              <w:t>457.095</w:t>
            </w:r>
          </w:p>
        </w:tc>
        <w:tc>
          <w:tcPr>
            <w:tcW w:w="1207" w:type="dxa"/>
            <w:tcBorders>
              <w:top w:val="nil"/>
              <w:left w:val="nil"/>
              <w:bottom w:val="single" w:sz="4" w:space="0" w:color="auto"/>
              <w:right w:val="single" w:sz="4" w:space="0" w:color="auto"/>
            </w:tcBorders>
            <w:shd w:val="clear" w:color="auto" w:fill="auto"/>
            <w:noWrap/>
            <w:vAlign w:val="center"/>
          </w:tcPr>
          <w:p w14:paraId="2458D092" w14:textId="69873EA3" w:rsidR="00804246" w:rsidRPr="00804246" w:rsidRDefault="00804246" w:rsidP="00804246">
            <w:pPr>
              <w:jc w:val="center"/>
              <w:rPr>
                <w:rFonts w:ascii="Calibri" w:hAnsi="Calibri" w:cs="Calibri"/>
                <w:color w:val="000000"/>
                <w:sz w:val="22"/>
                <w:szCs w:val="22"/>
                <w:lang w:eastAsia="es-ES"/>
              </w:rPr>
            </w:pPr>
            <w:r>
              <w:rPr>
                <w:rFonts w:ascii="Calibri" w:hAnsi="Calibri" w:cs="Calibri"/>
                <w:color w:val="000000"/>
                <w:sz w:val="22"/>
                <w:szCs w:val="22"/>
              </w:rPr>
              <w:t>2,97%</w:t>
            </w:r>
          </w:p>
        </w:tc>
      </w:tr>
      <w:tr w:rsidR="00804246" w:rsidRPr="00C6165A" w14:paraId="552E5CDE" w14:textId="77777777" w:rsidTr="00804246">
        <w:trPr>
          <w:trHeight w:val="290"/>
          <w:jc w:val="center"/>
        </w:trPr>
        <w:tc>
          <w:tcPr>
            <w:tcW w:w="5121" w:type="dxa"/>
            <w:gridSpan w:val="3"/>
            <w:shd w:val="clear" w:color="auto" w:fill="auto"/>
            <w:noWrap/>
            <w:vAlign w:val="center"/>
            <w:hideMark/>
          </w:tcPr>
          <w:p w14:paraId="67046A51" w14:textId="77777777" w:rsidR="00804246" w:rsidRPr="00C6165A" w:rsidRDefault="00804246" w:rsidP="00804246">
            <w:pPr>
              <w:jc w:val="left"/>
              <w:rPr>
                <w:sz w:val="22"/>
                <w:szCs w:val="22"/>
              </w:rPr>
            </w:pPr>
            <w:r w:rsidRPr="00C6165A">
              <w:rPr>
                <w:sz w:val="22"/>
                <w:szCs w:val="22"/>
              </w:rPr>
              <w:t>Verracos</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F98BE" w14:textId="5C556DB6" w:rsidR="00804246" w:rsidRPr="00C6165A" w:rsidRDefault="00804246" w:rsidP="00804246">
            <w:pPr>
              <w:jc w:val="center"/>
              <w:rPr>
                <w:sz w:val="22"/>
                <w:szCs w:val="22"/>
              </w:rPr>
            </w:pPr>
            <w:r w:rsidRPr="00C6165A">
              <w:rPr>
                <w:sz w:val="22"/>
                <w:szCs w:val="22"/>
              </w:rPr>
              <w:t>5.183</w:t>
            </w:r>
          </w:p>
        </w:tc>
        <w:tc>
          <w:tcPr>
            <w:tcW w:w="1195" w:type="dxa"/>
            <w:tcBorders>
              <w:top w:val="single" w:sz="4" w:space="0" w:color="auto"/>
              <w:left w:val="nil"/>
              <w:bottom w:val="single" w:sz="4" w:space="0" w:color="auto"/>
              <w:right w:val="single" w:sz="4" w:space="0" w:color="auto"/>
            </w:tcBorders>
            <w:shd w:val="clear" w:color="auto" w:fill="auto"/>
            <w:noWrap/>
            <w:vAlign w:val="center"/>
          </w:tcPr>
          <w:p w14:paraId="67437967" w14:textId="54D39A84" w:rsidR="00804246" w:rsidRPr="00C6165A" w:rsidRDefault="00804246" w:rsidP="00804246">
            <w:pPr>
              <w:jc w:val="center"/>
              <w:rPr>
                <w:sz w:val="22"/>
                <w:szCs w:val="22"/>
              </w:rPr>
            </w:pPr>
            <w:r>
              <w:rPr>
                <w:sz w:val="22"/>
                <w:szCs w:val="22"/>
              </w:rPr>
              <w:t>4.939</w:t>
            </w:r>
          </w:p>
        </w:tc>
        <w:tc>
          <w:tcPr>
            <w:tcW w:w="1207" w:type="dxa"/>
            <w:tcBorders>
              <w:top w:val="single" w:sz="4" w:space="0" w:color="auto"/>
              <w:left w:val="nil"/>
              <w:bottom w:val="single" w:sz="4" w:space="0" w:color="auto"/>
              <w:right w:val="single" w:sz="4" w:space="0" w:color="auto"/>
            </w:tcBorders>
            <w:shd w:val="clear" w:color="auto" w:fill="auto"/>
            <w:noWrap/>
            <w:vAlign w:val="center"/>
          </w:tcPr>
          <w:p w14:paraId="22955018" w14:textId="4D77AED9" w:rsidR="00804246" w:rsidRPr="00804246" w:rsidRDefault="00804246" w:rsidP="00804246">
            <w:pPr>
              <w:jc w:val="center"/>
              <w:rPr>
                <w:rFonts w:ascii="Calibri" w:hAnsi="Calibri" w:cs="Calibri"/>
                <w:color w:val="000000"/>
                <w:sz w:val="22"/>
                <w:szCs w:val="22"/>
                <w:lang w:eastAsia="es-ES"/>
              </w:rPr>
            </w:pPr>
            <w:r>
              <w:rPr>
                <w:rFonts w:ascii="Calibri" w:hAnsi="Calibri" w:cs="Calibri"/>
                <w:color w:val="000000"/>
                <w:sz w:val="22"/>
                <w:szCs w:val="22"/>
              </w:rPr>
              <w:t>-4,71%</w:t>
            </w:r>
          </w:p>
        </w:tc>
      </w:tr>
      <w:tr w:rsidR="00804246" w:rsidRPr="00C6165A" w14:paraId="40900AED" w14:textId="77777777" w:rsidTr="00804246">
        <w:trPr>
          <w:trHeight w:val="290"/>
          <w:jc w:val="center"/>
        </w:trPr>
        <w:tc>
          <w:tcPr>
            <w:tcW w:w="1574" w:type="dxa"/>
            <w:vMerge w:val="restart"/>
            <w:shd w:val="clear" w:color="auto" w:fill="auto"/>
            <w:noWrap/>
            <w:vAlign w:val="center"/>
            <w:hideMark/>
          </w:tcPr>
          <w:p w14:paraId="6EAD9AAB" w14:textId="77777777" w:rsidR="00804246" w:rsidRPr="00C6165A" w:rsidRDefault="00804246" w:rsidP="00804246">
            <w:pPr>
              <w:jc w:val="left"/>
              <w:rPr>
                <w:sz w:val="22"/>
                <w:szCs w:val="22"/>
              </w:rPr>
            </w:pPr>
            <w:r w:rsidRPr="00C6165A">
              <w:rPr>
                <w:sz w:val="22"/>
                <w:szCs w:val="22"/>
              </w:rPr>
              <w:t>Cerdas reproductoras</w:t>
            </w:r>
          </w:p>
        </w:tc>
        <w:tc>
          <w:tcPr>
            <w:tcW w:w="3547" w:type="dxa"/>
            <w:gridSpan w:val="2"/>
            <w:shd w:val="clear" w:color="auto" w:fill="auto"/>
            <w:noWrap/>
            <w:vAlign w:val="center"/>
            <w:hideMark/>
          </w:tcPr>
          <w:p w14:paraId="15139327" w14:textId="77777777" w:rsidR="00804246" w:rsidRPr="00C6165A" w:rsidRDefault="00804246" w:rsidP="00804246">
            <w:pPr>
              <w:jc w:val="left"/>
              <w:rPr>
                <w:i/>
                <w:sz w:val="22"/>
                <w:szCs w:val="22"/>
              </w:rPr>
            </w:pPr>
            <w:proofErr w:type="gramStart"/>
            <w:r w:rsidRPr="00C6165A">
              <w:rPr>
                <w:i/>
                <w:sz w:val="22"/>
                <w:szCs w:val="22"/>
              </w:rPr>
              <w:t>Total</w:t>
            </w:r>
            <w:proofErr w:type="gramEnd"/>
            <w:r w:rsidRPr="00C6165A">
              <w:rPr>
                <w:i/>
                <w:sz w:val="22"/>
                <w:szCs w:val="22"/>
              </w:rPr>
              <w:t xml:space="preserve"> cerdas reproductoras</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00EA8E" w14:textId="2F0FFCA7" w:rsidR="00804246" w:rsidRPr="00C6165A" w:rsidRDefault="00804246" w:rsidP="00804246">
            <w:pPr>
              <w:jc w:val="center"/>
              <w:rPr>
                <w:i/>
                <w:iCs/>
                <w:sz w:val="22"/>
                <w:szCs w:val="22"/>
              </w:rPr>
            </w:pPr>
            <w:r w:rsidRPr="00C6165A">
              <w:rPr>
                <w:i/>
                <w:iCs/>
                <w:sz w:val="22"/>
                <w:szCs w:val="22"/>
              </w:rPr>
              <w:t>465.068</w:t>
            </w:r>
          </w:p>
        </w:tc>
        <w:tc>
          <w:tcPr>
            <w:tcW w:w="1195" w:type="dxa"/>
            <w:tcBorders>
              <w:top w:val="single" w:sz="4" w:space="0" w:color="auto"/>
              <w:left w:val="nil"/>
              <w:bottom w:val="single" w:sz="4" w:space="0" w:color="auto"/>
              <w:right w:val="single" w:sz="4" w:space="0" w:color="auto"/>
            </w:tcBorders>
            <w:shd w:val="clear" w:color="auto" w:fill="auto"/>
            <w:noWrap/>
            <w:vAlign w:val="center"/>
          </w:tcPr>
          <w:p w14:paraId="5D330394" w14:textId="034A862C" w:rsidR="00804246" w:rsidRPr="00C6165A" w:rsidRDefault="00804246" w:rsidP="00804246">
            <w:pPr>
              <w:jc w:val="center"/>
              <w:rPr>
                <w:i/>
                <w:iCs/>
                <w:sz w:val="22"/>
                <w:szCs w:val="22"/>
              </w:rPr>
            </w:pPr>
            <w:r>
              <w:rPr>
                <w:i/>
                <w:iCs/>
                <w:sz w:val="22"/>
                <w:szCs w:val="22"/>
              </w:rPr>
              <w:t>480.220</w:t>
            </w:r>
          </w:p>
        </w:tc>
        <w:tc>
          <w:tcPr>
            <w:tcW w:w="1207" w:type="dxa"/>
            <w:tcBorders>
              <w:top w:val="single" w:sz="4" w:space="0" w:color="auto"/>
              <w:left w:val="nil"/>
              <w:bottom w:val="single" w:sz="4" w:space="0" w:color="auto"/>
              <w:right w:val="single" w:sz="4" w:space="0" w:color="auto"/>
            </w:tcBorders>
            <w:shd w:val="clear" w:color="auto" w:fill="auto"/>
            <w:noWrap/>
            <w:vAlign w:val="center"/>
          </w:tcPr>
          <w:p w14:paraId="091D353D" w14:textId="2BFFB785" w:rsidR="00804246" w:rsidRPr="00804246" w:rsidRDefault="00804246" w:rsidP="00804246">
            <w:pPr>
              <w:jc w:val="center"/>
              <w:rPr>
                <w:rFonts w:ascii="Calibri" w:hAnsi="Calibri" w:cs="Calibri"/>
                <w:color w:val="000000"/>
                <w:sz w:val="22"/>
                <w:szCs w:val="22"/>
                <w:lang w:eastAsia="es-ES"/>
              </w:rPr>
            </w:pPr>
            <w:r>
              <w:rPr>
                <w:rFonts w:ascii="Calibri" w:hAnsi="Calibri" w:cs="Calibri"/>
                <w:color w:val="000000"/>
                <w:sz w:val="22"/>
                <w:szCs w:val="22"/>
              </w:rPr>
              <w:t>3,26%</w:t>
            </w:r>
          </w:p>
        </w:tc>
      </w:tr>
      <w:tr w:rsidR="00804246" w:rsidRPr="00C6165A" w14:paraId="6EE99196" w14:textId="77777777" w:rsidTr="00804246">
        <w:trPr>
          <w:trHeight w:val="290"/>
          <w:jc w:val="center"/>
        </w:trPr>
        <w:tc>
          <w:tcPr>
            <w:tcW w:w="1574" w:type="dxa"/>
            <w:vMerge/>
            <w:shd w:val="clear" w:color="auto" w:fill="auto"/>
            <w:noWrap/>
            <w:vAlign w:val="center"/>
            <w:hideMark/>
          </w:tcPr>
          <w:p w14:paraId="70FFEE8D" w14:textId="77777777" w:rsidR="00804246" w:rsidRPr="00C6165A" w:rsidRDefault="00804246" w:rsidP="00804246">
            <w:pPr>
              <w:jc w:val="left"/>
              <w:rPr>
                <w:sz w:val="22"/>
                <w:szCs w:val="22"/>
              </w:rPr>
            </w:pPr>
          </w:p>
        </w:tc>
        <w:tc>
          <w:tcPr>
            <w:tcW w:w="1091" w:type="dxa"/>
            <w:vMerge w:val="restart"/>
            <w:shd w:val="clear" w:color="auto" w:fill="auto"/>
            <w:noWrap/>
            <w:vAlign w:val="center"/>
            <w:hideMark/>
          </w:tcPr>
          <w:p w14:paraId="256F89DD" w14:textId="77777777" w:rsidR="00804246" w:rsidRPr="00C6165A" w:rsidRDefault="00804246" w:rsidP="00804246">
            <w:pPr>
              <w:jc w:val="left"/>
              <w:rPr>
                <w:sz w:val="22"/>
                <w:szCs w:val="22"/>
              </w:rPr>
            </w:pPr>
            <w:r w:rsidRPr="00C6165A">
              <w:rPr>
                <w:sz w:val="22"/>
                <w:szCs w:val="22"/>
              </w:rPr>
              <w:t>Nunca han parido</w:t>
            </w:r>
          </w:p>
        </w:tc>
        <w:tc>
          <w:tcPr>
            <w:tcW w:w="2456" w:type="dxa"/>
            <w:shd w:val="clear" w:color="auto" w:fill="auto"/>
            <w:noWrap/>
            <w:vAlign w:val="center"/>
            <w:hideMark/>
          </w:tcPr>
          <w:p w14:paraId="4308B9D4" w14:textId="77777777" w:rsidR="00804246" w:rsidRPr="00C6165A" w:rsidRDefault="00804246" w:rsidP="00804246">
            <w:pPr>
              <w:jc w:val="left"/>
              <w:rPr>
                <w:sz w:val="22"/>
                <w:szCs w:val="22"/>
              </w:rPr>
            </w:pPr>
            <w:r w:rsidRPr="00C6165A">
              <w:rPr>
                <w:sz w:val="22"/>
                <w:szCs w:val="22"/>
              </w:rPr>
              <w:t>Cerdas todavía no cubiertas</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DCBFD" w14:textId="359BB195" w:rsidR="00804246" w:rsidRPr="00C6165A" w:rsidRDefault="00804246" w:rsidP="00804246">
            <w:pPr>
              <w:jc w:val="center"/>
              <w:rPr>
                <w:sz w:val="22"/>
                <w:szCs w:val="22"/>
              </w:rPr>
            </w:pPr>
            <w:r w:rsidRPr="00C6165A">
              <w:rPr>
                <w:sz w:val="22"/>
                <w:szCs w:val="22"/>
              </w:rPr>
              <w:t>100.455</w:t>
            </w:r>
          </w:p>
        </w:tc>
        <w:tc>
          <w:tcPr>
            <w:tcW w:w="1195" w:type="dxa"/>
            <w:tcBorders>
              <w:top w:val="single" w:sz="4" w:space="0" w:color="auto"/>
              <w:left w:val="nil"/>
              <w:bottom w:val="single" w:sz="4" w:space="0" w:color="auto"/>
              <w:right w:val="single" w:sz="4" w:space="0" w:color="auto"/>
            </w:tcBorders>
            <w:shd w:val="clear" w:color="auto" w:fill="auto"/>
            <w:noWrap/>
            <w:vAlign w:val="center"/>
          </w:tcPr>
          <w:p w14:paraId="321777D0" w14:textId="21C9E159" w:rsidR="00804246" w:rsidRPr="00C6165A" w:rsidRDefault="00804246" w:rsidP="00804246">
            <w:pPr>
              <w:jc w:val="center"/>
              <w:rPr>
                <w:sz w:val="22"/>
                <w:szCs w:val="22"/>
              </w:rPr>
            </w:pPr>
            <w:r>
              <w:rPr>
                <w:sz w:val="22"/>
                <w:szCs w:val="22"/>
              </w:rPr>
              <w:t>120.081</w:t>
            </w:r>
          </w:p>
        </w:tc>
        <w:tc>
          <w:tcPr>
            <w:tcW w:w="1207" w:type="dxa"/>
            <w:tcBorders>
              <w:top w:val="single" w:sz="4" w:space="0" w:color="auto"/>
              <w:left w:val="nil"/>
              <w:bottom w:val="single" w:sz="4" w:space="0" w:color="auto"/>
              <w:right w:val="single" w:sz="4" w:space="0" w:color="auto"/>
            </w:tcBorders>
            <w:shd w:val="clear" w:color="auto" w:fill="auto"/>
            <w:noWrap/>
            <w:vAlign w:val="center"/>
          </w:tcPr>
          <w:p w14:paraId="495C244E" w14:textId="2D2ED05A" w:rsidR="00804246" w:rsidRPr="00804246" w:rsidRDefault="00804246" w:rsidP="00804246">
            <w:pPr>
              <w:jc w:val="center"/>
              <w:rPr>
                <w:rFonts w:ascii="Calibri" w:hAnsi="Calibri" w:cs="Calibri"/>
                <w:color w:val="000000"/>
                <w:sz w:val="22"/>
                <w:szCs w:val="22"/>
                <w:lang w:eastAsia="es-ES"/>
              </w:rPr>
            </w:pPr>
            <w:r>
              <w:rPr>
                <w:rFonts w:ascii="Calibri" w:hAnsi="Calibri" w:cs="Calibri"/>
                <w:color w:val="000000"/>
                <w:sz w:val="22"/>
                <w:szCs w:val="22"/>
              </w:rPr>
              <w:t>19,54%</w:t>
            </w:r>
          </w:p>
        </w:tc>
      </w:tr>
      <w:tr w:rsidR="00804246" w:rsidRPr="00C6165A" w14:paraId="2B85B53C" w14:textId="77777777" w:rsidTr="00804246">
        <w:trPr>
          <w:trHeight w:val="290"/>
          <w:jc w:val="center"/>
        </w:trPr>
        <w:tc>
          <w:tcPr>
            <w:tcW w:w="1574" w:type="dxa"/>
            <w:vMerge/>
            <w:shd w:val="clear" w:color="auto" w:fill="auto"/>
            <w:noWrap/>
            <w:vAlign w:val="center"/>
            <w:hideMark/>
          </w:tcPr>
          <w:p w14:paraId="11830BC0" w14:textId="77777777" w:rsidR="00804246" w:rsidRPr="00C6165A" w:rsidRDefault="00804246" w:rsidP="00804246">
            <w:pPr>
              <w:jc w:val="left"/>
              <w:rPr>
                <w:sz w:val="22"/>
                <w:szCs w:val="22"/>
              </w:rPr>
            </w:pPr>
          </w:p>
        </w:tc>
        <w:tc>
          <w:tcPr>
            <w:tcW w:w="1091" w:type="dxa"/>
            <w:vMerge/>
            <w:shd w:val="clear" w:color="auto" w:fill="auto"/>
            <w:noWrap/>
            <w:vAlign w:val="center"/>
            <w:hideMark/>
          </w:tcPr>
          <w:p w14:paraId="6B6679B9" w14:textId="77777777" w:rsidR="00804246" w:rsidRPr="00C6165A" w:rsidRDefault="00804246" w:rsidP="00804246">
            <w:pPr>
              <w:jc w:val="left"/>
              <w:rPr>
                <w:sz w:val="22"/>
                <w:szCs w:val="22"/>
              </w:rPr>
            </w:pPr>
          </w:p>
        </w:tc>
        <w:tc>
          <w:tcPr>
            <w:tcW w:w="2456" w:type="dxa"/>
            <w:shd w:val="clear" w:color="auto" w:fill="auto"/>
            <w:noWrap/>
            <w:vAlign w:val="center"/>
            <w:hideMark/>
          </w:tcPr>
          <w:p w14:paraId="55589828" w14:textId="77777777" w:rsidR="00804246" w:rsidRPr="00C6165A" w:rsidRDefault="00804246" w:rsidP="00804246">
            <w:pPr>
              <w:jc w:val="left"/>
              <w:rPr>
                <w:sz w:val="22"/>
                <w:szCs w:val="22"/>
              </w:rPr>
            </w:pPr>
            <w:r w:rsidRPr="00C6165A">
              <w:rPr>
                <w:sz w:val="22"/>
                <w:szCs w:val="22"/>
              </w:rPr>
              <w:t>Cerdas cubiertas por 1ª vez</w:t>
            </w:r>
          </w:p>
        </w:tc>
        <w:tc>
          <w:tcPr>
            <w:tcW w:w="1195" w:type="dxa"/>
            <w:tcBorders>
              <w:top w:val="nil"/>
              <w:left w:val="single" w:sz="4" w:space="0" w:color="auto"/>
              <w:bottom w:val="single" w:sz="4" w:space="0" w:color="auto"/>
              <w:right w:val="single" w:sz="4" w:space="0" w:color="auto"/>
            </w:tcBorders>
            <w:shd w:val="clear" w:color="auto" w:fill="auto"/>
            <w:noWrap/>
            <w:vAlign w:val="center"/>
          </w:tcPr>
          <w:p w14:paraId="42D20A60" w14:textId="65E722D1" w:rsidR="00804246" w:rsidRPr="00C6165A" w:rsidRDefault="00804246" w:rsidP="00804246">
            <w:pPr>
              <w:jc w:val="center"/>
              <w:rPr>
                <w:sz w:val="22"/>
                <w:szCs w:val="22"/>
              </w:rPr>
            </w:pPr>
            <w:r w:rsidRPr="00C6165A">
              <w:rPr>
                <w:sz w:val="22"/>
                <w:szCs w:val="22"/>
              </w:rPr>
              <w:t>39.650</w:t>
            </w:r>
          </w:p>
        </w:tc>
        <w:tc>
          <w:tcPr>
            <w:tcW w:w="1195" w:type="dxa"/>
            <w:tcBorders>
              <w:top w:val="nil"/>
              <w:left w:val="nil"/>
              <w:bottom w:val="single" w:sz="4" w:space="0" w:color="auto"/>
              <w:right w:val="single" w:sz="4" w:space="0" w:color="auto"/>
            </w:tcBorders>
            <w:shd w:val="clear" w:color="auto" w:fill="auto"/>
            <w:noWrap/>
            <w:vAlign w:val="center"/>
          </w:tcPr>
          <w:p w14:paraId="0EE4E888" w14:textId="1DA43F9B" w:rsidR="00804246" w:rsidRPr="00C6165A" w:rsidRDefault="00804246" w:rsidP="00804246">
            <w:pPr>
              <w:jc w:val="center"/>
              <w:rPr>
                <w:sz w:val="22"/>
                <w:szCs w:val="22"/>
              </w:rPr>
            </w:pPr>
            <w:r>
              <w:rPr>
                <w:sz w:val="22"/>
                <w:szCs w:val="22"/>
              </w:rPr>
              <w:t>98.751</w:t>
            </w:r>
          </w:p>
        </w:tc>
        <w:tc>
          <w:tcPr>
            <w:tcW w:w="1207" w:type="dxa"/>
            <w:tcBorders>
              <w:top w:val="nil"/>
              <w:left w:val="nil"/>
              <w:bottom w:val="single" w:sz="4" w:space="0" w:color="auto"/>
              <w:right w:val="single" w:sz="4" w:space="0" w:color="auto"/>
            </w:tcBorders>
            <w:shd w:val="clear" w:color="auto" w:fill="auto"/>
            <w:noWrap/>
            <w:vAlign w:val="center"/>
          </w:tcPr>
          <w:p w14:paraId="7EB97335" w14:textId="79C74380" w:rsidR="00804246" w:rsidRPr="00804246" w:rsidRDefault="00804246" w:rsidP="00804246">
            <w:pPr>
              <w:jc w:val="center"/>
              <w:rPr>
                <w:rFonts w:ascii="Calibri" w:hAnsi="Calibri" w:cs="Calibri"/>
                <w:color w:val="000000"/>
                <w:sz w:val="22"/>
                <w:szCs w:val="22"/>
                <w:lang w:eastAsia="es-ES"/>
              </w:rPr>
            </w:pPr>
            <w:r>
              <w:rPr>
                <w:rFonts w:ascii="Calibri" w:hAnsi="Calibri" w:cs="Calibri"/>
                <w:color w:val="000000"/>
                <w:sz w:val="22"/>
                <w:szCs w:val="22"/>
              </w:rPr>
              <w:t>-2,27%</w:t>
            </w:r>
          </w:p>
        </w:tc>
      </w:tr>
      <w:tr w:rsidR="00804246" w:rsidRPr="00C6165A" w14:paraId="0BB25E50" w14:textId="77777777" w:rsidTr="00804246">
        <w:trPr>
          <w:trHeight w:val="290"/>
          <w:jc w:val="center"/>
        </w:trPr>
        <w:tc>
          <w:tcPr>
            <w:tcW w:w="1574" w:type="dxa"/>
            <w:vMerge/>
            <w:shd w:val="clear" w:color="auto" w:fill="auto"/>
            <w:noWrap/>
            <w:vAlign w:val="center"/>
            <w:hideMark/>
          </w:tcPr>
          <w:p w14:paraId="438697BD" w14:textId="77777777" w:rsidR="00804246" w:rsidRPr="00C6165A" w:rsidRDefault="00804246" w:rsidP="00804246">
            <w:pPr>
              <w:jc w:val="left"/>
              <w:rPr>
                <w:sz w:val="22"/>
                <w:szCs w:val="22"/>
              </w:rPr>
            </w:pPr>
          </w:p>
        </w:tc>
        <w:tc>
          <w:tcPr>
            <w:tcW w:w="1091" w:type="dxa"/>
            <w:vMerge w:val="restart"/>
            <w:shd w:val="clear" w:color="auto" w:fill="auto"/>
            <w:noWrap/>
            <w:vAlign w:val="center"/>
            <w:hideMark/>
          </w:tcPr>
          <w:p w14:paraId="1D77F871" w14:textId="77777777" w:rsidR="00804246" w:rsidRPr="00C6165A" w:rsidRDefault="00804246" w:rsidP="00804246">
            <w:pPr>
              <w:jc w:val="left"/>
              <w:rPr>
                <w:sz w:val="22"/>
                <w:szCs w:val="22"/>
              </w:rPr>
            </w:pPr>
            <w:r w:rsidRPr="00C6165A">
              <w:rPr>
                <w:sz w:val="22"/>
                <w:szCs w:val="22"/>
              </w:rPr>
              <w:t>Han parido</w:t>
            </w:r>
          </w:p>
        </w:tc>
        <w:tc>
          <w:tcPr>
            <w:tcW w:w="2456" w:type="dxa"/>
            <w:shd w:val="clear" w:color="auto" w:fill="auto"/>
            <w:noWrap/>
            <w:vAlign w:val="center"/>
            <w:hideMark/>
          </w:tcPr>
          <w:p w14:paraId="1E82C52B" w14:textId="77777777" w:rsidR="00804246" w:rsidRPr="00C6165A" w:rsidRDefault="00804246" w:rsidP="00804246">
            <w:pPr>
              <w:jc w:val="left"/>
              <w:rPr>
                <w:sz w:val="22"/>
                <w:szCs w:val="22"/>
              </w:rPr>
            </w:pPr>
            <w:r w:rsidRPr="00C6165A">
              <w:rPr>
                <w:sz w:val="22"/>
                <w:szCs w:val="22"/>
              </w:rPr>
              <w:t>Cerdas cubiertas más veces</w:t>
            </w:r>
          </w:p>
        </w:tc>
        <w:tc>
          <w:tcPr>
            <w:tcW w:w="1195" w:type="dxa"/>
            <w:tcBorders>
              <w:top w:val="nil"/>
              <w:left w:val="single" w:sz="4" w:space="0" w:color="auto"/>
              <w:bottom w:val="single" w:sz="4" w:space="0" w:color="auto"/>
              <w:right w:val="single" w:sz="4" w:space="0" w:color="auto"/>
            </w:tcBorders>
            <w:shd w:val="clear" w:color="auto" w:fill="auto"/>
            <w:noWrap/>
            <w:vAlign w:val="center"/>
          </w:tcPr>
          <w:p w14:paraId="19D2CC5A" w14:textId="4426F5FC" w:rsidR="00804246" w:rsidRPr="00C6165A" w:rsidRDefault="00804246" w:rsidP="00804246">
            <w:pPr>
              <w:jc w:val="center"/>
              <w:rPr>
                <w:sz w:val="22"/>
                <w:szCs w:val="22"/>
              </w:rPr>
            </w:pPr>
            <w:r w:rsidRPr="00C6165A">
              <w:rPr>
                <w:sz w:val="22"/>
                <w:szCs w:val="22"/>
              </w:rPr>
              <w:t>239.526</w:t>
            </w:r>
          </w:p>
        </w:tc>
        <w:tc>
          <w:tcPr>
            <w:tcW w:w="1195" w:type="dxa"/>
            <w:tcBorders>
              <w:top w:val="nil"/>
              <w:left w:val="nil"/>
              <w:bottom w:val="single" w:sz="4" w:space="0" w:color="auto"/>
              <w:right w:val="single" w:sz="4" w:space="0" w:color="auto"/>
            </w:tcBorders>
            <w:shd w:val="clear" w:color="auto" w:fill="auto"/>
            <w:noWrap/>
            <w:vAlign w:val="center"/>
          </w:tcPr>
          <w:p w14:paraId="46F66858" w14:textId="5C2C42A0" w:rsidR="00804246" w:rsidRPr="00C6165A" w:rsidRDefault="00804246" w:rsidP="00804246">
            <w:pPr>
              <w:jc w:val="center"/>
              <w:rPr>
                <w:sz w:val="22"/>
                <w:szCs w:val="22"/>
              </w:rPr>
            </w:pPr>
            <w:r>
              <w:rPr>
                <w:sz w:val="22"/>
                <w:szCs w:val="22"/>
              </w:rPr>
              <w:t>234.725</w:t>
            </w:r>
          </w:p>
        </w:tc>
        <w:tc>
          <w:tcPr>
            <w:tcW w:w="1207" w:type="dxa"/>
            <w:tcBorders>
              <w:top w:val="nil"/>
              <w:left w:val="nil"/>
              <w:bottom w:val="single" w:sz="4" w:space="0" w:color="auto"/>
              <w:right w:val="single" w:sz="4" w:space="0" w:color="auto"/>
            </w:tcBorders>
            <w:shd w:val="clear" w:color="auto" w:fill="auto"/>
            <w:noWrap/>
            <w:vAlign w:val="center"/>
          </w:tcPr>
          <w:p w14:paraId="760DD507" w14:textId="1F9E1CB1" w:rsidR="00804246" w:rsidRPr="00804246" w:rsidRDefault="00804246" w:rsidP="00804246">
            <w:pPr>
              <w:jc w:val="center"/>
              <w:rPr>
                <w:rFonts w:ascii="Calibri" w:hAnsi="Calibri" w:cs="Calibri"/>
                <w:color w:val="000000"/>
                <w:sz w:val="22"/>
                <w:szCs w:val="22"/>
                <w:lang w:eastAsia="es-ES"/>
              </w:rPr>
            </w:pPr>
            <w:r>
              <w:rPr>
                <w:rFonts w:ascii="Calibri" w:hAnsi="Calibri" w:cs="Calibri"/>
                <w:color w:val="000000"/>
                <w:sz w:val="22"/>
                <w:szCs w:val="22"/>
              </w:rPr>
              <w:t>-2,00%</w:t>
            </w:r>
          </w:p>
        </w:tc>
      </w:tr>
      <w:tr w:rsidR="00804246" w:rsidRPr="00C6165A" w14:paraId="6A68B911" w14:textId="77777777" w:rsidTr="00804246">
        <w:trPr>
          <w:trHeight w:val="290"/>
          <w:jc w:val="center"/>
        </w:trPr>
        <w:tc>
          <w:tcPr>
            <w:tcW w:w="1574" w:type="dxa"/>
            <w:vMerge/>
            <w:shd w:val="clear" w:color="auto" w:fill="auto"/>
            <w:noWrap/>
            <w:vAlign w:val="center"/>
            <w:hideMark/>
          </w:tcPr>
          <w:p w14:paraId="54D8E4C6" w14:textId="77777777" w:rsidR="00804246" w:rsidRPr="00C6165A" w:rsidRDefault="00804246" w:rsidP="00804246">
            <w:pPr>
              <w:jc w:val="left"/>
              <w:rPr>
                <w:sz w:val="22"/>
                <w:szCs w:val="22"/>
              </w:rPr>
            </w:pPr>
          </w:p>
        </w:tc>
        <w:tc>
          <w:tcPr>
            <w:tcW w:w="1091" w:type="dxa"/>
            <w:vMerge/>
            <w:shd w:val="clear" w:color="auto" w:fill="auto"/>
            <w:noWrap/>
            <w:vAlign w:val="center"/>
            <w:hideMark/>
          </w:tcPr>
          <w:p w14:paraId="1FCD653C" w14:textId="77777777" w:rsidR="00804246" w:rsidRPr="00C6165A" w:rsidRDefault="00804246" w:rsidP="00804246">
            <w:pPr>
              <w:jc w:val="left"/>
              <w:rPr>
                <w:sz w:val="22"/>
                <w:szCs w:val="22"/>
              </w:rPr>
            </w:pPr>
          </w:p>
        </w:tc>
        <w:tc>
          <w:tcPr>
            <w:tcW w:w="2456" w:type="dxa"/>
            <w:shd w:val="clear" w:color="auto" w:fill="auto"/>
            <w:noWrap/>
            <w:vAlign w:val="center"/>
            <w:hideMark/>
          </w:tcPr>
          <w:p w14:paraId="25B17874" w14:textId="77777777" w:rsidR="00804246" w:rsidRPr="00C6165A" w:rsidRDefault="00804246" w:rsidP="00804246">
            <w:pPr>
              <w:jc w:val="left"/>
              <w:rPr>
                <w:sz w:val="22"/>
                <w:szCs w:val="22"/>
              </w:rPr>
            </w:pPr>
            <w:r w:rsidRPr="00C6165A">
              <w:rPr>
                <w:sz w:val="22"/>
                <w:szCs w:val="22"/>
              </w:rPr>
              <w:t>Cerdas criando o en reposo</w:t>
            </w:r>
          </w:p>
        </w:tc>
        <w:tc>
          <w:tcPr>
            <w:tcW w:w="1195" w:type="dxa"/>
            <w:tcBorders>
              <w:top w:val="nil"/>
              <w:left w:val="single" w:sz="4" w:space="0" w:color="auto"/>
              <w:bottom w:val="single" w:sz="4" w:space="0" w:color="auto"/>
              <w:right w:val="single" w:sz="4" w:space="0" w:color="auto"/>
            </w:tcBorders>
            <w:shd w:val="clear" w:color="auto" w:fill="auto"/>
            <w:noWrap/>
            <w:vAlign w:val="center"/>
          </w:tcPr>
          <w:p w14:paraId="2466C2D3" w14:textId="698E4FA9" w:rsidR="00804246" w:rsidRPr="00C6165A" w:rsidRDefault="00804246" w:rsidP="00804246">
            <w:pPr>
              <w:jc w:val="center"/>
              <w:rPr>
                <w:sz w:val="22"/>
                <w:szCs w:val="22"/>
              </w:rPr>
            </w:pPr>
            <w:r w:rsidRPr="00C6165A">
              <w:rPr>
                <w:sz w:val="22"/>
                <w:szCs w:val="22"/>
              </w:rPr>
              <w:t>85.437</w:t>
            </w:r>
          </w:p>
        </w:tc>
        <w:tc>
          <w:tcPr>
            <w:tcW w:w="1195" w:type="dxa"/>
            <w:tcBorders>
              <w:top w:val="nil"/>
              <w:left w:val="nil"/>
              <w:bottom w:val="single" w:sz="4" w:space="0" w:color="auto"/>
              <w:right w:val="single" w:sz="4" w:space="0" w:color="auto"/>
            </w:tcBorders>
            <w:shd w:val="clear" w:color="auto" w:fill="auto"/>
            <w:noWrap/>
            <w:vAlign w:val="center"/>
          </w:tcPr>
          <w:p w14:paraId="154CD379" w14:textId="186DF4BB" w:rsidR="00804246" w:rsidRPr="00C6165A" w:rsidRDefault="00804246" w:rsidP="00804246">
            <w:pPr>
              <w:jc w:val="center"/>
              <w:rPr>
                <w:sz w:val="22"/>
                <w:szCs w:val="22"/>
              </w:rPr>
            </w:pPr>
            <w:r>
              <w:rPr>
                <w:sz w:val="22"/>
                <w:szCs w:val="22"/>
              </w:rPr>
              <w:t>86.663</w:t>
            </w:r>
          </w:p>
        </w:tc>
        <w:tc>
          <w:tcPr>
            <w:tcW w:w="1207" w:type="dxa"/>
            <w:tcBorders>
              <w:top w:val="nil"/>
              <w:left w:val="nil"/>
              <w:bottom w:val="single" w:sz="4" w:space="0" w:color="auto"/>
              <w:right w:val="single" w:sz="4" w:space="0" w:color="auto"/>
            </w:tcBorders>
            <w:shd w:val="clear" w:color="auto" w:fill="auto"/>
            <w:noWrap/>
            <w:vAlign w:val="center"/>
          </w:tcPr>
          <w:p w14:paraId="3F5992FD" w14:textId="5B26C6B0" w:rsidR="00804246" w:rsidRPr="00804246" w:rsidRDefault="00804246" w:rsidP="00804246">
            <w:pPr>
              <w:jc w:val="center"/>
              <w:rPr>
                <w:rFonts w:ascii="Calibri" w:hAnsi="Calibri" w:cs="Calibri"/>
                <w:color w:val="000000"/>
                <w:sz w:val="22"/>
                <w:szCs w:val="22"/>
                <w:lang w:eastAsia="es-ES"/>
              </w:rPr>
            </w:pPr>
            <w:r>
              <w:rPr>
                <w:rFonts w:ascii="Calibri" w:hAnsi="Calibri" w:cs="Calibri"/>
                <w:color w:val="000000"/>
                <w:sz w:val="22"/>
                <w:szCs w:val="22"/>
              </w:rPr>
              <w:t>1,43%</w:t>
            </w:r>
          </w:p>
        </w:tc>
      </w:tr>
    </w:tbl>
    <w:p w14:paraId="0B8E45DA" w14:textId="77777777" w:rsidR="00CB5999" w:rsidRPr="00703831" w:rsidRDefault="00CB5999" w:rsidP="00CB5999">
      <w:pPr>
        <w:jc w:val="center"/>
        <w:rPr>
          <w:i/>
          <w:iCs/>
          <w:sz w:val="16"/>
          <w:szCs w:val="16"/>
        </w:rPr>
      </w:pPr>
      <w:r w:rsidRPr="00703831">
        <w:rPr>
          <w:i/>
          <w:iCs/>
          <w:sz w:val="16"/>
          <w:szCs w:val="16"/>
        </w:rPr>
        <w:t>Fuente: Elaboración propia a partir de las encuestas ganaderas del Ministerio de Agricultura, Pesca y Alimentación</w:t>
      </w:r>
    </w:p>
    <w:p w14:paraId="51F0C863" w14:textId="77777777" w:rsidR="00AA49C3" w:rsidRPr="00703831" w:rsidRDefault="00AA49C3" w:rsidP="00AA49C3">
      <w:pPr>
        <w:rPr>
          <w:i/>
          <w:iCs/>
        </w:rPr>
      </w:pPr>
    </w:p>
    <w:p w14:paraId="1D44569C" w14:textId="77777777" w:rsidR="00AA49C3" w:rsidRPr="00C6165A" w:rsidRDefault="00B211DB" w:rsidP="00AA49C3">
      <w:pPr>
        <w:rPr>
          <w:b/>
        </w:rPr>
      </w:pPr>
      <w:r w:rsidRPr="00C6165A">
        <w:rPr>
          <w:b/>
        </w:rPr>
        <w:t>El mercado de la producción de carne</w:t>
      </w:r>
    </w:p>
    <w:p w14:paraId="43063983" w14:textId="77777777" w:rsidR="00374EA3" w:rsidRPr="00C6165A" w:rsidRDefault="00374EA3" w:rsidP="00AA49C3"/>
    <w:p w14:paraId="781692DD" w14:textId="13CEAAED" w:rsidR="001E7D5B" w:rsidRPr="00C6165A" w:rsidRDefault="00374EA3" w:rsidP="00AA49C3">
      <w:r w:rsidRPr="00C6165A">
        <w:t xml:space="preserve">La producción de carne en Castilla y León, </w:t>
      </w:r>
      <w:r w:rsidR="00191781" w:rsidRPr="00C6165A">
        <w:t>en los últimos doce</w:t>
      </w:r>
      <w:r w:rsidRPr="00C6165A">
        <w:t xml:space="preserve"> meses </w:t>
      </w:r>
      <w:r w:rsidR="00191781" w:rsidRPr="00C6165A">
        <w:t>con datos disponibles</w:t>
      </w:r>
      <w:r w:rsidRPr="00C6165A">
        <w:t xml:space="preserve"> ascendió a </w:t>
      </w:r>
      <w:r w:rsidR="005A01F0">
        <w:t>923.069</w:t>
      </w:r>
      <w:r w:rsidRPr="00C6165A">
        <w:t xml:space="preserve"> toneladas, que supone un </w:t>
      </w:r>
      <w:r w:rsidR="005A01F0">
        <w:t>descenso del 2,9</w:t>
      </w:r>
      <w:r w:rsidR="00154C4C" w:rsidRPr="00C6165A">
        <w:t>%</w:t>
      </w:r>
      <w:r w:rsidRPr="00C6165A">
        <w:t xml:space="preserve"> </w:t>
      </w:r>
      <w:r w:rsidR="001E7D5B" w:rsidRPr="00C6165A">
        <w:t>en relación con el</w:t>
      </w:r>
      <w:r w:rsidRPr="00C6165A">
        <w:t xml:space="preserve"> mismo periodo del año </w:t>
      </w:r>
      <w:r w:rsidR="00191781" w:rsidRPr="00C6165A">
        <w:t>anterior</w:t>
      </w:r>
      <w:r w:rsidRPr="00C6165A">
        <w:t xml:space="preserve">, </w:t>
      </w:r>
      <w:r w:rsidR="007E798A" w:rsidRPr="00C6165A">
        <w:t>con un</w:t>
      </w:r>
      <w:r w:rsidRPr="00C6165A">
        <w:t xml:space="preserve"> número de animales sacrificados </w:t>
      </w:r>
      <w:r w:rsidR="00106678" w:rsidRPr="00C6165A">
        <w:t>incrementado</w:t>
      </w:r>
      <w:r w:rsidRPr="00C6165A">
        <w:t xml:space="preserve"> en un </w:t>
      </w:r>
      <w:r w:rsidR="005A01F0">
        <w:t>5,3</w:t>
      </w:r>
      <w:r w:rsidR="00154C4C" w:rsidRPr="00C6165A">
        <w:t>%</w:t>
      </w:r>
      <w:r w:rsidRPr="00C6165A">
        <w:t>.</w:t>
      </w:r>
    </w:p>
    <w:p w14:paraId="61BB4D93" w14:textId="7D7E79E0" w:rsidR="00AA49C3" w:rsidRPr="00C6165A" w:rsidRDefault="00374EA3" w:rsidP="00AA49C3">
      <w:r w:rsidRPr="00C6165A">
        <w:t>La distribución de animales sacrificados y producción de carne, por especie, se puede ver en la tabla siguiente.</w:t>
      </w:r>
    </w:p>
    <w:p w14:paraId="1BBC5837" w14:textId="77777777" w:rsidR="00AA49C3" w:rsidRPr="00C6165A" w:rsidRDefault="00AA49C3" w:rsidP="00AA49C3"/>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62"/>
        <w:gridCol w:w="1348"/>
        <w:gridCol w:w="1418"/>
        <w:gridCol w:w="992"/>
        <w:gridCol w:w="1134"/>
        <w:gridCol w:w="1134"/>
        <w:gridCol w:w="1276"/>
      </w:tblGrid>
      <w:tr w:rsidR="00C6165A" w:rsidRPr="00C6165A" w14:paraId="4D3CBCA8" w14:textId="77777777" w:rsidTr="00106678">
        <w:trPr>
          <w:trHeight w:val="321"/>
          <w:jc w:val="center"/>
        </w:trPr>
        <w:tc>
          <w:tcPr>
            <w:tcW w:w="1062" w:type="dxa"/>
            <w:tcBorders>
              <w:top w:val="nil"/>
              <w:left w:val="nil"/>
              <w:bottom w:val="nil"/>
            </w:tcBorders>
          </w:tcPr>
          <w:p w14:paraId="2390F8E5" w14:textId="77777777" w:rsidR="00AA49C3" w:rsidRPr="00C6165A" w:rsidRDefault="00AA49C3" w:rsidP="003466FC">
            <w:pPr>
              <w:rPr>
                <w:b/>
                <w:bCs/>
                <w:sz w:val="22"/>
                <w:szCs w:val="22"/>
              </w:rPr>
            </w:pPr>
          </w:p>
        </w:tc>
        <w:tc>
          <w:tcPr>
            <w:tcW w:w="3758" w:type="dxa"/>
            <w:gridSpan w:val="3"/>
            <w:tcBorders>
              <w:bottom w:val="single" w:sz="4" w:space="0" w:color="auto"/>
            </w:tcBorders>
            <w:vAlign w:val="center"/>
          </w:tcPr>
          <w:p w14:paraId="0BA9248A" w14:textId="77777777" w:rsidR="00AA49C3" w:rsidRPr="00C6165A" w:rsidRDefault="00AA49C3" w:rsidP="003466FC">
            <w:pPr>
              <w:jc w:val="center"/>
              <w:rPr>
                <w:b/>
                <w:bCs/>
                <w:sz w:val="22"/>
                <w:szCs w:val="22"/>
              </w:rPr>
            </w:pPr>
            <w:r w:rsidRPr="00C6165A">
              <w:rPr>
                <w:b/>
                <w:bCs/>
                <w:sz w:val="22"/>
                <w:szCs w:val="22"/>
              </w:rPr>
              <w:t>Animales sacrificados (</w:t>
            </w:r>
            <w:proofErr w:type="spellStart"/>
            <w:r w:rsidRPr="00C6165A">
              <w:rPr>
                <w:b/>
                <w:bCs/>
                <w:sz w:val="22"/>
                <w:szCs w:val="22"/>
              </w:rPr>
              <w:t>Nº</w:t>
            </w:r>
            <w:proofErr w:type="spellEnd"/>
            <w:r w:rsidRPr="00C6165A">
              <w:rPr>
                <w:b/>
                <w:bCs/>
                <w:sz w:val="22"/>
                <w:szCs w:val="22"/>
              </w:rPr>
              <w:t>)</w:t>
            </w:r>
          </w:p>
        </w:tc>
        <w:tc>
          <w:tcPr>
            <w:tcW w:w="3544" w:type="dxa"/>
            <w:gridSpan w:val="3"/>
            <w:tcBorders>
              <w:bottom w:val="single" w:sz="4" w:space="0" w:color="auto"/>
            </w:tcBorders>
            <w:vAlign w:val="center"/>
          </w:tcPr>
          <w:p w14:paraId="72EB7036" w14:textId="77777777" w:rsidR="00AA49C3" w:rsidRPr="00C6165A" w:rsidRDefault="00AA49C3" w:rsidP="003466FC">
            <w:pPr>
              <w:jc w:val="center"/>
              <w:rPr>
                <w:b/>
                <w:bCs/>
                <w:sz w:val="22"/>
                <w:szCs w:val="22"/>
              </w:rPr>
            </w:pPr>
            <w:r w:rsidRPr="00C6165A">
              <w:rPr>
                <w:b/>
                <w:bCs/>
                <w:sz w:val="22"/>
                <w:szCs w:val="22"/>
              </w:rPr>
              <w:t>Peso total (toneladas)</w:t>
            </w:r>
          </w:p>
        </w:tc>
      </w:tr>
      <w:tr w:rsidR="00C6165A" w:rsidRPr="00C6165A" w14:paraId="17ED3978" w14:textId="77777777" w:rsidTr="00A35A55">
        <w:trPr>
          <w:trHeight w:val="553"/>
          <w:jc w:val="center"/>
        </w:trPr>
        <w:tc>
          <w:tcPr>
            <w:tcW w:w="1062" w:type="dxa"/>
            <w:tcBorders>
              <w:top w:val="nil"/>
              <w:left w:val="nil"/>
            </w:tcBorders>
          </w:tcPr>
          <w:p w14:paraId="2E1E4862" w14:textId="77777777" w:rsidR="001E7D5B" w:rsidRPr="00C6165A" w:rsidRDefault="001E7D5B" w:rsidP="001E7D5B">
            <w:pPr>
              <w:rPr>
                <w:sz w:val="22"/>
                <w:szCs w:val="22"/>
              </w:rPr>
            </w:pPr>
          </w:p>
        </w:tc>
        <w:tc>
          <w:tcPr>
            <w:tcW w:w="1348" w:type="dxa"/>
            <w:tcBorders>
              <w:top w:val="single" w:sz="4" w:space="0" w:color="auto"/>
              <w:left w:val="nil"/>
              <w:bottom w:val="single" w:sz="4" w:space="0" w:color="auto"/>
              <w:right w:val="single" w:sz="4" w:space="0" w:color="auto"/>
            </w:tcBorders>
            <w:shd w:val="clear" w:color="auto" w:fill="auto"/>
            <w:vAlign w:val="center"/>
          </w:tcPr>
          <w:p w14:paraId="5ACB98CA" w14:textId="7EAF2E58" w:rsidR="001E7D5B" w:rsidRPr="0095157A" w:rsidRDefault="001E7D5B" w:rsidP="001E7D5B">
            <w:pPr>
              <w:jc w:val="center"/>
              <w:rPr>
                <w:b/>
                <w:bCs/>
                <w:sz w:val="20"/>
                <w:szCs w:val="20"/>
              </w:rPr>
            </w:pPr>
            <w:r w:rsidRPr="0095157A">
              <w:rPr>
                <w:b/>
                <w:bCs/>
                <w:sz w:val="20"/>
                <w:szCs w:val="20"/>
              </w:rPr>
              <w:t>Oct 202</w:t>
            </w:r>
            <w:r w:rsidR="005A01F0" w:rsidRPr="0095157A">
              <w:rPr>
                <w:b/>
                <w:bCs/>
                <w:sz w:val="20"/>
                <w:szCs w:val="20"/>
              </w:rPr>
              <w:t>1</w:t>
            </w:r>
            <w:r w:rsidRPr="0095157A">
              <w:rPr>
                <w:b/>
                <w:bCs/>
                <w:sz w:val="20"/>
                <w:szCs w:val="20"/>
              </w:rPr>
              <w:t>-Sep 202</w:t>
            </w:r>
            <w:r w:rsidR="005A01F0" w:rsidRPr="0095157A">
              <w:rPr>
                <w:b/>
                <w:bCs/>
                <w:sz w:val="20"/>
                <w:szCs w:val="20"/>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B15845" w14:textId="24A46160" w:rsidR="001E7D5B" w:rsidRPr="0095157A" w:rsidRDefault="001E7D5B" w:rsidP="001E7D5B">
            <w:pPr>
              <w:jc w:val="center"/>
              <w:rPr>
                <w:b/>
                <w:bCs/>
                <w:sz w:val="20"/>
                <w:szCs w:val="20"/>
              </w:rPr>
            </w:pPr>
            <w:r w:rsidRPr="0095157A">
              <w:rPr>
                <w:b/>
                <w:bCs/>
                <w:sz w:val="20"/>
                <w:szCs w:val="20"/>
              </w:rPr>
              <w:t>Oct 202</w:t>
            </w:r>
            <w:r w:rsidR="005A01F0" w:rsidRPr="0095157A">
              <w:rPr>
                <w:b/>
                <w:bCs/>
                <w:sz w:val="20"/>
                <w:szCs w:val="20"/>
              </w:rPr>
              <w:t>2</w:t>
            </w:r>
            <w:r w:rsidRPr="0095157A">
              <w:rPr>
                <w:b/>
                <w:bCs/>
                <w:sz w:val="20"/>
                <w:szCs w:val="20"/>
              </w:rPr>
              <w:t>-Sep 202</w:t>
            </w:r>
            <w:r w:rsidR="005A01F0" w:rsidRPr="0095157A">
              <w:rPr>
                <w:b/>
                <w:bCs/>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943591" w14:textId="536D46E5" w:rsidR="001E7D5B" w:rsidRPr="0095157A" w:rsidRDefault="001E7D5B" w:rsidP="001E7D5B">
            <w:pPr>
              <w:jc w:val="center"/>
              <w:rPr>
                <w:b/>
                <w:bCs/>
                <w:sz w:val="20"/>
                <w:szCs w:val="20"/>
              </w:rPr>
            </w:pPr>
            <w:r w:rsidRPr="0095157A">
              <w:rPr>
                <w:b/>
                <w:bCs/>
                <w:sz w:val="20"/>
                <w:szCs w:val="20"/>
              </w:rPr>
              <w:t>Variación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8229A2" w14:textId="350DF9D7" w:rsidR="001E7D5B" w:rsidRPr="0095157A" w:rsidRDefault="001E7D5B" w:rsidP="001E7D5B">
            <w:pPr>
              <w:jc w:val="center"/>
              <w:rPr>
                <w:b/>
                <w:bCs/>
                <w:sz w:val="20"/>
                <w:szCs w:val="20"/>
              </w:rPr>
            </w:pPr>
            <w:r w:rsidRPr="0095157A">
              <w:rPr>
                <w:b/>
                <w:bCs/>
                <w:sz w:val="20"/>
                <w:szCs w:val="20"/>
              </w:rPr>
              <w:t>Oct 202</w:t>
            </w:r>
            <w:r w:rsidR="005A01F0" w:rsidRPr="0095157A">
              <w:rPr>
                <w:b/>
                <w:bCs/>
                <w:sz w:val="20"/>
                <w:szCs w:val="20"/>
              </w:rPr>
              <w:t>1</w:t>
            </w:r>
            <w:r w:rsidRPr="0095157A">
              <w:rPr>
                <w:b/>
                <w:bCs/>
                <w:sz w:val="20"/>
                <w:szCs w:val="20"/>
              </w:rPr>
              <w:t>-</w:t>
            </w:r>
          </w:p>
          <w:p w14:paraId="0DD7E81A" w14:textId="6AD5643B" w:rsidR="001E7D5B" w:rsidRPr="0095157A" w:rsidRDefault="001E7D5B" w:rsidP="001E7D5B">
            <w:pPr>
              <w:jc w:val="center"/>
              <w:rPr>
                <w:b/>
                <w:bCs/>
                <w:sz w:val="20"/>
                <w:szCs w:val="20"/>
              </w:rPr>
            </w:pPr>
            <w:proofErr w:type="spellStart"/>
            <w:r w:rsidRPr="0095157A">
              <w:rPr>
                <w:b/>
                <w:bCs/>
                <w:sz w:val="20"/>
                <w:szCs w:val="20"/>
              </w:rPr>
              <w:t>Sep</w:t>
            </w:r>
            <w:proofErr w:type="spellEnd"/>
            <w:r w:rsidRPr="0095157A">
              <w:rPr>
                <w:b/>
                <w:bCs/>
                <w:sz w:val="20"/>
                <w:szCs w:val="20"/>
              </w:rPr>
              <w:t xml:space="preserve"> 202</w:t>
            </w:r>
            <w:r w:rsidR="005A01F0" w:rsidRPr="0095157A">
              <w:rPr>
                <w:b/>
                <w:bCs/>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EFDA8E" w14:textId="3100069B" w:rsidR="001E7D5B" w:rsidRPr="0095157A" w:rsidRDefault="001E7D5B" w:rsidP="001E7D5B">
            <w:pPr>
              <w:jc w:val="center"/>
              <w:rPr>
                <w:b/>
                <w:bCs/>
                <w:sz w:val="20"/>
                <w:szCs w:val="20"/>
              </w:rPr>
            </w:pPr>
            <w:r w:rsidRPr="0095157A">
              <w:rPr>
                <w:b/>
                <w:bCs/>
                <w:sz w:val="20"/>
                <w:szCs w:val="20"/>
              </w:rPr>
              <w:t>Oct 202</w:t>
            </w:r>
            <w:r w:rsidR="005A01F0" w:rsidRPr="0095157A">
              <w:rPr>
                <w:b/>
                <w:bCs/>
                <w:sz w:val="20"/>
                <w:szCs w:val="20"/>
              </w:rPr>
              <w:t>2</w:t>
            </w:r>
            <w:r w:rsidRPr="0095157A">
              <w:rPr>
                <w:b/>
                <w:bCs/>
                <w:sz w:val="20"/>
                <w:szCs w:val="20"/>
              </w:rPr>
              <w:t>-Sep 202</w:t>
            </w:r>
            <w:r w:rsidR="005A01F0" w:rsidRPr="0095157A">
              <w:rPr>
                <w:b/>
                <w:bCs/>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A03A66" w14:textId="5552FF48" w:rsidR="001E7D5B" w:rsidRPr="0095157A" w:rsidRDefault="001E7D5B" w:rsidP="001E7D5B">
            <w:pPr>
              <w:jc w:val="center"/>
              <w:rPr>
                <w:b/>
                <w:bCs/>
                <w:sz w:val="20"/>
                <w:szCs w:val="20"/>
              </w:rPr>
            </w:pPr>
            <w:r w:rsidRPr="0095157A">
              <w:rPr>
                <w:b/>
                <w:bCs/>
                <w:sz w:val="20"/>
                <w:szCs w:val="20"/>
              </w:rPr>
              <w:t>Variación (%)</w:t>
            </w:r>
          </w:p>
        </w:tc>
      </w:tr>
      <w:tr w:rsidR="005A01F0" w:rsidRPr="00C6165A" w14:paraId="7E7C4864" w14:textId="77777777" w:rsidTr="005B46FE">
        <w:trPr>
          <w:jc w:val="center"/>
        </w:trPr>
        <w:tc>
          <w:tcPr>
            <w:tcW w:w="1062" w:type="dxa"/>
            <w:tcBorders>
              <w:right w:val="single" w:sz="4" w:space="0" w:color="auto"/>
            </w:tcBorders>
          </w:tcPr>
          <w:p w14:paraId="02C25EFA" w14:textId="77777777" w:rsidR="005A01F0" w:rsidRPr="00C6165A" w:rsidRDefault="005A01F0" w:rsidP="005A01F0">
            <w:pPr>
              <w:rPr>
                <w:sz w:val="22"/>
                <w:szCs w:val="22"/>
              </w:rPr>
            </w:pPr>
            <w:r w:rsidRPr="00C6165A">
              <w:rPr>
                <w:sz w:val="22"/>
                <w:szCs w:val="22"/>
              </w:rPr>
              <w:t>Bovino</w:t>
            </w:r>
          </w:p>
        </w:tc>
        <w:tc>
          <w:tcPr>
            <w:tcW w:w="1348" w:type="dxa"/>
            <w:tcBorders>
              <w:top w:val="single" w:sz="4" w:space="0" w:color="auto"/>
              <w:left w:val="nil"/>
              <w:bottom w:val="single" w:sz="4" w:space="0" w:color="auto"/>
              <w:right w:val="single" w:sz="4" w:space="0" w:color="auto"/>
            </w:tcBorders>
            <w:shd w:val="clear" w:color="auto" w:fill="auto"/>
            <w:vAlign w:val="bottom"/>
          </w:tcPr>
          <w:p w14:paraId="75C26101" w14:textId="503889A7" w:rsidR="005A01F0" w:rsidRPr="005A01F0" w:rsidRDefault="005A01F0" w:rsidP="005A01F0">
            <w:pPr>
              <w:jc w:val="center"/>
              <w:rPr>
                <w:sz w:val="22"/>
                <w:szCs w:val="22"/>
              </w:rPr>
            </w:pPr>
            <w:r w:rsidRPr="005A01F0">
              <w:rPr>
                <w:rFonts w:ascii="Calibri" w:hAnsi="Calibri" w:cs="Calibri"/>
                <w:color w:val="000000"/>
                <w:sz w:val="22"/>
                <w:szCs w:val="22"/>
              </w:rPr>
              <w:t>423.321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D104872" w14:textId="46E631B4" w:rsidR="005A01F0" w:rsidRPr="005A01F0" w:rsidRDefault="005A01F0" w:rsidP="005A01F0">
            <w:pPr>
              <w:jc w:val="center"/>
              <w:rPr>
                <w:sz w:val="22"/>
                <w:szCs w:val="22"/>
              </w:rPr>
            </w:pPr>
            <w:r w:rsidRPr="005A01F0">
              <w:rPr>
                <w:rFonts w:ascii="Calibri" w:hAnsi="Calibri" w:cs="Calibri"/>
                <w:color w:val="000000"/>
                <w:sz w:val="22"/>
                <w:szCs w:val="22"/>
              </w:rPr>
              <w:t>405.646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34B8092B" w14:textId="4BEF2A3B" w:rsidR="005A01F0" w:rsidRPr="00C6165A" w:rsidRDefault="005A01F0" w:rsidP="005A01F0">
            <w:pPr>
              <w:jc w:val="center"/>
              <w:rPr>
                <w:i/>
                <w:iCs/>
                <w:sz w:val="22"/>
                <w:szCs w:val="22"/>
              </w:rPr>
            </w:pPr>
            <w:r>
              <w:rPr>
                <w:rFonts w:ascii="Calibri" w:hAnsi="Calibri" w:cs="Calibri"/>
                <w:color w:val="000000"/>
                <w:sz w:val="22"/>
                <w:szCs w:val="22"/>
              </w:rPr>
              <w:t>-4,2%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344829A" w14:textId="4DBA1394" w:rsidR="005A01F0" w:rsidRPr="005A01F0" w:rsidRDefault="005A01F0" w:rsidP="005A01F0">
            <w:pPr>
              <w:jc w:val="center"/>
              <w:rPr>
                <w:sz w:val="22"/>
                <w:szCs w:val="22"/>
              </w:rPr>
            </w:pPr>
            <w:r w:rsidRPr="005A01F0">
              <w:rPr>
                <w:rFonts w:ascii="Calibri" w:hAnsi="Calibri" w:cs="Calibri"/>
                <w:color w:val="000000"/>
                <w:sz w:val="22"/>
                <w:szCs w:val="22"/>
              </w:rPr>
              <w:t>120.665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6530877" w14:textId="07B7A8DF" w:rsidR="005A01F0" w:rsidRPr="005A01F0" w:rsidRDefault="005A01F0" w:rsidP="005A01F0">
            <w:pPr>
              <w:jc w:val="center"/>
              <w:rPr>
                <w:sz w:val="22"/>
                <w:szCs w:val="22"/>
              </w:rPr>
            </w:pPr>
            <w:r w:rsidRPr="005A01F0">
              <w:rPr>
                <w:rFonts w:ascii="Calibri" w:hAnsi="Calibri" w:cs="Calibri"/>
                <w:color w:val="000000"/>
                <w:sz w:val="22"/>
                <w:szCs w:val="22"/>
              </w:rPr>
              <w:t>116.322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A7891BF" w14:textId="68921225" w:rsidR="005A01F0" w:rsidRPr="00C6165A" w:rsidRDefault="005A01F0" w:rsidP="005A01F0">
            <w:pPr>
              <w:jc w:val="center"/>
              <w:rPr>
                <w:i/>
                <w:iCs/>
                <w:sz w:val="22"/>
                <w:szCs w:val="22"/>
              </w:rPr>
            </w:pPr>
            <w:r>
              <w:rPr>
                <w:rFonts w:ascii="Calibri" w:hAnsi="Calibri" w:cs="Calibri"/>
                <w:color w:val="000000"/>
                <w:sz w:val="22"/>
                <w:szCs w:val="22"/>
              </w:rPr>
              <w:t>-3,6%</w:t>
            </w:r>
          </w:p>
        </w:tc>
      </w:tr>
      <w:tr w:rsidR="005A01F0" w:rsidRPr="00C6165A" w14:paraId="1A8EA123" w14:textId="77777777" w:rsidTr="005B46FE">
        <w:trPr>
          <w:jc w:val="center"/>
        </w:trPr>
        <w:tc>
          <w:tcPr>
            <w:tcW w:w="1062" w:type="dxa"/>
            <w:tcBorders>
              <w:right w:val="single" w:sz="4" w:space="0" w:color="auto"/>
            </w:tcBorders>
          </w:tcPr>
          <w:p w14:paraId="00F215D9" w14:textId="77777777" w:rsidR="005A01F0" w:rsidRPr="00C6165A" w:rsidRDefault="005A01F0" w:rsidP="005A01F0">
            <w:pPr>
              <w:rPr>
                <w:sz w:val="22"/>
                <w:szCs w:val="22"/>
              </w:rPr>
            </w:pPr>
            <w:r w:rsidRPr="00C6165A">
              <w:rPr>
                <w:sz w:val="22"/>
                <w:szCs w:val="22"/>
              </w:rPr>
              <w:t>Ovino</w:t>
            </w:r>
          </w:p>
        </w:tc>
        <w:tc>
          <w:tcPr>
            <w:tcW w:w="1348" w:type="dxa"/>
            <w:tcBorders>
              <w:top w:val="single" w:sz="4" w:space="0" w:color="auto"/>
              <w:left w:val="nil"/>
              <w:bottom w:val="single" w:sz="4" w:space="0" w:color="auto"/>
              <w:right w:val="single" w:sz="4" w:space="0" w:color="auto"/>
            </w:tcBorders>
            <w:shd w:val="clear" w:color="auto" w:fill="auto"/>
            <w:vAlign w:val="bottom"/>
          </w:tcPr>
          <w:p w14:paraId="623CE080" w14:textId="0A09C29D" w:rsidR="005A01F0" w:rsidRPr="005A01F0" w:rsidRDefault="005A01F0" w:rsidP="005A01F0">
            <w:pPr>
              <w:jc w:val="center"/>
              <w:rPr>
                <w:sz w:val="22"/>
                <w:szCs w:val="22"/>
              </w:rPr>
            </w:pPr>
            <w:r w:rsidRPr="005A01F0">
              <w:rPr>
                <w:rFonts w:ascii="Calibri" w:hAnsi="Calibri" w:cs="Calibri"/>
                <w:color w:val="000000"/>
                <w:sz w:val="22"/>
                <w:szCs w:val="22"/>
              </w:rPr>
              <w:t>3.455.115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47D70F5" w14:textId="0CEE5E67" w:rsidR="005A01F0" w:rsidRPr="005A01F0" w:rsidRDefault="005A01F0" w:rsidP="005A01F0">
            <w:pPr>
              <w:jc w:val="center"/>
              <w:rPr>
                <w:sz w:val="22"/>
                <w:szCs w:val="22"/>
              </w:rPr>
            </w:pPr>
            <w:r w:rsidRPr="005A01F0">
              <w:rPr>
                <w:rFonts w:ascii="Calibri" w:hAnsi="Calibri" w:cs="Calibri"/>
                <w:color w:val="000000"/>
                <w:sz w:val="22"/>
                <w:szCs w:val="22"/>
              </w:rPr>
              <w:t>3.096.162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6B633FDE" w14:textId="328CA4A5" w:rsidR="005A01F0" w:rsidRPr="00C6165A" w:rsidRDefault="005A01F0" w:rsidP="005A01F0">
            <w:pPr>
              <w:jc w:val="center"/>
              <w:rPr>
                <w:i/>
                <w:iCs/>
                <w:sz w:val="22"/>
                <w:szCs w:val="22"/>
              </w:rPr>
            </w:pPr>
            <w:r>
              <w:rPr>
                <w:rFonts w:ascii="Calibri" w:hAnsi="Calibri" w:cs="Calibri"/>
                <w:color w:val="000000"/>
                <w:sz w:val="22"/>
                <w:szCs w:val="22"/>
              </w:rPr>
              <w:t>-10,4%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99611D2" w14:textId="41183EAD" w:rsidR="005A01F0" w:rsidRPr="005A01F0" w:rsidRDefault="005A01F0" w:rsidP="005A01F0">
            <w:pPr>
              <w:jc w:val="center"/>
              <w:rPr>
                <w:sz w:val="22"/>
                <w:szCs w:val="22"/>
              </w:rPr>
            </w:pPr>
            <w:r w:rsidRPr="005A01F0">
              <w:rPr>
                <w:rFonts w:ascii="Calibri" w:hAnsi="Calibri" w:cs="Calibri"/>
                <w:color w:val="000000"/>
                <w:sz w:val="22"/>
                <w:szCs w:val="22"/>
              </w:rPr>
              <w:t>39.084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D368DF6" w14:textId="525E51C5" w:rsidR="005A01F0" w:rsidRPr="005A01F0" w:rsidRDefault="005A01F0" w:rsidP="005A01F0">
            <w:pPr>
              <w:jc w:val="center"/>
              <w:rPr>
                <w:sz w:val="22"/>
                <w:szCs w:val="22"/>
              </w:rPr>
            </w:pPr>
            <w:r w:rsidRPr="005A01F0">
              <w:rPr>
                <w:rFonts w:ascii="Calibri" w:hAnsi="Calibri" w:cs="Calibri"/>
                <w:color w:val="000000"/>
                <w:sz w:val="22"/>
                <w:szCs w:val="22"/>
              </w:rPr>
              <w:t>33.706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0F10D0D" w14:textId="0D7BFAC9" w:rsidR="005A01F0" w:rsidRPr="00C6165A" w:rsidRDefault="005A01F0" w:rsidP="005A01F0">
            <w:pPr>
              <w:jc w:val="center"/>
              <w:rPr>
                <w:i/>
                <w:iCs/>
                <w:sz w:val="22"/>
                <w:szCs w:val="22"/>
              </w:rPr>
            </w:pPr>
            <w:r>
              <w:rPr>
                <w:rFonts w:ascii="Calibri" w:hAnsi="Calibri" w:cs="Calibri"/>
                <w:color w:val="000000"/>
                <w:sz w:val="22"/>
                <w:szCs w:val="22"/>
              </w:rPr>
              <w:t>-13,8%</w:t>
            </w:r>
          </w:p>
        </w:tc>
      </w:tr>
      <w:tr w:rsidR="005A01F0" w:rsidRPr="00C6165A" w14:paraId="0F649C3D" w14:textId="77777777" w:rsidTr="005B46FE">
        <w:trPr>
          <w:jc w:val="center"/>
        </w:trPr>
        <w:tc>
          <w:tcPr>
            <w:tcW w:w="1062" w:type="dxa"/>
            <w:tcBorders>
              <w:right w:val="single" w:sz="4" w:space="0" w:color="auto"/>
            </w:tcBorders>
          </w:tcPr>
          <w:p w14:paraId="6CC88764" w14:textId="77777777" w:rsidR="005A01F0" w:rsidRPr="00C6165A" w:rsidRDefault="005A01F0" w:rsidP="005A01F0">
            <w:pPr>
              <w:rPr>
                <w:sz w:val="22"/>
                <w:szCs w:val="22"/>
              </w:rPr>
            </w:pPr>
            <w:r w:rsidRPr="00C6165A">
              <w:rPr>
                <w:sz w:val="22"/>
                <w:szCs w:val="22"/>
              </w:rPr>
              <w:t>Caprino</w:t>
            </w:r>
          </w:p>
        </w:tc>
        <w:tc>
          <w:tcPr>
            <w:tcW w:w="1348" w:type="dxa"/>
            <w:tcBorders>
              <w:top w:val="single" w:sz="4" w:space="0" w:color="auto"/>
              <w:left w:val="nil"/>
              <w:bottom w:val="single" w:sz="4" w:space="0" w:color="auto"/>
              <w:right w:val="single" w:sz="4" w:space="0" w:color="auto"/>
            </w:tcBorders>
            <w:shd w:val="clear" w:color="auto" w:fill="auto"/>
            <w:vAlign w:val="bottom"/>
          </w:tcPr>
          <w:p w14:paraId="63FEF2B3" w14:textId="2DA321ED" w:rsidR="005A01F0" w:rsidRPr="005A01F0" w:rsidRDefault="005A01F0" w:rsidP="005A01F0">
            <w:pPr>
              <w:jc w:val="center"/>
              <w:rPr>
                <w:sz w:val="22"/>
                <w:szCs w:val="22"/>
              </w:rPr>
            </w:pPr>
            <w:r w:rsidRPr="005A01F0">
              <w:rPr>
                <w:rFonts w:ascii="Calibri" w:hAnsi="Calibri" w:cs="Calibri"/>
                <w:color w:val="000000"/>
                <w:sz w:val="22"/>
                <w:szCs w:val="22"/>
              </w:rPr>
              <w:t>114.499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6B1A21B" w14:textId="65ADEE9D" w:rsidR="005A01F0" w:rsidRPr="005A01F0" w:rsidRDefault="005A01F0" w:rsidP="005A01F0">
            <w:pPr>
              <w:jc w:val="center"/>
              <w:rPr>
                <w:sz w:val="22"/>
                <w:szCs w:val="22"/>
              </w:rPr>
            </w:pPr>
            <w:r w:rsidRPr="005A01F0">
              <w:rPr>
                <w:rFonts w:ascii="Calibri" w:hAnsi="Calibri" w:cs="Calibri"/>
                <w:color w:val="000000"/>
                <w:sz w:val="22"/>
                <w:szCs w:val="22"/>
              </w:rPr>
              <w:t>87.594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7A4C0EC" w14:textId="6A2FF757" w:rsidR="005A01F0" w:rsidRPr="00C6165A" w:rsidRDefault="005A01F0" w:rsidP="005A01F0">
            <w:pPr>
              <w:jc w:val="center"/>
              <w:rPr>
                <w:i/>
                <w:iCs/>
                <w:sz w:val="22"/>
                <w:szCs w:val="22"/>
              </w:rPr>
            </w:pPr>
            <w:r>
              <w:rPr>
                <w:rFonts w:ascii="Calibri" w:hAnsi="Calibri" w:cs="Calibri"/>
                <w:color w:val="000000"/>
                <w:sz w:val="22"/>
                <w:szCs w:val="22"/>
              </w:rPr>
              <w:t>-23,5%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689F2C6" w14:textId="7B8163DA" w:rsidR="005A01F0" w:rsidRPr="005A01F0" w:rsidRDefault="005A01F0" w:rsidP="005A01F0">
            <w:pPr>
              <w:jc w:val="center"/>
              <w:rPr>
                <w:sz w:val="22"/>
                <w:szCs w:val="22"/>
              </w:rPr>
            </w:pPr>
            <w:r w:rsidRPr="005A01F0">
              <w:rPr>
                <w:rFonts w:ascii="Calibri" w:hAnsi="Calibri" w:cs="Calibri"/>
                <w:color w:val="000000"/>
                <w:sz w:val="22"/>
                <w:szCs w:val="22"/>
              </w:rPr>
              <w:t>1.158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5339C5A" w14:textId="01EB32A5" w:rsidR="005A01F0" w:rsidRPr="005A01F0" w:rsidRDefault="005A01F0" w:rsidP="005A01F0">
            <w:pPr>
              <w:jc w:val="center"/>
              <w:rPr>
                <w:sz w:val="22"/>
                <w:szCs w:val="22"/>
              </w:rPr>
            </w:pPr>
            <w:r w:rsidRPr="005A01F0">
              <w:rPr>
                <w:rFonts w:ascii="Calibri" w:hAnsi="Calibri" w:cs="Calibri"/>
                <w:color w:val="000000"/>
                <w:sz w:val="22"/>
                <w:szCs w:val="22"/>
              </w:rPr>
              <w:t>780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801FD70" w14:textId="7AB4B76F" w:rsidR="005A01F0" w:rsidRPr="00C6165A" w:rsidRDefault="005A01F0" w:rsidP="005A01F0">
            <w:pPr>
              <w:jc w:val="center"/>
              <w:rPr>
                <w:i/>
                <w:iCs/>
                <w:sz w:val="22"/>
                <w:szCs w:val="22"/>
              </w:rPr>
            </w:pPr>
            <w:r>
              <w:rPr>
                <w:rFonts w:ascii="Calibri" w:hAnsi="Calibri" w:cs="Calibri"/>
                <w:color w:val="000000"/>
                <w:sz w:val="22"/>
                <w:szCs w:val="22"/>
              </w:rPr>
              <w:t>-32,7%</w:t>
            </w:r>
          </w:p>
        </w:tc>
      </w:tr>
      <w:tr w:rsidR="005A01F0" w:rsidRPr="00C6165A" w14:paraId="0C7C709D" w14:textId="77777777" w:rsidTr="005B46FE">
        <w:trPr>
          <w:jc w:val="center"/>
        </w:trPr>
        <w:tc>
          <w:tcPr>
            <w:tcW w:w="1062" w:type="dxa"/>
            <w:tcBorders>
              <w:right w:val="single" w:sz="4" w:space="0" w:color="auto"/>
            </w:tcBorders>
          </w:tcPr>
          <w:p w14:paraId="21CA8EE1" w14:textId="77777777" w:rsidR="005A01F0" w:rsidRPr="00C6165A" w:rsidRDefault="005A01F0" w:rsidP="005A01F0">
            <w:pPr>
              <w:rPr>
                <w:sz w:val="22"/>
                <w:szCs w:val="22"/>
              </w:rPr>
            </w:pPr>
            <w:r w:rsidRPr="00C6165A">
              <w:rPr>
                <w:sz w:val="22"/>
                <w:szCs w:val="22"/>
              </w:rPr>
              <w:t>Porcino</w:t>
            </w:r>
          </w:p>
        </w:tc>
        <w:tc>
          <w:tcPr>
            <w:tcW w:w="1348" w:type="dxa"/>
            <w:tcBorders>
              <w:top w:val="single" w:sz="4" w:space="0" w:color="auto"/>
              <w:left w:val="nil"/>
              <w:bottom w:val="single" w:sz="4" w:space="0" w:color="auto"/>
              <w:right w:val="single" w:sz="4" w:space="0" w:color="auto"/>
            </w:tcBorders>
            <w:shd w:val="clear" w:color="auto" w:fill="auto"/>
            <w:vAlign w:val="bottom"/>
          </w:tcPr>
          <w:p w14:paraId="72D8027C" w14:textId="08C6CB9E" w:rsidR="005A01F0" w:rsidRPr="005A01F0" w:rsidRDefault="005A01F0" w:rsidP="005A01F0">
            <w:pPr>
              <w:jc w:val="center"/>
              <w:rPr>
                <w:sz w:val="22"/>
                <w:szCs w:val="22"/>
              </w:rPr>
            </w:pPr>
            <w:r w:rsidRPr="005A01F0">
              <w:rPr>
                <w:rFonts w:ascii="Calibri" w:hAnsi="Calibri" w:cs="Calibri"/>
                <w:color w:val="000000"/>
                <w:sz w:val="22"/>
                <w:szCs w:val="22"/>
              </w:rPr>
              <w:t>7.165.156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3E44A74" w14:textId="2E837A32" w:rsidR="005A01F0" w:rsidRPr="005A01F0" w:rsidRDefault="005A01F0" w:rsidP="005A01F0">
            <w:pPr>
              <w:jc w:val="center"/>
              <w:rPr>
                <w:sz w:val="22"/>
                <w:szCs w:val="22"/>
              </w:rPr>
            </w:pPr>
            <w:r w:rsidRPr="005A01F0">
              <w:rPr>
                <w:rFonts w:ascii="Calibri" w:hAnsi="Calibri" w:cs="Calibri"/>
                <w:color w:val="000000"/>
                <w:sz w:val="22"/>
                <w:szCs w:val="22"/>
              </w:rPr>
              <w:t>6.492.394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8092446" w14:textId="5E9CDD2D" w:rsidR="005A01F0" w:rsidRPr="00C6165A" w:rsidRDefault="005A01F0" w:rsidP="005A01F0">
            <w:pPr>
              <w:jc w:val="center"/>
              <w:rPr>
                <w:i/>
                <w:iCs/>
                <w:sz w:val="22"/>
                <w:szCs w:val="22"/>
              </w:rPr>
            </w:pPr>
            <w:r>
              <w:rPr>
                <w:rFonts w:ascii="Calibri" w:hAnsi="Calibri" w:cs="Calibri"/>
                <w:color w:val="000000"/>
                <w:sz w:val="22"/>
                <w:szCs w:val="22"/>
              </w:rPr>
              <w:t>-9,4%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1C16CFF" w14:textId="1AAF583D" w:rsidR="005A01F0" w:rsidRPr="005A01F0" w:rsidRDefault="005A01F0" w:rsidP="005A01F0">
            <w:pPr>
              <w:jc w:val="center"/>
              <w:rPr>
                <w:sz w:val="22"/>
                <w:szCs w:val="22"/>
              </w:rPr>
            </w:pPr>
            <w:r w:rsidRPr="005A01F0">
              <w:rPr>
                <w:rFonts w:ascii="Calibri" w:hAnsi="Calibri" w:cs="Calibri"/>
                <w:color w:val="000000"/>
                <w:sz w:val="22"/>
                <w:szCs w:val="22"/>
              </w:rPr>
              <w:t>651.033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47F24C4" w14:textId="799A33FD" w:rsidR="005A01F0" w:rsidRPr="005A01F0" w:rsidRDefault="005A01F0" w:rsidP="005A01F0">
            <w:pPr>
              <w:jc w:val="center"/>
              <w:rPr>
                <w:sz w:val="22"/>
                <w:szCs w:val="22"/>
              </w:rPr>
            </w:pPr>
            <w:r w:rsidRPr="005A01F0">
              <w:rPr>
                <w:rFonts w:ascii="Calibri" w:hAnsi="Calibri" w:cs="Calibri"/>
                <w:color w:val="000000"/>
                <w:sz w:val="22"/>
                <w:szCs w:val="22"/>
              </w:rPr>
              <w:t>620.166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CB23A88" w14:textId="2382DD50" w:rsidR="005A01F0" w:rsidRPr="00C6165A" w:rsidRDefault="005A01F0" w:rsidP="005A01F0">
            <w:pPr>
              <w:jc w:val="center"/>
              <w:rPr>
                <w:i/>
                <w:iCs/>
                <w:sz w:val="22"/>
                <w:szCs w:val="22"/>
              </w:rPr>
            </w:pPr>
            <w:r>
              <w:rPr>
                <w:rFonts w:ascii="Calibri" w:hAnsi="Calibri" w:cs="Calibri"/>
                <w:color w:val="000000"/>
                <w:sz w:val="22"/>
                <w:szCs w:val="22"/>
              </w:rPr>
              <w:t>-4,7%</w:t>
            </w:r>
          </w:p>
        </w:tc>
      </w:tr>
      <w:tr w:rsidR="005A01F0" w:rsidRPr="00C6165A" w14:paraId="5BA2DE9E" w14:textId="77777777" w:rsidTr="005B46FE">
        <w:trPr>
          <w:jc w:val="center"/>
        </w:trPr>
        <w:tc>
          <w:tcPr>
            <w:tcW w:w="1062" w:type="dxa"/>
            <w:tcBorders>
              <w:right w:val="single" w:sz="4" w:space="0" w:color="auto"/>
            </w:tcBorders>
          </w:tcPr>
          <w:p w14:paraId="1CF8FE98" w14:textId="77777777" w:rsidR="005A01F0" w:rsidRPr="00C6165A" w:rsidRDefault="005A01F0" w:rsidP="005A01F0">
            <w:pPr>
              <w:rPr>
                <w:sz w:val="22"/>
                <w:szCs w:val="22"/>
              </w:rPr>
            </w:pPr>
            <w:r w:rsidRPr="00C6165A">
              <w:rPr>
                <w:sz w:val="22"/>
                <w:szCs w:val="22"/>
              </w:rPr>
              <w:t>Equino</w:t>
            </w:r>
          </w:p>
        </w:tc>
        <w:tc>
          <w:tcPr>
            <w:tcW w:w="1348" w:type="dxa"/>
            <w:tcBorders>
              <w:top w:val="single" w:sz="4" w:space="0" w:color="auto"/>
              <w:left w:val="nil"/>
              <w:bottom w:val="single" w:sz="4" w:space="0" w:color="auto"/>
              <w:right w:val="single" w:sz="4" w:space="0" w:color="auto"/>
            </w:tcBorders>
            <w:shd w:val="clear" w:color="auto" w:fill="auto"/>
            <w:vAlign w:val="bottom"/>
          </w:tcPr>
          <w:p w14:paraId="174BD29B" w14:textId="7D6565D7" w:rsidR="005A01F0" w:rsidRPr="005A01F0" w:rsidRDefault="005A01F0" w:rsidP="005A01F0">
            <w:pPr>
              <w:jc w:val="center"/>
              <w:rPr>
                <w:sz w:val="22"/>
                <w:szCs w:val="22"/>
              </w:rPr>
            </w:pPr>
            <w:r w:rsidRPr="005A01F0">
              <w:rPr>
                <w:rFonts w:ascii="Calibri" w:hAnsi="Calibri" w:cs="Calibri"/>
                <w:color w:val="000000"/>
                <w:sz w:val="22"/>
                <w:szCs w:val="22"/>
              </w:rPr>
              <w:t>2.854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2DB3F6D" w14:textId="0EC008BA" w:rsidR="005A01F0" w:rsidRPr="005A01F0" w:rsidRDefault="005A01F0" w:rsidP="005A01F0">
            <w:pPr>
              <w:jc w:val="center"/>
              <w:rPr>
                <w:sz w:val="22"/>
                <w:szCs w:val="22"/>
              </w:rPr>
            </w:pPr>
            <w:r w:rsidRPr="005A01F0">
              <w:rPr>
                <w:rFonts w:ascii="Calibri" w:hAnsi="Calibri" w:cs="Calibri"/>
                <w:color w:val="000000"/>
                <w:sz w:val="22"/>
                <w:szCs w:val="22"/>
              </w:rPr>
              <w:t>3.367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01D1E80" w14:textId="5989ECC4" w:rsidR="005A01F0" w:rsidRPr="00C6165A" w:rsidRDefault="005A01F0" w:rsidP="005A01F0">
            <w:pPr>
              <w:jc w:val="center"/>
              <w:rPr>
                <w:i/>
                <w:iCs/>
                <w:sz w:val="22"/>
                <w:szCs w:val="22"/>
              </w:rPr>
            </w:pPr>
            <w:r>
              <w:rPr>
                <w:rFonts w:ascii="Calibri" w:hAnsi="Calibri" w:cs="Calibri"/>
                <w:color w:val="000000"/>
                <w:sz w:val="22"/>
                <w:szCs w:val="22"/>
              </w:rPr>
              <w:t>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827EF8A" w14:textId="431AA9ED" w:rsidR="005A01F0" w:rsidRPr="005A01F0" w:rsidRDefault="005A01F0" w:rsidP="005A01F0">
            <w:pPr>
              <w:jc w:val="center"/>
              <w:rPr>
                <w:sz w:val="22"/>
                <w:szCs w:val="22"/>
              </w:rPr>
            </w:pPr>
            <w:r w:rsidRPr="005A01F0">
              <w:rPr>
                <w:rFonts w:ascii="Calibri" w:hAnsi="Calibri" w:cs="Calibri"/>
                <w:color w:val="000000"/>
                <w:sz w:val="22"/>
                <w:szCs w:val="22"/>
              </w:rPr>
              <w:t>526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F1D4F35" w14:textId="6BBD036B" w:rsidR="005A01F0" w:rsidRPr="005A01F0" w:rsidRDefault="005A01F0" w:rsidP="005A01F0">
            <w:pPr>
              <w:jc w:val="center"/>
              <w:rPr>
                <w:sz w:val="22"/>
                <w:szCs w:val="22"/>
              </w:rPr>
            </w:pPr>
            <w:r w:rsidRPr="005A01F0">
              <w:rPr>
                <w:rFonts w:ascii="Calibri" w:hAnsi="Calibri" w:cs="Calibri"/>
                <w:color w:val="000000"/>
                <w:sz w:val="22"/>
                <w:szCs w:val="22"/>
              </w:rPr>
              <w:t>627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274886F" w14:textId="7FCBA42D" w:rsidR="005A01F0" w:rsidRPr="00C6165A" w:rsidRDefault="005A01F0" w:rsidP="005A01F0">
            <w:pPr>
              <w:jc w:val="center"/>
              <w:rPr>
                <w:i/>
                <w:iCs/>
                <w:sz w:val="22"/>
                <w:szCs w:val="22"/>
              </w:rPr>
            </w:pPr>
            <w:r>
              <w:rPr>
                <w:rFonts w:ascii="Calibri" w:hAnsi="Calibri" w:cs="Calibri"/>
                <w:color w:val="000000"/>
                <w:sz w:val="22"/>
                <w:szCs w:val="22"/>
              </w:rPr>
              <w:t>19,2%</w:t>
            </w:r>
          </w:p>
        </w:tc>
      </w:tr>
      <w:tr w:rsidR="005A01F0" w:rsidRPr="00C6165A" w14:paraId="610B9600" w14:textId="77777777" w:rsidTr="005B46FE">
        <w:trPr>
          <w:jc w:val="center"/>
        </w:trPr>
        <w:tc>
          <w:tcPr>
            <w:tcW w:w="1062" w:type="dxa"/>
            <w:tcBorders>
              <w:right w:val="single" w:sz="4" w:space="0" w:color="auto"/>
            </w:tcBorders>
          </w:tcPr>
          <w:p w14:paraId="12433A81" w14:textId="77777777" w:rsidR="005A01F0" w:rsidRPr="00C6165A" w:rsidRDefault="005A01F0" w:rsidP="005A01F0">
            <w:pPr>
              <w:rPr>
                <w:sz w:val="22"/>
                <w:szCs w:val="22"/>
              </w:rPr>
            </w:pPr>
            <w:r w:rsidRPr="00C6165A">
              <w:rPr>
                <w:sz w:val="22"/>
                <w:szCs w:val="22"/>
              </w:rPr>
              <w:t>Aves</w:t>
            </w:r>
          </w:p>
        </w:tc>
        <w:tc>
          <w:tcPr>
            <w:tcW w:w="1348" w:type="dxa"/>
            <w:tcBorders>
              <w:top w:val="single" w:sz="4" w:space="0" w:color="auto"/>
              <w:left w:val="nil"/>
              <w:bottom w:val="single" w:sz="4" w:space="0" w:color="auto"/>
              <w:right w:val="single" w:sz="4" w:space="0" w:color="auto"/>
            </w:tcBorders>
            <w:shd w:val="clear" w:color="auto" w:fill="auto"/>
            <w:vAlign w:val="bottom"/>
          </w:tcPr>
          <w:p w14:paraId="382817F1" w14:textId="5D64DD9D" w:rsidR="005A01F0" w:rsidRPr="005A01F0" w:rsidRDefault="005A01F0" w:rsidP="005A01F0">
            <w:pPr>
              <w:jc w:val="center"/>
              <w:rPr>
                <w:sz w:val="22"/>
                <w:szCs w:val="22"/>
              </w:rPr>
            </w:pPr>
            <w:r w:rsidRPr="005A01F0">
              <w:rPr>
                <w:rFonts w:ascii="Calibri" w:hAnsi="Calibri" w:cs="Calibri"/>
                <w:color w:val="000000"/>
                <w:sz w:val="22"/>
                <w:szCs w:val="22"/>
              </w:rPr>
              <w:t>63.726.620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52B516A" w14:textId="4FF63C6C" w:rsidR="005A01F0" w:rsidRPr="005A01F0" w:rsidRDefault="005A01F0" w:rsidP="005A01F0">
            <w:pPr>
              <w:jc w:val="center"/>
              <w:rPr>
                <w:sz w:val="22"/>
                <w:szCs w:val="22"/>
              </w:rPr>
            </w:pPr>
            <w:r w:rsidRPr="005A01F0">
              <w:rPr>
                <w:rFonts w:ascii="Calibri" w:hAnsi="Calibri" w:cs="Calibri"/>
                <w:color w:val="000000"/>
                <w:sz w:val="22"/>
                <w:szCs w:val="22"/>
              </w:rPr>
              <w:t>68.756.409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19DF39AF" w14:textId="74588208" w:rsidR="005A01F0" w:rsidRPr="00C6165A" w:rsidRDefault="005A01F0" w:rsidP="005A01F0">
            <w:pPr>
              <w:jc w:val="center"/>
              <w:rPr>
                <w:i/>
                <w:iCs/>
                <w:sz w:val="22"/>
                <w:szCs w:val="22"/>
              </w:rPr>
            </w:pPr>
            <w:r>
              <w:rPr>
                <w:rFonts w:ascii="Calibri" w:hAnsi="Calibri" w:cs="Calibri"/>
                <w:color w:val="000000"/>
                <w:sz w:val="22"/>
                <w:szCs w:val="22"/>
              </w:rPr>
              <w:t>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3B4B0E3" w14:textId="1E167071" w:rsidR="005A01F0" w:rsidRPr="005A01F0" w:rsidRDefault="005A01F0" w:rsidP="005A01F0">
            <w:pPr>
              <w:jc w:val="center"/>
              <w:rPr>
                <w:sz w:val="22"/>
                <w:szCs w:val="22"/>
              </w:rPr>
            </w:pPr>
            <w:r w:rsidRPr="005A01F0">
              <w:rPr>
                <w:rFonts w:ascii="Calibri" w:hAnsi="Calibri" w:cs="Calibri"/>
                <w:color w:val="000000"/>
                <w:sz w:val="22"/>
                <w:szCs w:val="22"/>
              </w:rPr>
              <w:t>137.994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5F2C4C9" w14:textId="20FE0858" w:rsidR="005A01F0" w:rsidRPr="005A01F0" w:rsidRDefault="005A01F0" w:rsidP="005A01F0">
            <w:pPr>
              <w:jc w:val="center"/>
              <w:rPr>
                <w:sz w:val="22"/>
                <w:szCs w:val="22"/>
              </w:rPr>
            </w:pPr>
            <w:r w:rsidRPr="005A01F0">
              <w:rPr>
                <w:rFonts w:ascii="Calibri" w:hAnsi="Calibri" w:cs="Calibri"/>
                <w:color w:val="000000"/>
                <w:sz w:val="22"/>
                <w:szCs w:val="22"/>
              </w:rPr>
              <w:t>151.468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D74486F" w14:textId="671B63C4" w:rsidR="005A01F0" w:rsidRPr="00C6165A" w:rsidRDefault="005A01F0" w:rsidP="005A01F0">
            <w:pPr>
              <w:jc w:val="center"/>
              <w:rPr>
                <w:i/>
                <w:iCs/>
                <w:sz w:val="22"/>
                <w:szCs w:val="22"/>
              </w:rPr>
            </w:pPr>
            <w:r>
              <w:rPr>
                <w:rFonts w:ascii="Calibri" w:hAnsi="Calibri" w:cs="Calibri"/>
                <w:color w:val="000000"/>
                <w:sz w:val="22"/>
                <w:szCs w:val="22"/>
              </w:rPr>
              <w:t>9,8%</w:t>
            </w:r>
          </w:p>
        </w:tc>
      </w:tr>
      <w:tr w:rsidR="00C6165A" w:rsidRPr="005A01F0" w14:paraId="536B4370" w14:textId="77777777" w:rsidTr="00A35A55">
        <w:trPr>
          <w:jc w:val="center"/>
        </w:trPr>
        <w:tc>
          <w:tcPr>
            <w:tcW w:w="1062" w:type="dxa"/>
            <w:tcBorders>
              <w:right w:val="single" w:sz="4" w:space="0" w:color="auto"/>
            </w:tcBorders>
          </w:tcPr>
          <w:p w14:paraId="5863253A" w14:textId="48B900E7" w:rsidR="007E798A" w:rsidRPr="005A01F0" w:rsidRDefault="007E798A" w:rsidP="007E798A">
            <w:pPr>
              <w:rPr>
                <w:b/>
                <w:bCs/>
                <w:sz w:val="22"/>
                <w:szCs w:val="22"/>
              </w:rPr>
            </w:pPr>
            <w:r w:rsidRPr="005A01F0">
              <w:rPr>
                <w:b/>
                <w:bCs/>
                <w:sz w:val="22"/>
                <w:szCs w:val="22"/>
              </w:rPr>
              <w:t>Total</w:t>
            </w:r>
          </w:p>
        </w:tc>
        <w:tc>
          <w:tcPr>
            <w:tcW w:w="1348" w:type="dxa"/>
            <w:tcBorders>
              <w:top w:val="single" w:sz="4" w:space="0" w:color="auto"/>
              <w:left w:val="nil"/>
              <w:bottom w:val="single" w:sz="4" w:space="0" w:color="auto"/>
              <w:right w:val="single" w:sz="4" w:space="0" w:color="auto"/>
            </w:tcBorders>
            <w:shd w:val="clear" w:color="auto" w:fill="auto"/>
            <w:vAlign w:val="center"/>
          </w:tcPr>
          <w:p w14:paraId="6E981801" w14:textId="26A088FD" w:rsidR="007E798A" w:rsidRPr="005A01F0" w:rsidRDefault="005A01F0" w:rsidP="005A01F0">
            <w:pPr>
              <w:jc w:val="center"/>
              <w:rPr>
                <w:rFonts w:ascii="Calibri" w:hAnsi="Calibri" w:cs="Calibri"/>
                <w:b/>
                <w:bCs/>
                <w:color w:val="000000"/>
                <w:sz w:val="22"/>
                <w:szCs w:val="22"/>
                <w:lang w:eastAsia="es-ES"/>
              </w:rPr>
            </w:pPr>
            <w:r w:rsidRPr="005A01F0">
              <w:rPr>
                <w:rFonts w:ascii="Calibri" w:hAnsi="Calibri" w:cs="Calibri"/>
                <w:b/>
                <w:bCs/>
                <w:color w:val="000000"/>
                <w:sz w:val="22"/>
                <w:szCs w:val="22"/>
              </w:rPr>
              <w:t>74.887.565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DDDAD1" w14:textId="20891022" w:rsidR="007E798A" w:rsidRPr="005A01F0" w:rsidRDefault="005A01F0" w:rsidP="005A01F0">
            <w:pPr>
              <w:jc w:val="center"/>
              <w:rPr>
                <w:rFonts w:ascii="Calibri" w:hAnsi="Calibri" w:cs="Calibri"/>
                <w:b/>
                <w:bCs/>
                <w:color w:val="000000"/>
                <w:sz w:val="22"/>
                <w:szCs w:val="22"/>
                <w:lang w:eastAsia="es-ES"/>
              </w:rPr>
            </w:pPr>
            <w:r w:rsidRPr="005A01F0">
              <w:rPr>
                <w:rFonts w:ascii="Calibri" w:hAnsi="Calibri" w:cs="Calibri"/>
                <w:b/>
                <w:bCs/>
                <w:color w:val="000000"/>
                <w:sz w:val="22"/>
                <w:szCs w:val="22"/>
              </w:rPr>
              <w:t>78.841.571</w:t>
            </w:r>
          </w:p>
        </w:tc>
        <w:tc>
          <w:tcPr>
            <w:tcW w:w="992" w:type="dxa"/>
            <w:tcBorders>
              <w:top w:val="single" w:sz="4" w:space="0" w:color="auto"/>
              <w:left w:val="single" w:sz="4" w:space="0" w:color="auto"/>
              <w:bottom w:val="single" w:sz="4" w:space="0" w:color="auto"/>
              <w:right w:val="nil"/>
            </w:tcBorders>
            <w:shd w:val="clear" w:color="auto" w:fill="auto"/>
            <w:vAlign w:val="center"/>
          </w:tcPr>
          <w:p w14:paraId="692078E3" w14:textId="4F031806" w:rsidR="007E798A" w:rsidRPr="005A01F0" w:rsidRDefault="005A01F0" w:rsidP="005A01F0">
            <w:pPr>
              <w:jc w:val="center"/>
              <w:rPr>
                <w:rFonts w:ascii="Calibri" w:hAnsi="Calibri" w:cs="Calibri"/>
                <w:b/>
                <w:bCs/>
                <w:color w:val="000000"/>
                <w:sz w:val="22"/>
                <w:szCs w:val="22"/>
                <w:lang w:eastAsia="es-ES"/>
              </w:rPr>
            </w:pPr>
            <w:r w:rsidRPr="005A01F0">
              <w:rPr>
                <w:rFonts w:ascii="Calibri" w:hAnsi="Calibri" w:cs="Calibri"/>
                <w:b/>
                <w:bCs/>
                <w:color w:val="000000"/>
                <w:sz w:val="22"/>
                <w:szCs w:val="22"/>
              </w:rPr>
              <w:t>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CA8B10" w14:textId="105902DB" w:rsidR="007E798A" w:rsidRPr="005A01F0" w:rsidRDefault="005A01F0" w:rsidP="005A01F0">
            <w:pPr>
              <w:jc w:val="center"/>
              <w:rPr>
                <w:rFonts w:ascii="Calibri" w:hAnsi="Calibri" w:cs="Calibri"/>
                <w:b/>
                <w:bCs/>
                <w:color w:val="000000"/>
                <w:sz w:val="22"/>
                <w:szCs w:val="22"/>
                <w:lang w:eastAsia="es-ES"/>
              </w:rPr>
            </w:pPr>
            <w:r w:rsidRPr="005A01F0">
              <w:rPr>
                <w:rFonts w:ascii="Calibri" w:hAnsi="Calibri" w:cs="Calibri"/>
                <w:b/>
                <w:bCs/>
                <w:color w:val="000000"/>
                <w:sz w:val="22"/>
                <w:szCs w:val="22"/>
              </w:rPr>
              <w:t>950.460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459C2E" w14:textId="1DF6450C" w:rsidR="007E798A" w:rsidRPr="005A01F0" w:rsidRDefault="005A01F0" w:rsidP="005A01F0">
            <w:pPr>
              <w:jc w:val="center"/>
              <w:rPr>
                <w:rFonts w:ascii="Calibri" w:hAnsi="Calibri" w:cs="Calibri"/>
                <w:b/>
                <w:bCs/>
                <w:color w:val="000000"/>
                <w:sz w:val="22"/>
                <w:szCs w:val="22"/>
                <w:lang w:eastAsia="es-ES"/>
              </w:rPr>
            </w:pPr>
            <w:r w:rsidRPr="005A01F0">
              <w:rPr>
                <w:rFonts w:ascii="Calibri" w:hAnsi="Calibri" w:cs="Calibri"/>
                <w:b/>
                <w:bCs/>
                <w:color w:val="000000"/>
                <w:sz w:val="22"/>
                <w:szCs w:val="22"/>
              </w:rPr>
              <w:t>923.069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8599D4" w14:textId="6A243530" w:rsidR="007E798A" w:rsidRPr="005A01F0" w:rsidRDefault="005A01F0" w:rsidP="005A01F0">
            <w:pPr>
              <w:jc w:val="center"/>
              <w:rPr>
                <w:rFonts w:ascii="Calibri" w:hAnsi="Calibri" w:cs="Calibri"/>
                <w:b/>
                <w:bCs/>
                <w:color w:val="000000"/>
                <w:sz w:val="22"/>
                <w:szCs w:val="22"/>
                <w:lang w:eastAsia="es-ES"/>
              </w:rPr>
            </w:pPr>
            <w:r w:rsidRPr="005A01F0">
              <w:rPr>
                <w:rFonts w:ascii="Calibri" w:hAnsi="Calibri" w:cs="Calibri"/>
                <w:b/>
                <w:bCs/>
                <w:color w:val="000000"/>
                <w:sz w:val="22"/>
                <w:szCs w:val="22"/>
              </w:rPr>
              <w:t>-2,9%</w:t>
            </w:r>
          </w:p>
        </w:tc>
      </w:tr>
    </w:tbl>
    <w:p w14:paraId="08515735" w14:textId="710DC642" w:rsidR="00B211DB" w:rsidRPr="00703831" w:rsidRDefault="00B211DB" w:rsidP="00591CD3">
      <w:pPr>
        <w:jc w:val="center"/>
        <w:rPr>
          <w:i/>
          <w:iCs/>
          <w:sz w:val="16"/>
          <w:szCs w:val="16"/>
        </w:rPr>
      </w:pPr>
      <w:r w:rsidRPr="00703831">
        <w:rPr>
          <w:i/>
          <w:iCs/>
          <w:sz w:val="16"/>
          <w:szCs w:val="16"/>
        </w:rPr>
        <w:t xml:space="preserve">Fuente: </w:t>
      </w:r>
      <w:r w:rsidR="00591CD3" w:rsidRPr="00703831">
        <w:rPr>
          <w:i/>
          <w:iCs/>
          <w:sz w:val="16"/>
          <w:szCs w:val="16"/>
        </w:rPr>
        <w:t>Elaboración propia a partir de las e</w:t>
      </w:r>
      <w:r w:rsidRPr="00703831">
        <w:rPr>
          <w:i/>
          <w:iCs/>
          <w:sz w:val="16"/>
          <w:szCs w:val="16"/>
        </w:rPr>
        <w:t>ncuestas</w:t>
      </w:r>
      <w:r w:rsidR="00703831" w:rsidRPr="00703831">
        <w:rPr>
          <w:i/>
          <w:iCs/>
          <w:sz w:val="16"/>
          <w:szCs w:val="16"/>
        </w:rPr>
        <w:t xml:space="preserve"> de</w:t>
      </w:r>
      <w:r w:rsidRPr="00703831">
        <w:rPr>
          <w:i/>
          <w:iCs/>
          <w:sz w:val="16"/>
          <w:szCs w:val="16"/>
        </w:rPr>
        <w:t xml:space="preserve"> sacrificio de ganado del Ministerio de Agricultura, Pesca y Alimentación</w:t>
      </w:r>
    </w:p>
    <w:p w14:paraId="338B31F2" w14:textId="77777777" w:rsidR="00AA49C3" w:rsidRPr="00703831" w:rsidRDefault="00AA49C3" w:rsidP="00AA49C3">
      <w:pPr>
        <w:rPr>
          <w:i/>
          <w:iCs/>
        </w:rPr>
      </w:pPr>
    </w:p>
    <w:p w14:paraId="775475C5" w14:textId="11AD1050" w:rsidR="00F16EE8" w:rsidRPr="000D68B3" w:rsidRDefault="00585BF7" w:rsidP="000D68B3">
      <w:r w:rsidRPr="00C6165A">
        <w:t xml:space="preserve">Se ha producido un </w:t>
      </w:r>
      <w:r w:rsidR="005A01F0">
        <w:t>descenso</w:t>
      </w:r>
      <w:r w:rsidRPr="00C6165A">
        <w:t xml:space="preserve"> en la producción de carne en casi todas las especies, con la excepción del </w:t>
      </w:r>
      <w:r w:rsidR="00106678" w:rsidRPr="00C6165A">
        <w:t>equino</w:t>
      </w:r>
      <w:r w:rsidRPr="00C6165A">
        <w:t xml:space="preserve">, que ha </w:t>
      </w:r>
      <w:r w:rsidR="005A01F0">
        <w:t>aumentado un 19,2</w:t>
      </w:r>
      <w:r w:rsidR="00106678" w:rsidRPr="00C6165A">
        <w:t>%</w:t>
      </w:r>
      <w:r w:rsidR="005A01F0">
        <w:t xml:space="preserve"> y las aves un 9,8%</w:t>
      </w:r>
      <w:r w:rsidRPr="00C6165A">
        <w:t xml:space="preserve">. También se ha producido un </w:t>
      </w:r>
      <w:r w:rsidR="005A01F0">
        <w:t>descenso</w:t>
      </w:r>
      <w:r w:rsidRPr="00C6165A">
        <w:t xml:space="preserve"> generalizado en cuanto al número de animales sacrificados, con la excepción del ganado </w:t>
      </w:r>
      <w:r w:rsidR="00106678" w:rsidRPr="00C6165A">
        <w:t>equino</w:t>
      </w:r>
      <w:r w:rsidR="005A01F0">
        <w:t xml:space="preserve"> y las aves que han aumentado</w:t>
      </w:r>
      <w:r w:rsidRPr="00C6165A">
        <w:t>.</w:t>
      </w:r>
    </w:p>
    <w:p w14:paraId="367B313E" w14:textId="5BD87A09" w:rsidR="00374EA3" w:rsidRPr="00C6165A" w:rsidRDefault="00B211DB" w:rsidP="00AA49C3">
      <w:r w:rsidRPr="00C6165A">
        <w:t xml:space="preserve">Respecto a los </w:t>
      </w:r>
      <w:r w:rsidRPr="00C6165A">
        <w:rPr>
          <w:b/>
        </w:rPr>
        <w:t>precios</w:t>
      </w:r>
      <w:r w:rsidRPr="00C6165A">
        <w:t>, el</w:t>
      </w:r>
      <w:r w:rsidR="00AA49C3" w:rsidRPr="00C6165A">
        <w:t xml:space="preserve"> de la </w:t>
      </w:r>
      <w:r w:rsidR="00AA49C3" w:rsidRPr="00C6165A">
        <w:rPr>
          <w:b/>
          <w:bCs/>
        </w:rPr>
        <w:t>carne de vacuno</w:t>
      </w:r>
      <w:r w:rsidR="00AA49C3" w:rsidRPr="00C6165A">
        <w:t xml:space="preserve"> ha tenido una tendencia </w:t>
      </w:r>
      <w:r w:rsidR="00FB00E7">
        <w:t xml:space="preserve">estable </w:t>
      </w:r>
      <w:r w:rsidR="00AA49C3" w:rsidRPr="00C6165A">
        <w:t>todo el año</w:t>
      </w:r>
      <w:r w:rsidR="00525E70" w:rsidRPr="00C6165A">
        <w:t xml:space="preserve">, con </w:t>
      </w:r>
      <w:r w:rsidR="00FB00E7">
        <w:t>un</w:t>
      </w:r>
      <w:r w:rsidR="00B45214" w:rsidRPr="00C6165A">
        <w:t xml:space="preserve"> </w:t>
      </w:r>
      <w:r w:rsidR="00525E70" w:rsidRPr="00C6165A">
        <w:t xml:space="preserve">intervalo </w:t>
      </w:r>
      <w:r w:rsidR="00FB00E7">
        <w:t>en julio-agosto</w:t>
      </w:r>
      <w:r w:rsidR="00525E70" w:rsidRPr="00C6165A">
        <w:t xml:space="preserve"> en que los precios </w:t>
      </w:r>
      <w:r w:rsidR="00FB00E7">
        <w:t>bajaron rápidamente</w:t>
      </w:r>
      <w:r w:rsidR="00B45214" w:rsidRPr="00C6165A">
        <w:t>. En general los precios han superado los del año anterior desde inicio de año,</w:t>
      </w:r>
      <w:r w:rsidR="00C75EA1">
        <w:t xml:space="preserve"> siendo la mayor diferencia en enero con el 24,15% por encima, si bien la evolución fue contraria a lo largo del año en descenso hasta prácticamente igualarse a finales de año.</w:t>
      </w:r>
      <w:r w:rsidR="00B45214" w:rsidRPr="00C6165A">
        <w:t xml:space="preserve"> </w:t>
      </w:r>
      <w:r w:rsidR="004C38FE" w:rsidRPr="00C6165A">
        <w:t xml:space="preserve">El precio actual se sitúa </w:t>
      </w:r>
      <w:r w:rsidR="00C75EA1">
        <w:t xml:space="preserve">tan solo </w:t>
      </w:r>
      <w:r w:rsidR="00525E70" w:rsidRPr="00C6165A">
        <w:t xml:space="preserve">un </w:t>
      </w:r>
      <w:r w:rsidR="00FB00E7">
        <w:t>0,19</w:t>
      </w:r>
      <w:r w:rsidR="00154C4C" w:rsidRPr="00C6165A">
        <w:t>%</w:t>
      </w:r>
      <w:r w:rsidR="004C38FE" w:rsidRPr="00C6165A">
        <w:t xml:space="preserve"> por </w:t>
      </w:r>
      <w:r w:rsidR="00525E70" w:rsidRPr="00C6165A">
        <w:t>encima</w:t>
      </w:r>
      <w:r w:rsidR="004C38FE" w:rsidRPr="00C6165A">
        <w:t xml:space="preserve"> de lo que se pagó el año anterior.</w:t>
      </w:r>
    </w:p>
    <w:p w14:paraId="08F39C3C" w14:textId="7E206C45" w:rsidR="00AA49C3" w:rsidRPr="00C6165A" w:rsidRDefault="00FB00E7" w:rsidP="00AA49C3">
      <w:pPr>
        <w:jc w:val="center"/>
      </w:pPr>
      <w:r>
        <w:rPr>
          <w:noProof/>
        </w:rPr>
        <w:lastRenderedPageBreak/>
        <w:drawing>
          <wp:inline distT="0" distB="0" distL="0" distR="0" wp14:anchorId="7287DB5B" wp14:editId="5BB6EDB7">
            <wp:extent cx="3609398" cy="2409091"/>
            <wp:effectExtent l="0" t="0" r="0" b="0"/>
            <wp:docPr id="19108025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33585" cy="2425235"/>
                    </a:xfrm>
                    <a:prstGeom prst="rect">
                      <a:avLst/>
                    </a:prstGeom>
                    <a:noFill/>
                  </pic:spPr>
                </pic:pic>
              </a:graphicData>
            </a:graphic>
          </wp:inline>
        </w:drawing>
      </w:r>
    </w:p>
    <w:p w14:paraId="04BD654B" w14:textId="77777777" w:rsidR="00001831" w:rsidRPr="00703831" w:rsidRDefault="00001831" w:rsidP="00001831">
      <w:pPr>
        <w:spacing w:before="120"/>
        <w:jc w:val="center"/>
        <w:rPr>
          <w:i/>
          <w:iCs/>
          <w:sz w:val="16"/>
          <w:szCs w:val="16"/>
          <w:lang w:eastAsia="es-ES"/>
        </w:rPr>
      </w:pPr>
      <w:r w:rsidRPr="00703831">
        <w:rPr>
          <w:i/>
          <w:iCs/>
          <w:sz w:val="16"/>
          <w:szCs w:val="16"/>
          <w:lang w:eastAsia="es-ES"/>
        </w:rPr>
        <w:t>Fuente: Elaboración propia a partir de los precios medios nacionales del Ministerio de Agricultura, Pesca y Alimentación</w:t>
      </w:r>
    </w:p>
    <w:p w14:paraId="70E3AA43" w14:textId="77777777" w:rsidR="00AA49C3" w:rsidRPr="00703831" w:rsidRDefault="00AA49C3" w:rsidP="00AA49C3">
      <w:pPr>
        <w:jc w:val="center"/>
        <w:rPr>
          <w:i/>
          <w:iCs/>
        </w:rPr>
      </w:pPr>
    </w:p>
    <w:p w14:paraId="4F4E316B" w14:textId="02B97A31" w:rsidR="00751694" w:rsidRPr="00C6165A" w:rsidRDefault="00AA49C3" w:rsidP="00AA49C3">
      <w:r w:rsidRPr="00C6165A">
        <w:t xml:space="preserve">En </w:t>
      </w:r>
      <w:r w:rsidRPr="00AB6E49">
        <w:rPr>
          <w:b/>
          <w:bCs/>
        </w:rPr>
        <w:t>ovino</w:t>
      </w:r>
      <w:r w:rsidRPr="00C6165A">
        <w:t>, el precio del co</w:t>
      </w:r>
      <w:r w:rsidR="006C2B49" w:rsidRPr="00C6165A">
        <w:t>r</w:t>
      </w:r>
      <w:r w:rsidRPr="00C6165A">
        <w:t xml:space="preserve">dero comenzó el año </w:t>
      </w:r>
      <w:r w:rsidR="00525E70" w:rsidRPr="00C6165A">
        <w:t xml:space="preserve">en torno a los </w:t>
      </w:r>
      <w:r w:rsidR="00B45214" w:rsidRPr="00C6165A">
        <w:t>7,2</w:t>
      </w:r>
      <w:r w:rsidR="00F52357">
        <w:t>4</w:t>
      </w:r>
      <w:r w:rsidR="00A94F8C" w:rsidRPr="00C6165A">
        <w:t xml:space="preserve"> </w:t>
      </w:r>
      <w:r w:rsidRPr="00C6165A">
        <w:t xml:space="preserve">euros por kilo de canal, un </w:t>
      </w:r>
      <w:r w:rsidR="00F52357">
        <w:t>0,28</w:t>
      </w:r>
      <w:r w:rsidR="00B45214" w:rsidRPr="00C6165A">
        <w:t>%</w:t>
      </w:r>
      <w:r w:rsidRPr="00C6165A">
        <w:t xml:space="preserve"> por </w:t>
      </w:r>
      <w:r w:rsidR="00F52357">
        <w:t>debajo</w:t>
      </w:r>
      <w:r w:rsidRPr="00C6165A">
        <w:t xml:space="preserve"> del año anterior, </w:t>
      </w:r>
      <w:r w:rsidR="00706446" w:rsidRPr="00C6165A">
        <w:t xml:space="preserve">con una </w:t>
      </w:r>
      <w:r w:rsidR="00F52357">
        <w:t>subida</w:t>
      </w:r>
      <w:r w:rsidR="00706446" w:rsidRPr="00C6165A">
        <w:t xml:space="preserve"> </w:t>
      </w:r>
      <w:r w:rsidR="00D52EEE" w:rsidRPr="00C6165A">
        <w:t>en mayo</w:t>
      </w:r>
      <w:r w:rsidR="00706446" w:rsidRPr="00C6165A">
        <w:t xml:space="preserve"> para después tener un recorrido </w:t>
      </w:r>
      <w:r w:rsidR="00F52357">
        <w:t xml:space="preserve">a la baja hasta </w:t>
      </w:r>
      <w:r w:rsidR="00706446" w:rsidRPr="00C6165A">
        <w:t>llegar a los máximos en noviembre</w:t>
      </w:r>
      <w:r w:rsidR="00751694" w:rsidRPr="00C6165A">
        <w:t xml:space="preserve">, cuando </w:t>
      </w:r>
      <w:r w:rsidR="00511215" w:rsidRPr="00C6165A">
        <w:t>se situó en</w:t>
      </w:r>
      <w:r w:rsidR="00706446" w:rsidRPr="00C6165A">
        <w:t xml:space="preserve"> </w:t>
      </w:r>
      <w:r w:rsidR="00F52357">
        <w:t>9,43</w:t>
      </w:r>
      <w:r w:rsidR="00751694" w:rsidRPr="00C6165A">
        <w:t xml:space="preserve"> euros por kilo</w:t>
      </w:r>
      <w:r w:rsidR="00D52EEE" w:rsidRPr="00C6165A">
        <w:t xml:space="preserve">, </w:t>
      </w:r>
      <w:r w:rsidR="00706446" w:rsidRPr="00C6165A">
        <w:t xml:space="preserve">un </w:t>
      </w:r>
      <w:r w:rsidR="00F52357">
        <w:t>19,71</w:t>
      </w:r>
      <w:r w:rsidR="00154C4C" w:rsidRPr="00C6165A">
        <w:t>%</w:t>
      </w:r>
      <w:r w:rsidR="00706446" w:rsidRPr="00C6165A">
        <w:t xml:space="preserve"> </w:t>
      </w:r>
      <w:r w:rsidR="00F52357">
        <w:t>más</w:t>
      </w:r>
      <w:r w:rsidR="00D52EEE" w:rsidRPr="00C6165A">
        <w:t xml:space="preserve"> que</w:t>
      </w:r>
      <w:r w:rsidR="00706446" w:rsidRPr="00C6165A">
        <w:t xml:space="preserve"> </w:t>
      </w:r>
      <w:r w:rsidR="002631C9" w:rsidRPr="00C6165A">
        <w:t>en</w:t>
      </w:r>
      <w:r w:rsidR="00706446" w:rsidRPr="00C6165A">
        <w:t xml:space="preserve"> 202</w:t>
      </w:r>
      <w:r w:rsidR="00F52357">
        <w:t>2</w:t>
      </w:r>
      <w:r w:rsidR="00706446" w:rsidRPr="00C6165A">
        <w:t xml:space="preserve"> por las mismas fechas</w:t>
      </w:r>
      <w:r w:rsidR="00751694" w:rsidRPr="00C6165A">
        <w:t>.</w:t>
      </w:r>
    </w:p>
    <w:p w14:paraId="685643A9" w14:textId="77777777" w:rsidR="00AA49C3" w:rsidRPr="00C6165A" w:rsidRDefault="00AA49C3" w:rsidP="00AA49C3"/>
    <w:p w14:paraId="506EA354" w14:textId="39A3AAF6" w:rsidR="00AA49C3" w:rsidRPr="00C6165A" w:rsidRDefault="00F52357" w:rsidP="00AA49C3">
      <w:pPr>
        <w:jc w:val="center"/>
      </w:pPr>
      <w:r>
        <w:rPr>
          <w:noProof/>
        </w:rPr>
        <w:drawing>
          <wp:inline distT="0" distB="0" distL="0" distR="0" wp14:anchorId="436F42DB" wp14:editId="6257851F">
            <wp:extent cx="3681350" cy="2457115"/>
            <wp:effectExtent l="0" t="0" r="0" b="635"/>
            <wp:docPr id="184325710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97654" cy="2467997"/>
                    </a:xfrm>
                    <a:prstGeom prst="rect">
                      <a:avLst/>
                    </a:prstGeom>
                    <a:noFill/>
                  </pic:spPr>
                </pic:pic>
              </a:graphicData>
            </a:graphic>
          </wp:inline>
        </w:drawing>
      </w:r>
    </w:p>
    <w:p w14:paraId="3F7CADCD" w14:textId="77777777" w:rsidR="00B2757C" w:rsidRPr="00703831" w:rsidRDefault="00B2757C" w:rsidP="00B2757C">
      <w:pPr>
        <w:spacing w:before="120"/>
        <w:jc w:val="center"/>
        <w:rPr>
          <w:i/>
          <w:iCs/>
          <w:sz w:val="16"/>
          <w:szCs w:val="16"/>
          <w:lang w:eastAsia="es-ES"/>
        </w:rPr>
      </w:pPr>
      <w:r w:rsidRPr="00703831">
        <w:rPr>
          <w:i/>
          <w:iCs/>
          <w:sz w:val="16"/>
          <w:szCs w:val="16"/>
          <w:lang w:eastAsia="es-ES"/>
        </w:rPr>
        <w:t>Fuente: Elaboración propia a partir de los precios medios nacionales del Ministerio de Agricultura, Pesca y Alimentación</w:t>
      </w:r>
    </w:p>
    <w:p w14:paraId="2D24549C" w14:textId="77777777" w:rsidR="00AA49C3" w:rsidRPr="00703831" w:rsidRDefault="00AA49C3" w:rsidP="00AA49C3">
      <w:pPr>
        <w:jc w:val="center"/>
        <w:rPr>
          <w:i/>
          <w:iCs/>
        </w:rPr>
      </w:pPr>
    </w:p>
    <w:p w14:paraId="3B26771B" w14:textId="77777777" w:rsidR="00B34B3B" w:rsidRDefault="00B34B3B" w:rsidP="00D00A44"/>
    <w:p w14:paraId="29E5544A" w14:textId="68DA111C" w:rsidR="00D00A44" w:rsidRPr="00C6165A" w:rsidRDefault="00AA49C3" w:rsidP="00D00A44">
      <w:r w:rsidRPr="00B34B3B">
        <w:t xml:space="preserve">El </w:t>
      </w:r>
      <w:r w:rsidRPr="00E85CB2">
        <w:rPr>
          <w:b/>
          <w:bCs/>
        </w:rPr>
        <w:t xml:space="preserve">lechazo </w:t>
      </w:r>
      <w:r w:rsidR="00FA3327" w:rsidRPr="00E85CB2">
        <w:rPr>
          <w:b/>
          <w:bCs/>
        </w:rPr>
        <w:t>de Castilla y León</w:t>
      </w:r>
      <w:r w:rsidR="00FA3327" w:rsidRPr="00B34B3B">
        <w:t xml:space="preserve"> </w:t>
      </w:r>
      <w:r w:rsidRPr="00B34B3B">
        <w:t xml:space="preserve">ha </w:t>
      </w:r>
      <w:r w:rsidR="00B34B3B" w:rsidRPr="00B34B3B">
        <w:t>iniciado el año con una cotización un 33% superior a la del año anterior por las mismas fechas, 6,58 euros por kilo vivo, pero el comportamiento global ha sido similar al 2022. De este modo la cotización ha bajado de manera muy acusada hasta el mes de marzo, donde se ha situado en los 4,30 euros por kilo vivo</w:t>
      </w:r>
      <w:r w:rsidR="00683884">
        <w:t>. D</w:t>
      </w:r>
      <w:r w:rsidR="00B34B3B" w:rsidRPr="00B34B3B">
        <w:t>esde entonces el precio ha ido ascendiendo progresivamente hasta noviembre, cuando las cotizaciones se han situado en los 6,39 euros por kilo vivo, un 4,25% inferiores al mismo periodo del año</w:t>
      </w:r>
      <w:r w:rsidR="00D00A44" w:rsidRPr="00B34B3B">
        <w:t xml:space="preserve"> pasado.</w:t>
      </w:r>
    </w:p>
    <w:p w14:paraId="45FF89D1" w14:textId="77777777" w:rsidR="00AA49C3" w:rsidRPr="00C6165A" w:rsidRDefault="00AA49C3" w:rsidP="00AA49C3">
      <w:pPr>
        <w:rPr>
          <w:b/>
        </w:rPr>
      </w:pPr>
    </w:p>
    <w:p w14:paraId="7756E6B9" w14:textId="244F6BE5" w:rsidR="00AA49C3" w:rsidRPr="00C6165A" w:rsidRDefault="00B34B3B" w:rsidP="00AA49C3">
      <w:pPr>
        <w:spacing w:after="120"/>
        <w:jc w:val="center"/>
      </w:pPr>
      <w:r>
        <w:rPr>
          <w:noProof/>
        </w:rPr>
        <w:lastRenderedPageBreak/>
        <w:drawing>
          <wp:inline distT="0" distB="0" distL="0" distR="0" wp14:anchorId="05467104" wp14:editId="7BB2D039">
            <wp:extent cx="3871355" cy="2588025"/>
            <wp:effectExtent l="0" t="0" r="0" b="3175"/>
            <wp:docPr id="85351796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81458" cy="2594779"/>
                    </a:xfrm>
                    <a:prstGeom prst="rect">
                      <a:avLst/>
                    </a:prstGeom>
                    <a:noFill/>
                  </pic:spPr>
                </pic:pic>
              </a:graphicData>
            </a:graphic>
          </wp:inline>
        </w:drawing>
      </w:r>
    </w:p>
    <w:p w14:paraId="3B388049" w14:textId="2F222AD9" w:rsidR="00380B49" w:rsidRPr="00703831" w:rsidRDefault="00380B49" w:rsidP="00380B49">
      <w:pPr>
        <w:spacing w:after="120"/>
        <w:jc w:val="center"/>
        <w:rPr>
          <w:i/>
          <w:iCs/>
          <w:sz w:val="16"/>
          <w:szCs w:val="16"/>
          <w:lang w:eastAsia="es-ES"/>
        </w:rPr>
      </w:pPr>
      <w:r w:rsidRPr="00703831">
        <w:rPr>
          <w:i/>
          <w:iCs/>
          <w:sz w:val="16"/>
          <w:szCs w:val="16"/>
          <w:lang w:eastAsia="es-ES"/>
        </w:rPr>
        <w:t xml:space="preserve">Fuente: Elaboración propia a partir de datos del Observatorio de precios de los productos agrícolas y ganaderos </w:t>
      </w:r>
      <w:r w:rsidR="00703831" w:rsidRPr="00703831">
        <w:rPr>
          <w:i/>
          <w:iCs/>
          <w:sz w:val="16"/>
          <w:szCs w:val="16"/>
          <w:lang w:eastAsia="es-ES"/>
        </w:rPr>
        <w:t>CyL</w:t>
      </w:r>
    </w:p>
    <w:p w14:paraId="7638DD6A" w14:textId="77777777" w:rsidR="00B2757C" w:rsidRPr="00C6165A" w:rsidRDefault="00B2757C" w:rsidP="00AA49C3">
      <w:pPr>
        <w:spacing w:after="120"/>
        <w:jc w:val="center"/>
      </w:pPr>
    </w:p>
    <w:p w14:paraId="7E931441" w14:textId="376844CE" w:rsidR="0011607D" w:rsidRPr="00C6165A" w:rsidRDefault="00A94F8C" w:rsidP="00AA49C3">
      <w:r w:rsidRPr="00B34B3B">
        <w:t xml:space="preserve">El </w:t>
      </w:r>
      <w:r w:rsidRPr="00E85CB2">
        <w:rPr>
          <w:b/>
          <w:bCs/>
        </w:rPr>
        <w:t>cabrito lechal</w:t>
      </w:r>
      <w:r w:rsidRPr="00B34B3B">
        <w:t xml:space="preserve"> ha tenido</w:t>
      </w:r>
      <w:r w:rsidRPr="00C6165A">
        <w:t xml:space="preserve"> una </w:t>
      </w:r>
      <w:r w:rsidR="002631C9" w:rsidRPr="00C6165A">
        <w:t>evolución similar</w:t>
      </w:r>
      <w:r w:rsidR="000B4BB9" w:rsidRPr="00C6165A">
        <w:t xml:space="preserve"> a la del año anterior</w:t>
      </w:r>
      <w:r w:rsidR="002631C9" w:rsidRPr="00C6165A">
        <w:t xml:space="preserve">, comenzando el año a un precio </w:t>
      </w:r>
      <w:r w:rsidR="00E0325D">
        <w:t>19</w:t>
      </w:r>
      <w:r w:rsidR="002631C9" w:rsidRPr="00C6165A">
        <w:t>% superior</w:t>
      </w:r>
      <w:r w:rsidR="00511215" w:rsidRPr="00C6165A">
        <w:t>,</w:t>
      </w:r>
      <w:r w:rsidR="002631C9" w:rsidRPr="00C6165A">
        <w:t xml:space="preserve"> que descendió </w:t>
      </w:r>
      <w:r w:rsidR="00B34B3B">
        <w:t>en febrero</w:t>
      </w:r>
      <w:r w:rsidR="002631C9" w:rsidRPr="00C6165A">
        <w:t xml:space="preserve"> y se ha mantenido al alza el resto del año. </w:t>
      </w:r>
      <w:r w:rsidR="000C0A26" w:rsidRPr="00C6165A">
        <w:t xml:space="preserve">El último precio disponible, de </w:t>
      </w:r>
      <w:r w:rsidR="002631C9" w:rsidRPr="00C6165A">
        <w:t>octubre</w:t>
      </w:r>
      <w:r w:rsidR="000B4BB9" w:rsidRPr="00C6165A">
        <w:t>,</w:t>
      </w:r>
      <w:r w:rsidR="000C0A26" w:rsidRPr="00C6165A">
        <w:t xml:space="preserve"> está en </w:t>
      </w:r>
      <w:r w:rsidR="00B34B3B">
        <w:t>6,29</w:t>
      </w:r>
      <w:r w:rsidR="000C0A26" w:rsidRPr="00C6165A">
        <w:t xml:space="preserve"> euros por kilo vivo, que es</w:t>
      </w:r>
      <w:r w:rsidR="002C6A7F" w:rsidRPr="00C6165A">
        <w:t xml:space="preserve"> </w:t>
      </w:r>
      <w:r w:rsidR="000B4BB9" w:rsidRPr="00C6165A">
        <w:t xml:space="preserve">un </w:t>
      </w:r>
      <w:r w:rsidR="00E0325D">
        <w:t>8,2</w:t>
      </w:r>
      <w:r w:rsidR="00154C4C" w:rsidRPr="00C6165A">
        <w:t>%</w:t>
      </w:r>
      <w:r w:rsidR="000B4BB9" w:rsidRPr="00C6165A">
        <w:t xml:space="preserve"> </w:t>
      </w:r>
      <w:r w:rsidR="000C0A26" w:rsidRPr="00C6165A">
        <w:t>mayor</w:t>
      </w:r>
      <w:r w:rsidR="000B4BB9" w:rsidRPr="00C6165A">
        <w:t xml:space="preserve"> que en </w:t>
      </w:r>
      <w:r w:rsidR="000C0A26" w:rsidRPr="00C6165A">
        <w:t>202</w:t>
      </w:r>
      <w:r w:rsidR="00B34B3B">
        <w:t>2</w:t>
      </w:r>
      <w:r w:rsidR="002C6A7F" w:rsidRPr="00C6165A">
        <w:t xml:space="preserve"> por esas mismas fechas</w:t>
      </w:r>
      <w:r w:rsidR="000B4BB9" w:rsidRPr="00C6165A">
        <w:t>.</w:t>
      </w:r>
    </w:p>
    <w:p w14:paraId="6B7CFF6A" w14:textId="77777777" w:rsidR="000B4BB9" w:rsidRPr="00C6165A" w:rsidRDefault="000B4BB9" w:rsidP="00AA49C3"/>
    <w:p w14:paraId="355F84D0" w14:textId="2E940DF5" w:rsidR="0011607D" w:rsidRPr="00C6165A" w:rsidRDefault="00B34B3B" w:rsidP="0011607D">
      <w:pPr>
        <w:jc w:val="center"/>
      </w:pPr>
      <w:r>
        <w:rPr>
          <w:noProof/>
        </w:rPr>
        <w:drawing>
          <wp:inline distT="0" distB="0" distL="0" distR="0" wp14:anchorId="2CDE5E96" wp14:editId="3405FAC1">
            <wp:extent cx="3930732" cy="2623565"/>
            <wp:effectExtent l="0" t="0" r="0" b="5715"/>
            <wp:docPr id="47276942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38831" cy="2628971"/>
                    </a:xfrm>
                    <a:prstGeom prst="rect">
                      <a:avLst/>
                    </a:prstGeom>
                    <a:noFill/>
                  </pic:spPr>
                </pic:pic>
              </a:graphicData>
            </a:graphic>
          </wp:inline>
        </w:drawing>
      </w:r>
    </w:p>
    <w:p w14:paraId="2C76EA6B" w14:textId="612B5497" w:rsidR="009C6594" w:rsidRPr="00703831" w:rsidRDefault="009C6594" w:rsidP="009C6594">
      <w:pPr>
        <w:spacing w:before="120"/>
        <w:jc w:val="center"/>
        <w:rPr>
          <w:i/>
          <w:iCs/>
          <w:sz w:val="16"/>
          <w:szCs w:val="16"/>
          <w:lang w:eastAsia="es-ES"/>
        </w:rPr>
      </w:pPr>
      <w:r w:rsidRPr="00703831">
        <w:rPr>
          <w:i/>
          <w:iCs/>
          <w:sz w:val="16"/>
          <w:szCs w:val="16"/>
          <w:lang w:eastAsia="es-ES"/>
        </w:rPr>
        <w:t xml:space="preserve">Fuente: Elaboración propia a partir de datos del Observatorio de precios de los productos agrícolas y ganaderos </w:t>
      </w:r>
      <w:r w:rsidR="00703831" w:rsidRPr="00703831">
        <w:rPr>
          <w:i/>
          <w:iCs/>
          <w:sz w:val="16"/>
          <w:szCs w:val="16"/>
          <w:lang w:eastAsia="es-ES"/>
        </w:rPr>
        <w:t>CyL</w:t>
      </w:r>
    </w:p>
    <w:p w14:paraId="690BCFF4" w14:textId="77777777" w:rsidR="0011607D" w:rsidRPr="00703831" w:rsidRDefault="0011607D" w:rsidP="00AA49C3">
      <w:pPr>
        <w:rPr>
          <w:i/>
          <w:iCs/>
        </w:rPr>
      </w:pPr>
    </w:p>
    <w:p w14:paraId="003F8E2D" w14:textId="11CF78A8" w:rsidR="00512A2B" w:rsidRPr="00C6165A" w:rsidRDefault="00AA49C3" w:rsidP="00AA49C3">
      <w:r w:rsidRPr="00C6165A">
        <w:t xml:space="preserve">Los precios del </w:t>
      </w:r>
      <w:r w:rsidRPr="00E85CB2">
        <w:rPr>
          <w:b/>
          <w:bCs/>
        </w:rPr>
        <w:t>porcino blanco</w:t>
      </w:r>
      <w:r w:rsidRPr="00C6165A">
        <w:t xml:space="preserve"> </w:t>
      </w:r>
      <w:r w:rsidR="003E5F20" w:rsidRPr="00C6165A">
        <w:t>comenzaron</w:t>
      </w:r>
      <w:r w:rsidRPr="00C6165A">
        <w:t xml:space="preserve"> el año </w:t>
      </w:r>
      <w:r w:rsidR="00101AF0" w:rsidRPr="00C6165A">
        <w:t>en</w:t>
      </w:r>
      <w:r w:rsidR="000A0A9A" w:rsidRPr="00C6165A">
        <w:t xml:space="preserve"> </w:t>
      </w:r>
      <w:r w:rsidR="00F52357">
        <w:t>2</w:t>
      </w:r>
      <w:r w:rsidR="000A0A9A" w:rsidRPr="00C6165A">
        <w:t xml:space="preserve"> euros por kilo de canal, </w:t>
      </w:r>
      <w:r w:rsidR="00F52357">
        <w:t>bastante superiores</w:t>
      </w:r>
      <w:r w:rsidR="00512A2B" w:rsidRPr="00C6165A">
        <w:t xml:space="preserve"> a los de 202</w:t>
      </w:r>
      <w:r w:rsidR="00F52357">
        <w:t>2</w:t>
      </w:r>
      <w:r w:rsidR="00D9333F" w:rsidRPr="00C6165A">
        <w:t>. Este valor se ha ido incrementando hasta el mes de abril, donde se ha mantenido con pequeñas variaciones rondando los 2,</w:t>
      </w:r>
      <w:r w:rsidR="00F52357">
        <w:t>43</w:t>
      </w:r>
      <w:r w:rsidR="00D9333F" w:rsidRPr="00C6165A">
        <w:t xml:space="preserve"> euros por kilo. El máximo del año se ha alcanzado en </w:t>
      </w:r>
      <w:r w:rsidR="00F52357">
        <w:t>abril</w:t>
      </w:r>
      <w:r w:rsidR="00D9333F" w:rsidRPr="00C6165A">
        <w:t>, llegando a precios de casi 2,</w:t>
      </w:r>
      <w:r w:rsidR="00F52357">
        <w:t>50</w:t>
      </w:r>
      <w:r w:rsidR="00D9333F" w:rsidRPr="00C6165A">
        <w:t xml:space="preserve"> euros por kilo. </w:t>
      </w:r>
      <w:r w:rsidR="00101AF0" w:rsidRPr="00C6165A">
        <w:t xml:space="preserve">Desde </w:t>
      </w:r>
      <w:r w:rsidR="00F52357">
        <w:t xml:space="preserve">finales de julio </w:t>
      </w:r>
      <w:r w:rsidR="00101AF0" w:rsidRPr="00C6165A">
        <w:t xml:space="preserve">la tendencia ha sido a la baja, </w:t>
      </w:r>
      <w:r w:rsidR="00F52357">
        <w:t>y más</w:t>
      </w:r>
      <w:r w:rsidR="00101AF0" w:rsidRPr="00C6165A">
        <w:t xml:space="preserve"> acusada </w:t>
      </w:r>
      <w:r w:rsidR="00F52357">
        <w:t>que</w:t>
      </w:r>
      <w:r w:rsidR="00101AF0" w:rsidRPr="00C6165A">
        <w:t xml:space="preserve"> en el periodo anterior, registrándose en noviembre precios de </w:t>
      </w:r>
      <w:r w:rsidR="00F52357">
        <w:t>1,98</w:t>
      </w:r>
      <w:r w:rsidR="00101AF0" w:rsidRPr="00C6165A">
        <w:t xml:space="preserve"> euros por kilo, un </w:t>
      </w:r>
      <w:r w:rsidR="00F52357">
        <w:t>1,59</w:t>
      </w:r>
      <w:r w:rsidR="00101AF0" w:rsidRPr="00C6165A">
        <w:t xml:space="preserve">% </w:t>
      </w:r>
      <w:r w:rsidR="00F52357">
        <w:t xml:space="preserve">por debajo de los percibidos </w:t>
      </w:r>
      <w:r w:rsidR="00101AF0" w:rsidRPr="00C6165A">
        <w:t>en las mismas fechas de 202</w:t>
      </w:r>
      <w:r w:rsidR="00F52357">
        <w:t>2</w:t>
      </w:r>
      <w:r w:rsidR="00101AF0" w:rsidRPr="00C6165A">
        <w:t xml:space="preserve">. </w:t>
      </w:r>
    </w:p>
    <w:p w14:paraId="3F2F1B66" w14:textId="77777777" w:rsidR="00DC4F14" w:rsidRDefault="00DC4F14" w:rsidP="00AA49C3">
      <w:pPr>
        <w:jc w:val="center"/>
      </w:pPr>
    </w:p>
    <w:p w14:paraId="26861AFE" w14:textId="1E63A4B4" w:rsidR="00AA49C3" w:rsidRPr="00C6165A" w:rsidRDefault="00F52357" w:rsidP="00AA49C3">
      <w:pPr>
        <w:jc w:val="center"/>
      </w:pPr>
      <w:r>
        <w:rPr>
          <w:noProof/>
        </w:rPr>
        <w:drawing>
          <wp:inline distT="0" distB="0" distL="0" distR="0" wp14:anchorId="4B4138FE" wp14:editId="0AF4BD7E">
            <wp:extent cx="3635528" cy="2427523"/>
            <wp:effectExtent l="0" t="0" r="3175" b="0"/>
            <wp:docPr id="65805713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53763" cy="2439699"/>
                    </a:xfrm>
                    <a:prstGeom prst="rect">
                      <a:avLst/>
                    </a:prstGeom>
                    <a:noFill/>
                  </pic:spPr>
                </pic:pic>
              </a:graphicData>
            </a:graphic>
          </wp:inline>
        </w:drawing>
      </w:r>
    </w:p>
    <w:p w14:paraId="01C63827" w14:textId="77777777" w:rsidR="0011607D" w:rsidRPr="00703831" w:rsidRDefault="0011607D" w:rsidP="0011607D">
      <w:pPr>
        <w:spacing w:before="120"/>
        <w:jc w:val="center"/>
        <w:rPr>
          <w:i/>
          <w:iCs/>
          <w:sz w:val="16"/>
          <w:szCs w:val="16"/>
          <w:lang w:eastAsia="es-ES"/>
        </w:rPr>
      </w:pPr>
      <w:r w:rsidRPr="00703831">
        <w:rPr>
          <w:i/>
          <w:iCs/>
          <w:sz w:val="16"/>
          <w:szCs w:val="16"/>
          <w:lang w:eastAsia="es-ES"/>
        </w:rPr>
        <w:t>Fuente: Elaboración propia a partir de los precios medios nacionales del Ministerio de Agricultura, Pesca y Alimentación</w:t>
      </w:r>
    </w:p>
    <w:p w14:paraId="2C64D449" w14:textId="77777777" w:rsidR="00AA49C3" w:rsidRPr="00703831" w:rsidRDefault="00AA49C3" w:rsidP="00AA49C3">
      <w:pPr>
        <w:jc w:val="center"/>
        <w:rPr>
          <w:i/>
          <w:iCs/>
        </w:rPr>
      </w:pPr>
    </w:p>
    <w:p w14:paraId="34574347" w14:textId="77777777" w:rsidR="00E85CB2" w:rsidRPr="00703831" w:rsidRDefault="00E85CB2" w:rsidP="005D2B57">
      <w:pPr>
        <w:rPr>
          <w:i/>
          <w:iCs/>
        </w:rPr>
      </w:pPr>
    </w:p>
    <w:p w14:paraId="187425C8" w14:textId="1DC1F16A" w:rsidR="00A05D17" w:rsidRPr="00C6165A" w:rsidRDefault="002A1B72" w:rsidP="005D2B57">
      <w:r w:rsidRPr="00E20D7B">
        <w:t>El</w:t>
      </w:r>
      <w:r w:rsidR="005D2B57" w:rsidRPr="00E20D7B">
        <w:t xml:space="preserve"> </w:t>
      </w:r>
      <w:r w:rsidR="005D2B57" w:rsidRPr="00E85CB2">
        <w:rPr>
          <w:b/>
          <w:bCs/>
        </w:rPr>
        <w:t>cerdo ibérico en Castilla y León</w:t>
      </w:r>
      <w:r w:rsidR="005D2B57" w:rsidRPr="00E20D7B">
        <w:t xml:space="preserve"> </w:t>
      </w:r>
      <w:r w:rsidR="00A05D17" w:rsidRPr="00E20D7B">
        <w:t xml:space="preserve">empezó el año en torno a </w:t>
      </w:r>
      <w:r w:rsidR="00E0325D" w:rsidRPr="00E20D7B">
        <w:t>2,30</w:t>
      </w:r>
      <w:r w:rsidR="00A05D17" w:rsidRPr="00E20D7B">
        <w:t xml:space="preserve"> euros por kilo vivo, que era un </w:t>
      </w:r>
      <w:r w:rsidR="00E0325D" w:rsidRPr="00E20D7B">
        <w:t>3,17</w:t>
      </w:r>
      <w:r w:rsidR="00154C4C" w:rsidRPr="00E20D7B">
        <w:t>%</w:t>
      </w:r>
      <w:r w:rsidR="00A05D17" w:rsidRPr="00E20D7B">
        <w:t xml:space="preserve"> </w:t>
      </w:r>
      <w:r w:rsidR="00101AF0" w:rsidRPr="00E20D7B">
        <w:t>superi</w:t>
      </w:r>
      <w:r w:rsidR="00A05D17" w:rsidRPr="00E20D7B">
        <w:t>or al del año pasado</w:t>
      </w:r>
      <w:r w:rsidR="00101AF0" w:rsidRPr="00E20D7B">
        <w:t>. Los precios disminuyeron hasta marzo, alcanzando los 2,2</w:t>
      </w:r>
      <w:r w:rsidR="00E0325D" w:rsidRPr="00E20D7B">
        <w:t>4</w:t>
      </w:r>
      <w:r w:rsidR="00101AF0" w:rsidRPr="00C6165A">
        <w:t xml:space="preserve"> euros por kilo vivo</w:t>
      </w:r>
      <w:r w:rsidR="00E0325D">
        <w:t>, pero al contrario que en el periodo anterior, subieron durante los meses de abril-junio</w:t>
      </w:r>
      <w:r w:rsidR="00E20D7B">
        <w:t>, alcanzando el pico máximo en junio con 2,39 euros, un 4,40% más que en 2022</w:t>
      </w:r>
      <w:r w:rsidR="00E0325D">
        <w:t xml:space="preserve"> y bajaron acusadamente durante julio-agosto</w:t>
      </w:r>
      <w:r w:rsidR="00E20D7B">
        <w:t xml:space="preserve"> hasta alcanzar los 2,24 euros. Desde entonces se han mantenido estables</w:t>
      </w:r>
      <w:r w:rsidR="00101AF0" w:rsidRPr="00C6165A">
        <w:t xml:space="preserve">, en </w:t>
      </w:r>
      <w:r w:rsidR="00E20D7B">
        <w:t>noviembre el cerdo ibérico se cotiza a 2,16 euros por kilo vivo</w:t>
      </w:r>
      <w:r w:rsidR="00101AF0" w:rsidRPr="00C6165A">
        <w:t xml:space="preserve">, una cifra </w:t>
      </w:r>
      <w:r w:rsidR="00E20D7B">
        <w:t xml:space="preserve">baja </w:t>
      </w:r>
      <w:r w:rsidR="00101AF0" w:rsidRPr="00C6165A">
        <w:t>si se compara con los 2,</w:t>
      </w:r>
      <w:r w:rsidR="00E20D7B">
        <w:t>41</w:t>
      </w:r>
      <w:r w:rsidR="00101AF0" w:rsidRPr="00C6165A">
        <w:t xml:space="preserve"> euros que se pagaban en el mismo mes del año anterior.</w:t>
      </w:r>
    </w:p>
    <w:p w14:paraId="6FD465D7" w14:textId="77777777" w:rsidR="002A1B72" w:rsidRPr="00C6165A" w:rsidRDefault="002A1B72" w:rsidP="005D2B57"/>
    <w:p w14:paraId="4253D48E" w14:textId="3D1344CA" w:rsidR="00E468A6" w:rsidRPr="00C6165A" w:rsidRDefault="00E20D7B" w:rsidP="00AA49C3">
      <w:pPr>
        <w:jc w:val="center"/>
      </w:pPr>
      <w:r>
        <w:rPr>
          <w:noProof/>
        </w:rPr>
        <w:drawing>
          <wp:inline distT="0" distB="0" distL="0" distR="0" wp14:anchorId="3A292313" wp14:editId="7BC6237A">
            <wp:extent cx="3686150" cy="2457433"/>
            <wp:effectExtent l="0" t="0" r="0" b="635"/>
            <wp:docPr id="207636147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97133" cy="2464755"/>
                    </a:xfrm>
                    <a:prstGeom prst="rect">
                      <a:avLst/>
                    </a:prstGeom>
                    <a:noFill/>
                  </pic:spPr>
                </pic:pic>
              </a:graphicData>
            </a:graphic>
          </wp:inline>
        </w:drawing>
      </w:r>
    </w:p>
    <w:p w14:paraId="250E1159" w14:textId="045467F0" w:rsidR="00C94FCA" w:rsidRPr="00703831" w:rsidRDefault="00C94FCA" w:rsidP="00C94FCA">
      <w:pPr>
        <w:spacing w:before="120"/>
        <w:jc w:val="center"/>
        <w:rPr>
          <w:i/>
          <w:iCs/>
          <w:sz w:val="16"/>
          <w:szCs w:val="16"/>
          <w:lang w:eastAsia="es-ES"/>
        </w:rPr>
      </w:pPr>
      <w:r w:rsidRPr="00703831">
        <w:rPr>
          <w:i/>
          <w:iCs/>
          <w:sz w:val="16"/>
          <w:szCs w:val="16"/>
          <w:lang w:eastAsia="es-ES"/>
        </w:rPr>
        <w:t xml:space="preserve">Fuente: Elaboración propia a partir de datos del Observatorio de precios de los productos agrícolas y ganaderos </w:t>
      </w:r>
      <w:r w:rsidR="00703831" w:rsidRPr="00703831">
        <w:rPr>
          <w:i/>
          <w:iCs/>
          <w:sz w:val="16"/>
          <w:szCs w:val="16"/>
          <w:lang w:eastAsia="es-ES"/>
        </w:rPr>
        <w:t>CyL</w:t>
      </w:r>
    </w:p>
    <w:p w14:paraId="27BC3AEE" w14:textId="77777777" w:rsidR="0011607D" w:rsidRPr="00C6165A" w:rsidRDefault="0011607D" w:rsidP="00AA49C3">
      <w:pPr>
        <w:jc w:val="center"/>
      </w:pPr>
    </w:p>
    <w:p w14:paraId="31C903DE" w14:textId="61487217" w:rsidR="00654595" w:rsidRPr="00C6165A" w:rsidRDefault="00AA49C3" w:rsidP="00AA49C3">
      <w:r w:rsidRPr="00C6165A">
        <w:t xml:space="preserve">El precio de la carne de </w:t>
      </w:r>
      <w:r w:rsidRPr="00E85CB2">
        <w:rPr>
          <w:b/>
          <w:bCs/>
        </w:rPr>
        <w:t xml:space="preserve">pollo </w:t>
      </w:r>
      <w:r w:rsidR="00654595" w:rsidRPr="00C6165A">
        <w:t xml:space="preserve">comenzó el año con precios </w:t>
      </w:r>
      <w:r w:rsidR="005A047A" w:rsidRPr="00C6165A">
        <w:t xml:space="preserve">un </w:t>
      </w:r>
      <w:r w:rsidR="00F16558">
        <w:t>21,86</w:t>
      </w:r>
      <w:r w:rsidR="00154C4C" w:rsidRPr="00C6165A">
        <w:t>%</w:t>
      </w:r>
      <w:r w:rsidR="005A047A" w:rsidRPr="00C6165A">
        <w:t xml:space="preserve"> por </w:t>
      </w:r>
      <w:r w:rsidR="00411277" w:rsidRPr="00C6165A">
        <w:t>encima</w:t>
      </w:r>
      <w:r w:rsidR="005A047A" w:rsidRPr="00C6165A">
        <w:t xml:space="preserve"> de los del año anterior</w:t>
      </w:r>
      <w:r w:rsidR="00411277" w:rsidRPr="00C6165A">
        <w:t>, manteniéndose hasta febrero y</w:t>
      </w:r>
      <w:r w:rsidR="00654595" w:rsidRPr="00C6165A">
        <w:t xml:space="preserve"> subiendo hasta </w:t>
      </w:r>
      <w:r w:rsidR="00F16558">
        <w:t>junio</w:t>
      </w:r>
      <w:r w:rsidR="00411277" w:rsidRPr="00C6165A">
        <w:t xml:space="preserve"> alcanzando casi 2,</w:t>
      </w:r>
      <w:r w:rsidR="00F16558">
        <w:t>60</w:t>
      </w:r>
      <w:r w:rsidR="00411277" w:rsidRPr="00C6165A">
        <w:t xml:space="preserve"> euros por kilo. A</w:t>
      </w:r>
      <w:r w:rsidR="00F16558">
        <w:t xml:space="preserve"> partir de julio</w:t>
      </w:r>
      <w:r w:rsidR="00411277" w:rsidRPr="00C6165A">
        <w:t xml:space="preserve"> se ha producido un </w:t>
      </w:r>
      <w:r w:rsidR="00F16558" w:rsidRPr="00C6165A">
        <w:t>descenso seguido</w:t>
      </w:r>
      <w:r w:rsidR="00411277" w:rsidRPr="00C6165A">
        <w:t xml:space="preserve"> </w:t>
      </w:r>
      <w:r w:rsidR="00F16558">
        <w:t xml:space="preserve">de una leve subida y un mantenimiento de precios hasta final de año. </w:t>
      </w:r>
      <w:r w:rsidR="00F16558">
        <w:lastRenderedPageBreak/>
        <w:t>Las cotizaciones alcanzaron</w:t>
      </w:r>
      <w:r w:rsidR="00411277" w:rsidRPr="00C6165A">
        <w:t xml:space="preserve"> el máximo </w:t>
      </w:r>
      <w:r w:rsidR="00F16558">
        <w:t>en junio</w:t>
      </w:r>
      <w:r w:rsidR="00411277" w:rsidRPr="00C6165A">
        <w:t xml:space="preserve"> a razón de 2,</w:t>
      </w:r>
      <w:r w:rsidR="00F16558">
        <w:t>59</w:t>
      </w:r>
      <w:r w:rsidR="00411277" w:rsidRPr="00C6165A">
        <w:t xml:space="preserve"> euros por kilo, un </w:t>
      </w:r>
      <w:r w:rsidR="00F16558">
        <w:t>24,78</w:t>
      </w:r>
      <w:r w:rsidR="00411277" w:rsidRPr="00C6165A">
        <w:t>% más que en el mismo periodo de 202</w:t>
      </w:r>
      <w:r w:rsidR="00F16558">
        <w:t>2</w:t>
      </w:r>
      <w:r w:rsidR="00411277" w:rsidRPr="00C6165A">
        <w:t xml:space="preserve">. </w:t>
      </w:r>
    </w:p>
    <w:p w14:paraId="1DA42864" w14:textId="77777777" w:rsidR="00AA49C3" w:rsidRPr="00C6165A" w:rsidRDefault="00AA49C3" w:rsidP="00AA49C3"/>
    <w:p w14:paraId="3DAE40CC" w14:textId="61F853C1" w:rsidR="00AA49C3" w:rsidRPr="00C6165A" w:rsidRDefault="001D22F8" w:rsidP="00AA49C3">
      <w:pPr>
        <w:jc w:val="center"/>
      </w:pPr>
      <w:r>
        <w:rPr>
          <w:noProof/>
        </w:rPr>
        <w:drawing>
          <wp:inline distT="0" distB="0" distL="0" distR="0" wp14:anchorId="26DFD69E" wp14:editId="76B47126">
            <wp:extent cx="3610098" cy="2410543"/>
            <wp:effectExtent l="0" t="0" r="0" b="8890"/>
            <wp:docPr id="28277592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22541" cy="2418851"/>
                    </a:xfrm>
                    <a:prstGeom prst="rect">
                      <a:avLst/>
                    </a:prstGeom>
                    <a:noFill/>
                  </pic:spPr>
                </pic:pic>
              </a:graphicData>
            </a:graphic>
          </wp:inline>
        </w:drawing>
      </w:r>
    </w:p>
    <w:p w14:paraId="60F89BFD" w14:textId="77777777" w:rsidR="00E468A6" w:rsidRPr="00703831" w:rsidRDefault="00E468A6" w:rsidP="00E468A6">
      <w:pPr>
        <w:spacing w:before="120"/>
        <w:jc w:val="center"/>
        <w:rPr>
          <w:i/>
          <w:iCs/>
          <w:sz w:val="16"/>
          <w:szCs w:val="16"/>
          <w:lang w:eastAsia="es-ES"/>
        </w:rPr>
      </w:pPr>
      <w:r w:rsidRPr="00703831">
        <w:rPr>
          <w:i/>
          <w:iCs/>
          <w:sz w:val="16"/>
          <w:szCs w:val="16"/>
          <w:lang w:eastAsia="es-ES"/>
        </w:rPr>
        <w:t>Fuente: Elaboración propia a partir de los precios medios nacionales del Ministerio de Agricultura, Pesca y Alimentación</w:t>
      </w:r>
    </w:p>
    <w:p w14:paraId="3C85167F" w14:textId="77777777" w:rsidR="00AA49C3" w:rsidRPr="00703831" w:rsidRDefault="00AA49C3" w:rsidP="00AA49C3">
      <w:pPr>
        <w:jc w:val="center"/>
        <w:rPr>
          <w:i/>
          <w:iCs/>
          <w:noProof/>
          <w:lang w:eastAsia="es-ES"/>
        </w:rPr>
      </w:pPr>
    </w:p>
    <w:p w14:paraId="58BCDAF4" w14:textId="124421EC" w:rsidR="00AA49C3" w:rsidRPr="00C6165A" w:rsidRDefault="00AA49C3" w:rsidP="00AA49C3">
      <w:pPr>
        <w:rPr>
          <w:noProof/>
          <w:lang w:eastAsia="es-ES"/>
        </w:rPr>
      </w:pPr>
      <w:r w:rsidRPr="00C6165A">
        <w:rPr>
          <w:noProof/>
          <w:lang w:eastAsia="es-ES"/>
        </w:rPr>
        <w:t xml:space="preserve">El precio de la carne de </w:t>
      </w:r>
      <w:r w:rsidRPr="00E85CB2">
        <w:rPr>
          <w:b/>
          <w:bCs/>
          <w:noProof/>
          <w:lang w:eastAsia="es-ES"/>
        </w:rPr>
        <w:t>conejo</w:t>
      </w:r>
      <w:r w:rsidRPr="00C6165A">
        <w:rPr>
          <w:noProof/>
          <w:lang w:eastAsia="es-ES"/>
        </w:rPr>
        <w:t xml:space="preserve"> ha tenido un comportamiento </w:t>
      </w:r>
      <w:r w:rsidR="001D22F8">
        <w:rPr>
          <w:noProof/>
          <w:lang w:eastAsia="es-ES"/>
        </w:rPr>
        <w:t>estable</w:t>
      </w:r>
      <w:r w:rsidR="00E82B4C" w:rsidRPr="00C6165A">
        <w:rPr>
          <w:noProof/>
          <w:lang w:eastAsia="es-ES"/>
        </w:rPr>
        <w:t xml:space="preserve"> durante todo el año, </w:t>
      </w:r>
      <w:r w:rsidR="001D22F8">
        <w:rPr>
          <w:noProof/>
          <w:lang w:eastAsia="es-ES"/>
        </w:rPr>
        <w:t>aunque</w:t>
      </w:r>
      <w:r w:rsidR="00E82B4C" w:rsidRPr="00C6165A">
        <w:rPr>
          <w:noProof/>
          <w:lang w:eastAsia="es-ES"/>
        </w:rPr>
        <w:t xml:space="preserve"> en enero </w:t>
      </w:r>
      <w:r w:rsidR="001D22F8">
        <w:rPr>
          <w:noProof/>
          <w:lang w:eastAsia="es-ES"/>
        </w:rPr>
        <w:t xml:space="preserve">comenzó a cotizarse </w:t>
      </w:r>
      <w:r w:rsidR="00E82B4C" w:rsidRPr="00C6165A">
        <w:rPr>
          <w:noProof/>
          <w:lang w:eastAsia="es-ES"/>
        </w:rPr>
        <w:t xml:space="preserve">a un precio </w:t>
      </w:r>
      <w:r w:rsidR="001D22F8">
        <w:rPr>
          <w:noProof/>
          <w:lang w:eastAsia="es-ES"/>
        </w:rPr>
        <w:t>muy superior</w:t>
      </w:r>
      <w:r w:rsidR="00E82B4C" w:rsidRPr="00C6165A">
        <w:rPr>
          <w:noProof/>
          <w:lang w:eastAsia="es-ES"/>
        </w:rPr>
        <w:t xml:space="preserve"> al del año anterior </w:t>
      </w:r>
      <w:r w:rsidR="001D22F8">
        <w:rPr>
          <w:noProof/>
          <w:lang w:eastAsia="es-ES"/>
        </w:rPr>
        <w:t>2,76</w:t>
      </w:r>
      <w:r w:rsidR="00E82B4C" w:rsidRPr="00C6165A">
        <w:rPr>
          <w:noProof/>
          <w:lang w:eastAsia="es-ES"/>
        </w:rPr>
        <w:t xml:space="preserve"> euros por kilo vivo</w:t>
      </w:r>
      <w:r w:rsidR="001D22F8">
        <w:rPr>
          <w:noProof/>
          <w:lang w:eastAsia="es-ES"/>
        </w:rPr>
        <w:t>, un 43% más</w:t>
      </w:r>
      <w:r w:rsidR="007B3440">
        <w:rPr>
          <w:noProof/>
          <w:lang w:eastAsia="es-ES"/>
        </w:rPr>
        <w:t xml:space="preserve">. </w:t>
      </w:r>
      <w:r w:rsidR="001D22F8">
        <w:rPr>
          <w:noProof/>
          <w:lang w:eastAsia="es-ES"/>
        </w:rPr>
        <w:t xml:space="preserve">Los precios bajaron durante ese mes para mantenerse después estables con ligeras fluctuaciones todo el año hasta septiembre, cuando los precios han comenzado a subir. El precio más bajo se ha percibido en marzo con </w:t>
      </w:r>
      <w:r w:rsidR="001D22F8" w:rsidRPr="001D22F8">
        <w:rPr>
          <w:noProof/>
          <w:lang w:eastAsia="es-ES"/>
        </w:rPr>
        <w:t>2</w:t>
      </w:r>
      <w:r w:rsidR="001D22F8">
        <w:rPr>
          <w:noProof/>
          <w:lang w:eastAsia="es-ES"/>
        </w:rPr>
        <w:t>,</w:t>
      </w:r>
      <w:r w:rsidR="001D22F8" w:rsidRPr="001D22F8">
        <w:rPr>
          <w:noProof/>
          <w:lang w:eastAsia="es-ES"/>
        </w:rPr>
        <w:t>43</w:t>
      </w:r>
      <w:r w:rsidR="001D22F8">
        <w:rPr>
          <w:noProof/>
          <w:lang w:eastAsia="es-ES"/>
        </w:rPr>
        <w:t xml:space="preserve"> euros por kilo vivo y actualmente el precio se sitúa en casi 2,</w:t>
      </w:r>
      <w:r w:rsidR="00AB244F">
        <w:rPr>
          <w:noProof/>
          <w:lang w:eastAsia="es-ES"/>
        </w:rPr>
        <w:t>70</w:t>
      </w:r>
      <w:r w:rsidR="001D22F8">
        <w:rPr>
          <w:noProof/>
          <w:lang w:eastAsia="es-ES"/>
        </w:rPr>
        <w:t xml:space="preserve"> euros por kilo vivo</w:t>
      </w:r>
      <w:r w:rsidR="00AB244F">
        <w:rPr>
          <w:noProof/>
          <w:lang w:eastAsia="es-ES"/>
        </w:rPr>
        <w:t>, un precio 1,70% inferior al de la misma semana del año anterior.</w:t>
      </w:r>
    </w:p>
    <w:p w14:paraId="6028B428" w14:textId="77777777" w:rsidR="00AA49C3" w:rsidRPr="00C6165A" w:rsidRDefault="00AA49C3" w:rsidP="00AA49C3">
      <w:pPr>
        <w:rPr>
          <w:noProof/>
          <w:lang w:eastAsia="es-ES"/>
        </w:rPr>
      </w:pPr>
    </w:p>
    <w:p w14:paraId="1494437E" w14:textId="43FFB8E2" w:rsidR="00AA49C3" w:rsidRPr="00C6165A" w:rsidRDefault="00AB244F" w:rsidP="00AA49C3">
      <w:pPr>
        <w:jc w:val="center"/>
      </w:pPr>
      <w:r>
        <w:rPr>
          <w:noProof/>
        </w:rPr>
        <w:drawing>
          <wp:inline distT="0" distB="0" distL="0" distR="0" wp14:anchorId="646E01DD" wp14:editId="34BA5002">
            <wp:extent cx="3598223" cy="2405435"/>
            <wp:effectExtent l="0" t="0" r="2540" b="0"/>
            <wp:docPr id="26518068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17217" cy="2418132"/>
                    </a:xfrm>
                    <a:prstGeom prst="rect">
                      <a:avLst/>
                    </a:prstGeom>
                    <a:noFill/>
                  </pic:spPr>
                </pic:pic>
              </a:graphicData>
            </a:graphic>
          </wp:inline>
        </w:drawing>
      </w:r>
    </w:p>
    <w:p w14:paraId="16EDEDE7" w14:textId="77777777" w:rsidR="00E468A6" w:rsidRPr="00703831" w:rsidRDefault="00E468A6" w:rsidP="00E468A6">
      <w:pPr>
        <w:spacing w:before="120"/>
        <w:jc w:val="center"/>
        <w:rPr>
          <w:i/>
          <w:iCs/>
          <w:sz w:val="16"/>
          <w:szCs w:val="16"/>
          <w:lang w:eastAsia="es-ES"/>
        </w:rPr>
      </w:pPr>
      <w:r w:rsidRPr="00703831">
        <w:rPr>
          <w:i/>
          <w:iCs/>
          <w:sz w:val="16"/>
          <w:szCs w:val="16"/>
          <w:lang w:eastAsia="es-ES"/>
        </w:rPr>
        <w:t>Fuente: Elaboración propia a partir de los precios medios nacionales del Ministerio de Agricultura, Pesca y Alimentación</w:t>
      </w:r>
    </w:p>
    <w:p w14:paraId="02AF2044" w14:textId="77777777" w:rsidR="00F23B5C" w:rsidRDefault="00F23B5C" w:rsidP="00AA49C3">
      <w:pPr>
        <w:suppressAutoHyphens/>
        <w:rPr>
          <w:b/>
          <w:bCs/>
          <w:iCs/>
          <w:kern w:val="1"/>
          <w:lang w:eastAsia="ar-SA"/>
        </w:rPr>
      </w:pPr>
      <w:bookmarkStart w:id="5" w:name="lacteo"/>
      <w:bookmarkEnd w:id="5"/>
    </w:p>
    <w:p w14:paraId="54D5986A" w14:textId="137594AB" w:rsidR="007430E1" w:rsidRDefault="00AA49C3" w:rsidP="00AA49C3">
      <w:pPr>
        <w:suppressAutoHyphens/>
        <w:rPr>
          <w:b/>
          <w:bCs/>
          <w:iCs/>
          <w:kern w:val="1"/>
          <w:lang w:eastAsia="ar-SA"/>
        </w:rPr>
      </w:pPr>
      <w:r w:rsidRPr="00C6165A">
        <w:rPr>
          <w:b/>
          <w:bCs/>
          <w:iCs/>
          <w:kern w:val="1"/>
          <w:lang w:eastAsia="ar-SA"/>
        </w:rPr>
        <w:t>El mercado en la producción de leche</w:t>
      </w:r>
    </w:p>
    <w:p w14:paraId="288461F1" w14:textId="77777777" w:rsidR="00F23B5C" w:rsidRPr="00F23B5C" w:rsidRDefault="00F23B5C" w:rsidP="00AA49C3">
      <w:pPr>
        <w:suppressAutoHyphens/>
        <w:rPr>
          <w:b/>
          <w:bCs/>
          <w:iCs/>
          <w:kern w:val="1"/>
          <w:lang w:eastAsia="ar-SA"/>
        </w:rPr>
      </w:pPr>
    </w:p>
    <w:p w14:paraId="5D6E2BF0" w14:textId="58883CC4" w:rsidR="00AA49C3" w:rsidRPr="00C6165A" w:rsidRDefault="00EF082D" w:rsidP="00AA49C3">
      <w:pPr>
        <w:suppressAutoHyphens/>
        <w:rPr>
          <w:bCs/>
          <w:iCs/>
          <w:kern w:val="1"/>
          <w:lang w:eastAsia="ar-SA"/>
        </w:rPr>
      </w:pPr>
      <w:r w:rsidRPr="00C6165A">
        <w:rPr>
          <w:bCs/>
          <w:iCs/>
          <w:kern w:val="1"/>
          <w:lang w:eastAsia="ar-SA"/>
        </w:rPr>
        <w:t>Hablando de producciones, e</w:t>
      </w:r>
      <w:r w:rsidR="00AA49C3" w:rsidRPr="00C6165A">
        <w:rPr>
          <w:bCs/>
          <w:iCs/>
          <w:kern w:val="1"/>
          <w:lang w:eastAsia="ar-SA"/>
        </w:rPr>
        <w:t xml:space="preserve">n </w:t>
      </w:r>
      <w:r w:rsidR="00536649" w:rsidRPr="00C6165A">
        <w:rPr>
          <w:bCs/>
          <w:iCs/>
          <w:kern w:val="1"/>
          <w:lang w:eastAsia="ar-SA"/>
        </w:rPr>
        <w:t>el último</w:t>
      </w:r>
      <w:r w:rsidR="00AA49C3" w:rsidRPr="00C6165A">
        <w:rPr>
          <w:bCs/>
          <w:iCs/>
          <w:kern w:val="1"/>
          <w:lang w:eastAsia="ar-SA"/>
        </w:rPr>
        <w:t xml:space="preserve"> año en Castilla y León se han producido</w:t>
      </w:r>
      <w:r w:rsidR="00817EBE" w:rsidRPr="00C6165A">
        <w:rPr>
          <w:bCs/>
          <w:iCs/>
          <w:kern w:val="1"/>
          <w:lang w:eastAsia="ar-SA"/>
        </w:rPr>
        <w:t>, hasta octubre,</w:t>
      </w:r>
      <w:r w:rsidR="00AA49C3" w:rsidRPr="00C6165A">
        <w:rPr>
          <w:bCs/>
          <w:iCs/>
          <w:kern w:val="1"/>
          <w:lang w:eastAsia="ar-SA"/>
        </w:rPr>
        <w:t xml:space="preserve"> </w:t>
      </w:r>
      <w:r w:rsidR="00C67645">
        <w:rPr>
          <w:bCs/>
          <w:iCs/>
          <w:kern w:val="1"/>
          <w:lang w:eastAsia="ar-SA"/>
        </w:rPr>
        <w:t xml:space="preserve">769.257 </w:t>
      </w:r>
      <w:r w:rsidR="00AA49C3" w:rsidRPr="00C6165A">
        <w:rPr>
          <w:bCs/>
          <w:iCs/>
          <w:kern w:val="1"/>
          <w:lang w:eastAsia="ar-SA"/>
        </w:rPr>
        <w:t xml:space="preserve">toneladas de </w:t>
      </w:r>
      <w:r w:rsidR="00AA49C3" w:rsidRPr="00C6165A">
        <w:rPr>
          <w:b/>
          <w:iCs/>
          <w:kern w:val="1"/>
          <w:lang w:eastAsia="ar-SA"/>
        </w:rPr>
        <w:t>leche de vaca</w:t>
      </w:r>
      <w:r w:rsidR="00AA49C3" w:rsidRPr="00C6165A">
        <w:rPr>
          <w:bCs/>
          <w:iCs/>
          <w:kern w:val="1"/>
          <w:lang w:eastAsia="ar-SA"/>
        </w:rPr>
        <w:t xml:space="preserve">, </w:t>
      </w:r>
      <w:r w:rsidR="00683884">
        <w:rPr>
          <w:bCs/>
          <w:iCs/>
          <w:kern w:val="1"/>
          <w:lang w:eastAsia="ar-SA"/>
        </w:rPr>
        <w:t xml:space="preserve">lo </w:t>
      </w:r>
      <w:r w:rsidR="00AA49C3" w:rsidRPr="00C6165A">
        <w:rPr>
          <w:bCs/>
          <w:iCs/>
          <w:kern w:val="1"/>
          <w:lang w:eastAsia="ar-SA"/>
        </w:rPr>
        <w:t xml:space="preserve">que representa el </w:t>
      </w:r>
      <w:r w:rsidR="00C67645">
        <w:rPr>
          <w:bCs/>
          <w:iCs/>
          <w:kern w:val="1"/>
          <w:lang w:eastAsia="ar-SA"/>
        </w:rPr>
        <w:t>12,52</w:t>
      </w:r>
      <w:r w:rsidR="00154C4C" w:rsidRPr="00C6165A">
        <w:rPr>
          <w:bCs/>
          <w:iCs/>
          <w:kern w:val="1"/>
          <w:lang w:eastAsia="ar-SA"/>
        </w:rPr>
        <w:t>%</w:t>
      </w:r>
      <w:r w:rsidR="00AA49C3" w:rsidRPr="00C6165A">
        <w:rPr>
          <w:bCs/>
          <w:iCs/>
          <w:kern w:val="1"/>
          <w:lang w:eastAsia="ar-SA"/>
        </w:rPr>
        <w:t xml:space="preserve"> </w:t>
      </w:r>
      <w:r w:rsidR="00AA49C3" w:rsidRPr="00C6165A">
        <w:rPr>
          <w:bCs/>
          <w:iCs/>
          <w:kern w:val="1"/>
          <w:lang w:eastAsia="ar-SA"/>
        </w:rPr>
        <w:lastRenderedPageBreak/>
        <w:t xml:space="preserve">de la producción nacional. Esta cifra es </w:t>
      </w:r>
      <w:r w:rsidR="00C67645">
        <w:rPr>
          <w:bCs/>
          <w:iCs/>
          <w:kern w:val="1"/>
          <w:lang w:eastAsia="ar-SA"/>
        </w:rPr>
        <w:t>inferior</w:t>
      </w:r>
      <w:r w:rsidR="00AA49C3" w:rsidRPr="00C6165A">
        <w:rPr>
          <w:bCs/>
          <w:iCs/>
          <w:kern w:val="1"/>
          <w:lang w:eastAsia="ar-SA"/>
        </w:rPr>
        <w:t xml:space="preserve"> a la producción en el mismo periodo del año anterior</w:t>
      </w:r>
      <w:r w:rsidR="001E76B4">
        <w:rPr>
          <w:bCs/>
          <w:iCs/>
          <w:kern w:val="1"/>
          <w:lang w:eastAsia="ar-SA"/>
        </w:rPr>
        <w:t xml:space="preserve"> (774.396t</w:t>
      </w:r>
      <w:r w:rsidR="000905EC">
        <w:rPr>
          <w:bCs/>
          <w:iCs/>
          <w:kern w:val="1"/>
          <w:lang w:eastAsia="ar-SA"/>
        </w:rPr>
        <w:t>)</w:t>
      </w:r>
      <w:r w:rsidR="00817EBE" w:rsidRPr="00C6165A">
        <w:rPr>
          <w:bCs/>
          <w:iCs/>
          <w:kern w:val="1"/>
          <w:lang w:eastAsia="ar-SA"/>
        </w:rPr>
        <w:t>.</w:t>
      </w:r>
    </w:p>
    <w:p w14:paraId="669871AC" w14:textId="77777777" w:rsidR="00AA49C3" w:rsidRPr="00C6165A" w:rsidRDefault="00AA49C3" w:rsidP="00AA49C3">
      <w:pPr>
        <w:suppressAutoHyphens/>
        <w:rPr>
          <w:bCs/>
          <w:iCs/>
          <w:kern w:val="1"/>
          <w:lang w:eastAsia="ar-SA"/>
        </w:rPr>
      </w:pPr>
    </w:p>
    <w:p w14:paraId="014DCB60" w14:textId="287D20C9" w:rsidR="00AA49C3" w:rsidRPr="00C6165A" w:rsidRDefault="001D7B76" w:rsidP="00AA49C3">
      <w:pPr>
        <w:suppressAutoHyphens/>
        <w:jc w:val="center"/>
        <w:rPr>
          <w:bCs/>
          <w:iCs/>
          <w:kern w:val="1"/>
          <w:lang w:eastAsia="ar-SA"/>
        </w:rPr>
      </w:pPr>
      <w:r>
        <w:rPr>
          <w:bCs/>
          <w:iCs/>
          <w:noProof/>
          <w:kern w:val="1"/>
          <w:lang w:eastAsia="ar-SA"/>
        </w:rPr>
        <w:drawing>
          <wp:inline distT="0" distB="0" distL="0" distR="0" wp14:anchorId="3F4B671F" wp14:editId="7D73AC72">
            <wp:extent cx="4975761" cy="2112064"/>
            <wp:effectExtent l="0" t="0" r="0" b="2540"/>
            <wp:docPr id="97225727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25774" cy="2133293"/>
                    </a:xfrm>
                    <a:prstGeom prst="rect">
                      <a:avLst/>
                    </a:prstGeom>
                    <a:noFill/>
                  </pic:spPr>
                </pic:pic>
              </a:graphicData>
            </a:graphic>
          </wp:inline>
        </w:drawing>
      </w:r>
    </w:p>
    <w:p w14:paraId="207FC6F7" w14:textId="537269B5" w:rsidR="005A546C" w:rsidRPr="00703831" w:rsidRDefault="005A546C" w:rsidP="005A546C">
      <w:pPr>
        <w:spacing w:before="120"/>
        <w:jc w:val="center"/>
        <w:rPr>
          <w:i/>
          <w:iCs/>
          <w:sz w:val="16"/>
          <w:szCs w:val="16"/>
          <w:lang w:eastAsia="es-ES"/>
        </w:rPr>
      </w:pPr>
      <w:r w:rsidRPr="00703831">
        <w:rPr>
          <w:i/>
          <w:iCs/>
          <w:sz w:val="16"/>
          <w:szCs w:val="16"/>
          <w:lang w:eastAsia="es-ES"/>
        </w:rPr>
        <w:t xml:space="preserve">Fuente: Elaboración propia a partir de datos del informe de declaraciones </w:t>
      </w:r>
      <w:r w:rsidR="0000631C" w:rsidRPr="00703831">
        <w:rPr>
          <w:i/>
          <w:iCs/>
          <w:sz w:val="16"/>
          <w:szCs w:val="16"/>
          <w:lang w:eastAsia="es-ES"/>
        </w:rPr>
        <w:t>de entregas del MAPA</w:t>
      </w:r>
    </w:p>
    <w:p w14:paraId="6100C832" w14:textId="77777777" w:rsidR="00AA49C3" w:rsidRPr="00703831" w:rsidRDefault="00AA49C3" w:rsidP="00AA49C3">
      <w:pPr>
        <w:suppressAutoHyphens/>
        <w:rPr>
          <w:bCs/>
          <w:i/>
          <w:iCs/>
          <w:kern w:val="1"/>
          <w:lang w:eastAsia="ar-SA"/>
        </w:rPr>
      </w:pPr>
    </w:p>
    <w:p w14:paraId="760D2307" w14:textId="6D1D2020" w:rsidR="00AA49C3" w:rsidRPr="00C6165A" w:rsidRDefault="001E76B4" w:rsidP="00AA49C3">
      <w:pPr>
        <w:suppressAutoHyphens/>
        <w:rPr>
          <w:bCs/>
          <w:iCs/>
          <w:kern w:val="1"/>
          <w:lang w:eastAsia="ar-SA"/>
        </w:rPr>
      </w:pPr>
      <w:r>
        <w:rPr>
          <w:bCs/>
          <w:iCs/>
          <w:kern w:val="1"/>
          <w:lang w:eastAsia="ar-SA"/>
        </w:rPr>
        <w:t>El</w:t>
      </w:r>
      <w:r w:rsidR="00AA49C3" w:rsidRPr="00C6165A">
        <w:rPr>
          <w:bCs/>
          <w:iCs/>
          <w:kern w:val="1"/>
          <w:lang w:eastAsia="ar-SA"/>
        </w:rPr>
        <w:t xml:space="preserve"> número de ganaderos de vacuno de leche en Castilla y León ha descendido un </w:t>
      </w:r>
      <w:r w:rsidR="00C67645">
        <w:rPr>
          <w:bCs/>
          <w:iCs/>
          <w:kern w:val="1"/>
          <w:lang w:eastAsia="ar-SA"/>
        </w:rPr>
        <w:t>8</w:t>
      </w:r>
      <w:r w:rsidR="00154C4C" w:rsidRPr="00C6165A">
        <w:rPr>
          <w:bCs/>
          <w:iCs/>
          <w:kern w:val="1"/>
          <w:lang w:eastAsia="ar-SA"/>
        </w:rPr>
        <w:t>%</w:t>
      </w:r>
      <w:r w:rsidR="00AA49C3" w:rsidRPr="00C6165A">
        <w:rPr>
          <w:bCs/>
          <w:iCs/>
          <w:kern w:val="1"/>
          <w:lang w:eastAsia="ar-SA"/>
        </w:rPr>
        <w:t xml:space="preserve"> entre </w:t>
      </w:r>
      <w:r w:rsidR="004F0C6D" w:rsidRPr="00C6165A">
        <w:rPr>
          <w:bCs/>
          <w:iCs/>
          <w:kern w:val="1"/>
          <w:lang w:eastAsia="ar-SA"/>
        </w:rPr>
        <w:t>noviembre</w:t>
      </w:r>
      <w:r w:rsidR="00AA49C3" w:rsidRPr="00C6165A">
        <w:rPr>
          <w:bCs/>
          <w:iCs/>
          <w:kern w:val="1"/>
          <w:lang w:eastAsia="ar-SA"/>
        </w:rPr>
        <w:t xml:space="preserve"> de </w:t>
      </w:r>
      <w:r w:rsidR="00FB48A8" w:rsidRPr="00C6165A">
        <w:rPr>
          <w:bCs/>
          <w:iCs/>
          <w:kern w:val="1"/>
          <w:lang w:eastAsia="ar-SA"/>
        </w:rPr>
        <w:t>202</w:t>
      </w:r>
      <w:r w:rsidR="00C67645">
        <w:rPr>
          <w:bCs/>
          <w:iCs/>
          <w:kern w:val="1"/>
          <w:lang w:eastAsia="ar-SA"/>
        </w:rPr>
        <w:t>2</w:t>
      </w:r>
      <w:r w:rsidR="007C01EF" w:rsidRPr="00C6165A">
        <w:rPr>
          <w:bCs/>
          <w:iCs/>
          <w:kern w:val="1"/>
          <w:lang w:eastAsia="ar-SA"/>
        </w:rPr>
        <w:t xml:space="preserve"> (</w:t>
      </w:r>
      <w:r w:rsidR="00C67645">
        <w:rPr>
          <w:bCs/>
          <w:iCs/>
          <w:kern w:val="1"/>
          <w:lang w:eastAsia="ar-SA"/>
        </w:rPr>
        <w:t>788</w:t>
      </w:r>
      <w:r w:rsidR="007C01EF" w:rsidRPr="00C6165A">
        <w:rPr>
          <w:bCs/>
          <w:iCs/>
          <w:kern w:val="1"/>
          <w:lang w:eastAsia="ar-SA"/>
        </w:rPr>
        <w:t>)</w:t>
      </w:r>
      <w:r w:rsidR="00AA49C3" w:rsidRPr="00C6165A">
        <w:rPr>
          <w:bCs/>
          <w:iCs/>
          <w:kern w:val="1"/>
          <w:lang w:eastAsia="ar-SA"/>
        </w:rPr>
        <w:t xml:space="preserve"> y octubre de </w:t>
      </w:r>
      <w:r w:rsidR="00FB48A8" w:rsidRPr="00C6165A">
        <w:rPr>
          <w:bCs/>
          <w:iCs/>
          <w:kern w:val="1"/>
          <w:lang w:eastAsia="ar-SA"/>
        </w:rPr>
        <w:t>202</w:t>
      </w:r>
      <w:r w:rsidR="00C67645">
        <w:rPr>
          <w:bCs/>
          <w:iCs/>
          <w:kern w:val="1"/>
          <w:lang w:eastAsia="ar-SA"/>
        </w:rPr>
        <w:t>3</w:t>
      </w:r>
      <w:r w:rsidR="007C01EF" w:rsidRPr="00C6165A">
        <w:rPr>
          <w:bCs/>
          <w:iCs/>
          <w:kern w:val="1"/>
          <w:lang w:eastAsia="ar-SA"/>
        </w:rPr>
        <w:t xml:space="preserve"> (</w:t>
      </w:r>
      <w:r w:rsidR="004F0C6D" w:rsidRPr="00C6165A">
        <w:rPr>
          <w:bCs/>
          <w:iCs/>
          <w:kern w:val="1"/>
          <w:lang w:eastAsia="ar-SA"/>
        </w:rPr>
        <w:t>7</w:t>
      </w:r>
      <w:r w:rsidR="00C67645">
        <w:rPr>
          <w:bCs/>
          <w:iCs/>
          <w:kern w:val="1"/>
          <w:lang w:eastAsia="ar-SA"/>
        </w:rPr>
        <w:t>25</w:t>
      </w:r>
      <w:r w:rsidR="007C01EF" w:rsidRPr="00C6165A">
        <w:rPr>
          <w:bCs/>
          <w:iCs/>
          <w:kern w:val="1"/>
          <w:lang w:eastAsia="ar-SA"/>
        </w:rPr>
        <w:t>)</w:t>
      </w:r>
      <w:r>
        <w:rPr>
          <w:bCs/>
          <w:iCs/>
          <w:kern w:val="1"/>
          <w:lang w:eastAsia="ar-SA"/>
        </w:rPr>
        <w:t>, manteniendo así la tendencia e intensidad de las últimas campañas.</w:t>
      </w:r>
    </w:p>
    <w:p w14:paraId="7105CB9C" w14:textId="77777777" w:rsidR="00AA49C3" w:rsidRPr="00C6165A" w:rsidRDefault="00AA49C3" w:rsidP="00AA49C3"/>
    <w:p w14:paraId="7ADC8A47" w14:textId="783C33A3" w:rsidR="0055619F" w:rsidRPr="00C6165A" w:rsidRDefault="0055619F" w:rsidP="00AA49C3">
      <w:r w:rsidRPr="00C6165A">
        <w:t>L</w:t>
      </w:r>
      <w:r w:rsidR="00AA49C3" w:rsidRPr="00C6165A">
        <w:t xml:space="preserve">a leche de vaca </w:t>
      </w:r>
      <w:r w:rsidRPr="00C6165A">
        <w:t xml:space="preserve">comenzó el año </w:t>
      </w:r>
      <w:r w:rsidR="007C01EF" w:rsidRPr="00C6165A">
        <w:t>202</w:t>
      </w:r>
      <w:r w:rsidR="001D7B76">
        <w:t>3</w:t>
      </w:r>
      <w:r w:rsidRPr="00C6165A">
        <w:t xml:space="preserve"> pagándose a </w:t>
      </w:r>
      <w:r w:rsidR="001D7B76">
        <w:t>61,40</w:t>
      </w:r>
      <w:r w:rsidRPr="00C6165A">
        <w:t xml:space="preserve"> céntimos por litro, un </w:t>
      </w:r>
      <w:r w:rsidR="001D7B76">
        <w:t>64,2</w:t>
      </w:r>
      <w:r w:rsidR="004F0C6D" w:rsidRPr="00C6165A">
        <w:t>%</w:t>
      </w:r>
      <w:r w:rsidRPr="00C6165A">
        <w:t xml:space="preserve"> por </w:t>
      </w:r>
      <w:r w:rsidR="007C01EF" w:rsidRPr="00C6165A">
        <w:t>encima</w:t>
      </w:r>
      <w:r w:rsidRPr="00C6165A">
        <w:t xml:space="preserve"> del precio del año anterior</w:t>
      </w:r>
      <w:r w:rsidR="004F0C6D" w:rsidRPr="00C6165A">
        <w:t xml:space="preserve"> (</w:t>
      </w:r>
      <w:r w:rsidR="001D7B76">
        <w:t>37,39</w:t>
      </w:r>
      <w:r w:rsidR="004F0C6D" w:rsidRPr="00C6165A">
        <w:t>)</w:t>
      </w:r>
      <w:r w:rsidR="00175F24" w:rsidRPr="00C6165A">
        <w:t>, con una</w:t>
      </w:r>
      <w:r w:rsidRPr="00C6165A">
        <w:t xml:space="preserve"> tendencia </w:t>
      </w:r>
      <w:r w:rsidR="004F0C6D" w:rsidRPr="00C6165A">
        <w:t>constante</w:t>
      </w:r>
      <w:r w:rsidRPr="00C6165A">
        <w:t xml:space="preserve"> </w:t>
      </w:r>
      <w:r w:rsidR="007C01EF" w:rsidRPr="00C6165A">
        <w:t xml:space="preserve">hasta </w:t>
      </w:r>
      <w:r w:rsidR="004F0C6D" w:rsidRPr="00C6165A">
        <w:t>marzo</w:t>
      </w:r>
      <w:r w:rsidR="007C01EF" w:rsidRPr="00C6165A">
        <w:t>,</w:t>
      </w:r>
      <w:r w:rsidRPr="00C6165A">
        <w:t xml:space="preserve"> </w:t>
      </w:r>
      <w:r w:rsidR="007C01EF" w:rsidRPr="00C6165A">
        <w:t xml:space="preserve">cuando </w:t>
      </w:r>
      <w:r w:rsidR="004F0C6D" w:rsidRPr="00C6165A">
        <w:t xml:space="preserve">comenzó el </w:t>
      </w:r>
      <w:r w:rsidR="001D7B76">
        <w:t>de</w:t>
      </w:r>
      <w:r w:rsidR="004F0C6D" w:rsidRPr="00C6165A">
        <w:t xml:space="preserve">scenso de precios alcanzando </w:t>
      </w:r>
      <w:r w:rsidR="001D7B76">
        <w:t>53,8</w:t>
      </w:r>
      <w:r w:rsidRPr="00C6165A">
        <w:t xml:space="preserve"> céntimos por litro</w:t>
      </w:r>
      <w:r w:rsidR="004F0C6D" w:rsidRPr="00C6165A">
        <w:t xml:space="preserve"> en </w:t>
      </w:r>
      <w:r w:rsidR="001D7B76">
        <w:t>septiembre</w:t>
      </w:r>
      <w:r w:rsidR="004F0C6D" w:rsidRPr="00C6165A">
        <w:t xml:space="preserve">. </w:t>
      </w:r>
      <w:r w:rsidR="001D7B76">
        <w:t>D</w:t>
      </w:r>
      <w:r w:rsidR="004F0C6D" w:rsidRPr="00C6165A">
        <w:t xml:space="preserve">esde entonces los precios </w:t>
      </w:r>
      <w:r w:rsidR="001E76B4">
        <w:t>se han mantenido al mismo nivel</w:t>
      </w:r>
      <w:r w:rsidR="004F0C6D" w:rsidRPr="00C6165A">
        <w:t xml:space="preserve">. </w:t>
      </w:r>
      <w:r w:rsidR="00FF2A1F" w:rsidRPr="00C6165A">
        <w:t xml:space="preserve">En el mes de octubre se estaba pagando la leche a </w:t>
      </w:r>
      <w:r w:rsidR="001D7B76">
        <w:t>54,40</w:t>
      </w:r>
      <w:r w:rsidR="00FF2A1F" w:rsidRPr="00C6165A">
        <w:t xml:space="preserve"> céntimos por litro, un </w:t>
      </w:r>
      <w:r w:rsidR="001D7B76">
        <w:t>9,7</w:t>
      </w:r>
      <w:r w:rsidR="00FF2A1F" w:rsidRPr="00C6165A">
        <w:t>% m</w:t>
      </w:r>
      <w:r w:rsidR="001D7B76">
        <w:t>enos</w:t>
      </w:r>
      <w:r w:rsidR="00FF2A1F" w:rsidRPr="00C6165A">
        <w:t xml:space="preserve"> que en el mismo mes de 202</w:t>
      </w:r>
      <w:r w:rsidR="001D7B76">
        <w:t>2</w:t>
      </w:r>
      <w:r w:rsidR="00FF2A1F" w:rsidRPr="00C6165A">
        <w:t xml:space="preserve">, cuando el precio estaba en </w:t>
      </w:r>
      <w:r w:rsidR="001D7B76">
        <w:t>60,22</w:t>
      </w:r>
      <w:r w:rsidR="00FF2A1F" w:rsidRPr="00C6165A">
        <w:t xml:space="preserve"> céntimos por litro.</w:t>
      </w:r>
    </w:p>
    <w:p w14:paraId="5641AF6F" w14:textId="77777777" w:rsidR="00AA49C3" w:rsidRPr="00C6165A" w:rsidRDefault="00AA49C3" w:rsidP="00AA49C3"/>
    <w:p w14:paraId="30F40B7E" w14:textId="4BACCD00" w:rsidR="00AA49C3" w:rsidRPr="00C6165A" w:rsidRDefault="001D7B76" w:rsidP="00AA49C3">
      <w:pPr>
        <w:jc w:val="center"/>
      </w:pPr>
      <w:r>
        <w:rPr>
          <w:noProof/>
        </w:rPr>
        <w:drawing>
          <wp:inline distT="0" distB="0" distL="0" distR="0" wp14:anchorId="72E4B6B7" wp14:editId="127EEA64">
            <wp:extent cx="4773881" cy="2020496"/>
            <wp:effectExtent l="0" t="0" r="8255" b="0"/>
            <wp:docPr id="183954870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15521" cy="2038120"/>
                    </a:xfrm>
                    <a:prstGeom prst="rect">
                      <a:avLst/>
                    </a:prstGeom>
                    <a:noFill/>
                  </pic:spPr>
                </pic:pic>
              </a:graphicData>
            </a:graphic>
          </wp:inline>
        </w:drawing>
      </w:r>
    </w:p>
    <w:p w14:paraId="61E33C2D" w14:textId="3B0AFEC1" w:rsidR="005246D8" w:rsidRPr="00703831" w:rsidRDefault="005246D8" w:rsidP="005246D8">
      <w:pPr>
        <w:spacing w:before="120"/>
        <w:jc w:val="center"/>
        <w:rPr>
          <w:i/>
          <w:iCs/>
          <w:sz w:val="16"/>
          <w:szCs w:val="16"/>
          <w:lang w:eastAsia="es-ES"/>
        </w:rPr>
      </w:pPr>
      <w:r w:rsidRPr="00703831">
        <w:rPr>
          <w:i/>
          <w:iCs/>
          <w:sz w:val="16"/>
          <w:szCs w:val="16"/>
          <w:lang w:eastAsia="es-ES"/>
        </w:rPr>
        <w:t xml:space="preserve">Fuente: Elaboración propia a partir de datos del Observatorio de precios de los productos agrícolas y ganaderos </w:t>
      </w:r>
      <w:r w:rsidR="00703831" w:rsidRPr="00703831">
        <w:rPr>
          <w:i/>
          <w:iCs/>
          <w:sz w:val="16"/>
          <w:szCs w:val="16"/>
          <w:lang w:eastAsia="es-ES"/>
        </w:rPr>
        <w:t>CyL</w:t>
      </w:r>
    </w:p>
    <w:p w14:paraId="6C7DD6A7" w14:textId="77777777" w:rsidR="001E76B4" w:rsidRDefault="001E76B4" w:rsidP="00F63F63">
      <w:pPr>
        <w:rPr>
          <w:lang w:eastAsia="ar-SA"/>
        </w:rPr>
      </w:pPr>
    </w:p>
    <w:p w14:paraId="508B2BF1" w14:textId="3895F8FD" w:rsidR="00F63F63" w:rsidRPr="00C6165A" w:rsidRDefault="00AA49C3" w:rsidP="00F63F63">
      <w:r w:rsidRPr="00E85CB2">
        <w:rPr>
          <w:lang w:eastAsia="ar-SA"/>
        </w:rPr>
        <w:t>E</w:t>
      </w:r>
      <w:r w:rsidR="00F63F63" w:rsidRPr="00E85CB2">
        <w:rPr>
          <w:lang w:eastAsia="ar-SA"/>
        </w:rPr>
        <w:t>n e</w:t>
      </w:r>
      <w:r w:rsidRPr="00E85CB2">
        <w:rPr>
          <w:lang w:eastAsia="ar-SA"/>
        </w:rPr>
        <w:t xml:space="preserve">l </w:t>
      </w:r>
      <w:r w:rsidRPr="00E85CB2">
        <w:rPr>
          <w:b/>
          <w:bCs/>
          <w:lang w:eastAsia="ar-SA"/>
        </w:rPr>
        <w:t>sector ovino de leche</w:t>
      </w:r>
      <w:r w:rsidR="00F63F63" w:rsidRPr="00E85CB2">
        <w:rPr>
          <w:lang w:eastAsia="ar-SA"/>
        </w:rPr>
        <w:t>,</w:t>
      </w:r>
      <w:r w:rsidRPr="00E85CB2">
        <w:rPr>
          <w:lang w:eastAsia="ar-SA"/>
        </w:rPr>
        <w:t xml:space="preserve"> </w:t>
      </w:r>
      <w:r w:rsidR="002E2A60" w:rsidRPr="00E85CB2">
        <w:t>en los últimos doce meses</w:t>
      </w:r>
      <w:r w:rsidR="00F63F63" w:rsidRPr="00E85CB2">
        <w:t xml:space="preserve">, en Castilla y León se ha </w:t>
      </w:r>
      <w:r w:rsidR="002E2A60" w:rsidRPr="00E85CB2">
        <w:t>obtenido una</w:t>
      </w:r>
      <w:r w:rsidR="00F63F63" w:rsidRPr="00E85CB2">
        <w:t xml:space="preserve"> producción </w:t>
      </w:r>
      <w:r w:rsidR="001875FC" w:rsidRPr="00E85CB2">
        <w:t>acumulada</w:t>
      </w:r>
      <w:r w:rsidR="001875FC" w:rsidRPr="00C6165A">
        <w:t xml:space="preserve"> </w:t>
      </w:r>
      <w:r w:rsidR="00F63F63" w:rsidRPr="00C6165A">
        <w:t xml:space="preserve">de leche de oveja </w:t>
      </w:r>
      <w:r w:rsidR="0095157A">
        <w:t>un 4,3%</w:t>
      </w:r>
      <w:r w:rsidR="0019130B" w:rsidRPr="00C6165A">
        <w:t xml:space="preserve"> inferior</w:t>
      </w:r>
      <w:r w:rsidR="00F63F63" w:rsidRPr="00C6165A">
        <w:t xml:space="preserve"> al mismo periodo del anterior año, con una cifra acumulada de </w:t>
      </w:r>
      <w:r w:rsidR="0095157A">
        <w:t>267</w:t>
      </w:r>
      <w:r w:rsidR="0019130B" w:rsidRPr="00C6165A">
        <w:t>,6</w:t>
      </w:r>
      <w:r w:rsidR="00F63F63" w:rsidRPr="00C6165A">
        <w:t xml:space="preserve"> millones de litros de leche, que representa un </w:t>
      </w:r>
      <w:r w:rsidR="002E2A60" w:rsidRPr="00C6165A">
        <w:t>55,</w:t>
      </w:r>
      <w:r w:rsidR="0095157A">
        <w:t>7</w:t>
      </w:r>
      <w:r w:rsidR="00154C4C" w:rsidRPr="00C6165A">
        <w:t>%</w:t>
      </w:r>
      <w:r w:rsidR="00F63F63" w:rsidRPr="00C6165A">
        <w:t xml:space="preserve"> de la producción nacional.</w:t>
      </w:r>
    </w:p>
    <w:p w14:paraId="06219A71" w14:textId="77777777" w:rsidR="00F63F63" w:rsidRPr="00C6165A" w:rsidRDefault="00F63F63" w:rsidP="00F63F63"/>
    <w:p w14:paraId="522E8504" w14:textId="0A96B099" w:rsidR="00F63F63" w:rsidRPr="00C6165A" w:rsidRDefault="0095157A" w:rsidP="00F63F63">
      <w:pPr>
        <w:jc w:val="center"/>
      </w:pPr>
      <w:r>
        <w:rPr>
          <w:noProof/>
        </w:rPr>
        <w:lastRenderedPageBreak/>
        <w:drawing>
          <wp:inline distT="0" distB="0" distL="0" distR="0" wp14:anchorId="179FD504" wp14:editId="1119F408">
            <wp:extent cx="4845132" cy="2066616"/>
            <wp:effectExtent l="0" t="0" r="0" b="0"/>
            <wp:docPr id="7512708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880377" cy="2081649"/>
                    </a:xfrm>
                    <a:prstGeom prst="rect">
                      <a:avLst/>
                    </a:prstGeom>
                    <a:noFill/>
                  </pic:spPr>
                </pic:pic>
              </a:graphicData>
            </a:graphic>
          </wp:inline>
        </w:drawing>
      </w:r>
    </w:p>
    <w:p w14:paraId="5DB1CB7C" w14:textId="24568698" w:rsidR="00CD6ED3" w:rsidRPr="00703831" w:rsidRDefault="00CD6ED3" w:rsidP="00CD6ED3">
      <w:pPr>
        <w:spacing w:before="120"/>
        <w:jc w:val="center"/>
        <w:rPr>
          <w:i/>
          <w:iCs/>
          <w:sz w:val="16"/>
          <w:szCs w:val="16"/>
          <w:lang w:eastAsia="es-ES"/>
        </w:rPr>
      </w:pPr>
      <w:r w:rsidRPr="00703831">
        <w:rPr>
          <w:i/>
          <w:iCs/>
          <w:sz w:val="16"/>
          <w:szCs w:val="16"/>
          <w:lang w:eastAsia="es-ES"/>
        </w:rPr>
        <w:t xml:space="preserve">Fuente: </w:t>
      </w:r>
      <w:r w:rsidR="0000631C" w:rsidRPr="00703831">
        <w:rPr>
          <w:i/>
          <w:iCs/>
          <w:sz w:val="16"/>
          <w:szCs w:val="16"/>
          <w:lang w:eastAsia="es-ES"/>
        </w:rPr>
        <w:t>Elaboración propia a partir de datos del informe de declaraciones de entregas del MAPA</w:t>
      </w:r>
    </w:p>
    <w:p w14:paraId="08D83682" w14:textId="77777777" w:rsidR="00F63F63" w:rsidRPr="00703831" w:rsidRDefault="00F63F63" w:rsidP="00AA49C3">
      <w:pPr>
        <w:rPr>
          <w:i/>
          <w:iCs/>
          <w:lang w:eastAsia="ar-SA"/>
        </w:rPr>
      </w:pPr>
    </w:p>
    <w:p w14:paraId="4AED031D" w14:textId="596EB635" w:rsidR="0019246F" w:rsidRPr="00C6165A" w:rsidRDefault="001E76B4" w:rsidP="0019246F">
      <w:pPr>
        <w:rPr>
          <w:lang w:eastAsia="ar-SA"/>
        </w:rPr>
      </w:pPr>
      <w:bookmarkStart w:id="6" w:name="_Hlk27463954"/>
      <w:r>
        <w:rPr>
          <w:lang w:eastAsia="ar-SA"/>
        </w:rPr>
        <w:t>A</w:t>
      </w:r>
      <w:r w:rsidR="00AA49C3" w:rsidRPr="00C6165A">
        <w:rPr>
          <w:lang w:eastAsia="ar-SA"/>
        </w:rPr>
        <w:t xml:space="preserve"> lo largo de </w:t>
      </w:r>
      <w:r w:rsidR="008D4B47" w:rsidRPr="00C6165A">
        <w:rPr>
          <w:lang w:eastAsia="ar-SA"/>
        </w:rPr>
        <w:t>202</w:t>
      </w:r>
      <w:r w:rsidR="0095157A">
        <w:rPr>
          <w:lang w:eastAsia="ar-SA"/>
        </w:rPr>
        <w:t>3</w:t>
      </w:r>
      <w:r w:rsidR="00AA49C3" w:rsidRPr="00C6165A">
        <w:rPr>
          <w:lang w:eastAsia="ar-SA"/>
        </w:rPr>
        <w:t xml:space="preserve"> los precios medios han </w:t>
      </w:r>
      <w:r w:rsidR="00DF5678" w:rsidRPr="00C6165A">
        <w:rPr>
          <w:lang w:eastAsia="ar-SA"/>
        </w:rPr>
        <w:t xml:space="preserve">sido superiores a los de </w:t>
      </w:r>
      <w:r w:rsidR="008D4B47" w:rsidRPr="00C6165A">
        <w:rPr>
          <w:lang w:eastAsia="ar-SA"/>
        </w:rPr>
        <w:t>202</w:t>
      </w:r>
      <w:r w:rsidR="0095157A">
        <w:rPr>
          <w:lang w:eastAsia="ar-SA"/>
        </w:rPr>
        <w:t>2</w:t>
      </w:r>
      <w:r w:rsidR="00DF5678" w:rsidRPr="00C6165A">
        <w:rPr>
          <w:lang w:eastAsia="ar-SA"/>
        </w:rPr>
        <w:t>.</w:t>
      </w:r>
      <w:r w:rsidR="00C832F6" w:rsidRPr="00C6165A">
        <w:rPr>
          <w:lang w:eastAsia="ar-SA"/>
        </w:rPr>
        <w:t xml:space="preserve"> La leche de oveja se pagó a </w:t>
      </w:r>
      <w:r w:rsidR="0019130B" w:rsidRPr="00C6165A">
        <w:rPr>
          <w:lang w:eastAsia="ar-SA"/>
        </w:rPr>
        <w:t>1,</w:t>
      </w:r>
      <w:r w:rsidR="0095157A">
        <w:rPr>
          <w:lang w:eastAsia="ar-SA"/>
        </w:rPr>
        <w:t>37</w:t>
      </w:r>
      <w:r w:rsidR="0019130B" w:rsidRPr="00C6165A">
        <w:rPr>
          <w:lang w:eastAsia="ar-SA"/>
        </w:rPr>
        <w:t xml:space="preserve"> euro</w:t>
      </w:r>
      <w:r w:rsidR="00C832F6" w:rsidRPr="00C6165A">
        <w:rPr>
          <w:lang w:eastAsia="ar-SA"/>
        </w:rPr>
        <w:t>s por litro</w:t>
      </w:r>
      <w:r w:rsidR="004874C3" w:rsidRPr="00C6165A">
        <w:rPr>
          <w:lang w:eastAsia="ar-SA"/>
        </w:rPr>
        <w:t xml:space="preserve"> a principios de año</w:t>
      </w:r>
      <w:r w:rsidR="00C832F6" w:rsidRPr="00C6165A">
        <w:rPr>
          <w:lang w:eastAsia="ar-SA"/>
        </w:rPr>
        <w:t xml:space="preserve">, bajando hasta el mínimo en </w:t>
      </w:r>
      <w:r w:rsidR="0095157A">
        <w:rPr>
          <w:lang w:eastAsia="ar-SA"/>
        </w:rPr>
        <w:t>abril</w:t>
      </w:r>
      <w:r w:rsidR="00C832F6" w:rsidRPr="00C6165A">
        <w:rPr>
          <w:lang w:eastAsia="ar-SA"/>
        </w:rPr>
        <w:t xml:space="preserve"> (</w:t>
      </w:r>
      <w:r w:rsidR="0095157A">
        <w:rPr>
          <w:lang w:eastAsia="ar-SA"/>
        </w:rPr>
        <w:t>1,25</w:t>
      </w:r>
      <w:r w:rsidR="0019130B" w:rsidRPr="00C6165A">
        <w:rPr>
          <w:lang w:eastAsia="ar-SA"/>
        </w:rPr>
        <w:t xml:space="preserve"> euros</w:t>
      </w:r>
      <w:r w:rsidR="00C832F6" w:rsidRPr="00C6165A">
        <w:rPr>
          <w:lang w:eastAsia="ar-SA"/>
        </w:rPr>
        <w:t xml:space="preserve"> por litro) para iniciar una tendencia alcista desde entonces, hasta alcanzar los </w:t>
      </w:r>
      <w:r w:rsidR="008D4B47" w:rsidRPr="00C6165A">
        <w:rPr>
          <w:lang w:eastAsia="ar-SA"/>
        </w:rPr>
        <w:t>1,</w:t>
      </w:r>
      <w:r w:rsidR="0095157A">
        <w:rPr>
          <w:lang w:eastAsia="ar-SA"/>
        </w:rPr>
        <w:t>7</w:t>
      </w:r>
      <w:r w:rsidR="008D4B47" w:rsidRPr="00C6165A">
        <w:rPr>
          <w:lang w:eastAsia="ar-SA"/>
        </w:rPr>
        <w:t xml:space="preserve"> euros</w:t>
      </w:r>
      <w:r w:rsidR="00C832F6" w:rsidRPr="00C6165A">
        <w:rPr>
          <w:lang w:eastAsia="ar-SA"/>
        </w:rPr>
        <w:t xml:space="preserve"> por litro en el mes de </w:t>
      </w:r>
      <w:r w:rsidR="00EC109B" w:rsidRPr="00C6165A">
        <w:rPr>
          <w:lang w:eastAsia="ar-SA"/>
        </w:rPr>
        <w:t>octubr</w:t>
      </w:r>
      <w:r w:rsidR="00C832F6" w:rsidRPr="00C6165A">
        <w:rPr>
          <w:lang w:eastAsia="ar-SA"/>
        </w:rPr>
        <w:t>e.</w:t>
      </w:r>
      <w:r w:rsidR="00DF5678" w:rsidRPr="00C6165A">
        <w:rPr>
          <w:lang w:eastAsia="ar-SA"/>
        </w:rPr>
        <w:t xml:space="preserve"> </w:t>
      </w:r>
    </w:p>
    <w:p w14:paraId="166FBC89" w14:textId="07104DE2" w:rsidR="00AA49C3" w:rsidRPr="00C6165A" w:rsidRDefault="00AA49C3" w:rsidP="00AA49C3">
      <w:pPr>
        <w:rPr>
          <w:lang w:eastAsia="ar-SA"/>
        </w:rPr>
      </w:pPr>
    </w:p>
    <w:p w14:paraId="57A0805A" w14:textId="63740A10" w:rsidR="00AA49C3" w:rsidRPr="00C6165A" w:rsidRDefault="0095157A" w:rsidP="00AA49C3">
      <w:pPr>
        <w:jc w:val="center"/>
        <w:rPr>
          <w:lang w:eastAsia="ar-SA"/>
        </w:rPr>
      </w:pPr>
      <w:r>
        <w:rPr>
          <w:noProof/>
          <w:lang w:eastAsia="ar-SA"/>
        </w:rPr>
        <w:drawing>
          <wp:inline distT="0" distB="0" distL="0" distR="0" wp14:anchorId="7CDF2734" wp14:editId="3C6D2199">
            <wp:extent cx="5094432" cy="2176392"/>
            <wp:effectExtent l="0" t="0" r="0" b="0"/>
            <wp:docPr id="40400444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125579" cy="2189699"/>
                    </a:xfrm>
                    <a:prstGeom prst="rect">
                      <a:avLst/>
                    </a:prstGeom>
                    <a:noFill/>
                  </pic:spPr>
                </pic:pic>
              </a:graphicData>
            </a:graphic>
          </wp:inline>
        </w:drawing>
      </w:r>
    </w:p>
    <w:bookmarkEnd w:id="6"/>
    <w:p w14:paraId="455EDA96" w14:textId="45A0BB47" w:rsidR="005246D8" w:rsidRPr="00703831" w:rsidRDefault="005246D8" w:rsidP="005246D8">
      <w:pPr>
        <w:spacing w:before="120"/>
        <w:jc w:val="center"/>
        <w:rPr>
          <w:i/>
          <w:iCs/>
          <w:sz w:val="16"/>
          <w:szCs w:val="16"/>
          <w:lang w:eastAsia="es-ES"/>
        </w:rPr>
      </w:pPr>
      <w:r w:rsidRPr="00703831">
        <w:rPr>
          <w:i/>
          <w:iCs/>
          <w:sz w:val="16"/>
          <w:szCs w:val="16"/>
          <w:lang w:eastAsia="es-ES"/>
        </w:rPr>
        <w:t xml:space="preserve">Fuente: Elaboración propia a partir de datos del Observatorio de precios de los productos agrícolas y ganaderos </w:t>
      </w:r>
      <w:r w:rsidR="00703831" w:rsidRPr="00703831">
        <w:rPr>
          <w:i/>
          <w:iCs/>
          <w:sz w:val="16"/>
          <w:szCs w:val="16"/>
          <w:lang w:eastAsia="es-ES"/>
        </w:rPr>
        <w:t>CyL</w:t>
      </w:r>
    </w:p>
    <w:p w14:paraId="3379452D" w14:textId="77777777" w:rsidR="00595E58" w:rsidRPr="00C6165A" w:rsidRDefault="00595E58" w:rsidP="00AA49C3">
      <w:pPr>
        <w:rPr>
          <w:b/>
          <w:lang w:eastAsia="ar-SA"/>
        </w:rPr>
      </w:pPr>
    </w:p>
    <w:p w14:paraId="32AD3CD2" w14:textId="22894114" w:rsidR="0019246F" w:rsidRPr="00C6165A" w:rsidRDefault="008D4B47" w:rsidP="0019246F">
      <w:pPr>
        <w:rPr>
          <w:lang w:eastAsia="ar-SA"/>
        </w:rPr>
      </w:pPr>
      <w:r w:rsidRPr="00C6165A">
        <w:rPr>
          <w:lang w:eastAsia="ar-SA"/>
        </w:rPr>
        <w:t>E</w:t>
      </w:r>
      <w:r w:rsidR="00E62F89" w:rsidRPr="00C6165A">
        <w:rPr>
          <w:lang w:eastAsia="ar-SA"/>
        </w:rPr>
        <w:t xml:space="preserve">n la actualidad </w:t>
      </w:r>
      <w:r w:rsidRPr="00C6165A">
        <w:rPr>
          <w:lang w:eastAsia="ar-SA"/>
        </w:rPr>
        <w:t xml:space="preserve">quedan </w:t>
      </w:r>
      <w:r w:rsidR="0095157A">
        <w:rPr>
          <w:lang w:eastAsia="ar-SA"/>
        </w:rPr>
        <w:t>1.470</w:t>
      </w:r>
      <w:r w:rsidR="00E62F89" w:rsidRPr="00C6165A">
        <w:rPr>
          <w:lang w:eastAsia="ar-SA"/>
        </w:rPr>
        <w:t xml:space="preserve"> explotaciones con entregas</w:t>
      </w:r>
      <w:r w:rsidR="005414EA" w:rsidRPr="00C6165A">
        <w:rPr>
          <w:lang w:eastAsia="ar-SA"/>
        </w:rPr>
        <w:t xml:space="preserve"> en Castilla y León</w:t>
      </w:r>
      <w:r w:rsidRPr="00C6165A">
        <w:rPr>
          <w:lang w:eastAsia="ar-SA"/>
        </w:rPr>
        <w:t>,</w:t>
      </w:r>
      <w:r w:rsidR="0019246F" w:rsidRPr="00C6165A">
        <w:rPr>
          <w:lang w:eastAsia="ar-SA"/>
        </w:rPr>
        <w:t xml:space="preserve"> </w:t>
      </w:r>
      <w:r w:rsidR="001E76B4">
        <w:rPr>
          <w:lang w:eastAsia="ar-SA"/>
        </w:rPr>
        <w:t>tras el</w:t>
      </w:r>
      <w:r w:rsidR="00EC109B" w:rsidRPr="00C6165A">
        <w:rPr>
          <w:lang w:eastAsia="ar-SA"/>
        </w:rPr>
        <w:t xml:space="preserve"> descenso de </w:t>
      </w:r>
      <w:r w:rsidR="0095157A">
        <w:rPr>
          <w:lang w:eastAsia="ar-SA"/>
        </w:rPr>
        <w:t>88</w:t>
      </w:r>
      <w:r w:rsidR="00EC109B" w:rsidRPr="00C6165A">
        <w:rPr>
          <w:lang w:eastAsia="ar-SA"/>
        </w:rPr>
        <w:t xml:space="preserve"> ganaderos de ovino en el último año, </w:t>
      </w:r>
      <w:r w:rsidR="0095157A">
        <w:rPr>
          <w:lang w:eastAsia="ar-SA"/>
        </w:rPr>
        <w:t>900</w:t>
      </w:r>
      <w:r w:rsidR="00EC109B" w:rsidRPr="00C6165A">
        <w:rPr>
          <w:lang w:eastAsia="ar-SA"/>
        </w:rPr>
        <w:t xml:space="preserve"> menos que los que había instalados en 2016</w:t>
      </w:r>
      <w:r w:rsidR="0019246F" w:rsidRPr="00C6165A">
        <w:rPr>
          <w:lang w:eastAsia="ar-SA"/>
        </w:rPr>
        <w:t xml:space="preserve">. </w:t>
      </w:r>
      <w:r w:rsidR="00683884">
        <w:rPr>
          <w:lang w:eastAsia="ar-SA"/>
        </w:rPr>
        <w:t>Esto se ha traducido en una escasez de producto, que ha llevado a la industria a reclamar más leche, cuando han sido sus bajos precios los que han mermado producciones y obligado a cerrar granjas.</w:t>
      </w:r>
    </w:p>
    <w:p w14:paraId="54C16632" w14:textId="1A7A7A50" w:rsidR="000775F2" w:rsidRDefault="000775F2" w:rsidP="0019246F">
      <w:pPr>
        <w:rPr>
          <w:lang w:eastAsia="ar-SA"/>
        </w:rPr>
      </w:pPr>
    </w:p>
    <w:p w14:paraId="67B302FC" w14:textId="20A6C689" w:rsidR="000775F2" w:rsidRPr="00670248" w:rsidRDefault="000775F2" w:rsidP="000775F2">
      <w:pPr>
        <w:suppressAutoHyphens/>
        <w:rPr>
          <w:b/>
          <w:bCs/>
          <w:iCs/>
          <w:kern w:val="1"/>
          <w:lang w:eastAsia="ar-SA"/>
        </w:rPr>
      </w:pPr>
      <w:r w:rsidRPr="00670248">
        <w:rPr>
          <w:b/>
          <w:bCs/>
          <w:iCs/>
          <w:kern w:val="1"/>
          <w:lang w:eastAsia="ar-SA"/>
        </w:rPr>
        <w:t>Apicultura</w:t>
      </w:r>
    </w:p>
    <w:p w14:paraId="185D7D1E" w14:textId="66AEAFE0" w:rsidR="000775F2" w:rsidRPr="00670248" w:rsidRDefault="000775F2" w:rsidP="0019246F">
      <w:pPr>
        <w:rPr>
          <w:lang w:eastAsia="ar-SA"/>
        </w:rPr>
      </w:pPr>
    </w:p>
    <w:p w14:paraId="569E1601" w14:textId="28DDCBDE" w:rsidR="005863D3" w:rsidRDefault="001E76B4" w:rsidP="005863D3">
      <w:pPr>
        <w:rPr>
          <w:lang w:eastAsia="ar-SA"/>
        </w:rPr>
      </w:pPr>
      <w:r>
        <w:rPr>
          <w:lang w:eastAsia="ar-SA"/>
        </w:rPr>
        <w:t>Según</w:t>
      </w:r>
      <w:r w:rsidR="005863D3" w:rsidRPr="00C6165A">
        <w:rPr>
          <w:lang w:eastAsia="ar-SA"/>
        </w:rPr>
        <w:t xml:space="preserve"> los “</w:t>
      </w:r>
      <w:r w:rsidR="00683884">
        <w:rPr>
          <w:lang w:eastAsia="ar-SA"/>
        </w:rPr>
        <w:t>I</w:t>
      </w:r>
      <w:r w:rsidR="005863D3" w:rsidRPr="00C6165A">
        <w:rPr>
          <w:lang w:eastAsia="ar-SA"/>
        </w:rPr>
        <w:t>ndicadores económicos del sector apícola 202</w:t>
      </w:r>
      <w:r w:rsidR="00670248">
        <w:rPr>
          <w:lang w:eastAsia="ar-SA"/>
        </w:rPr>
        <w:t>2</w:t>
      </w:r>
      <w:r w:rsidR="005863D3" w:rsidRPr="00C6165A">
        <w:rPr>
          <w:lang w:eastAsia="ar-SA"/>
        </w:rPr>
        <w:t xml:space="preserve">”, </w:t>
      </w:r>
      <w:r w:rsidRPr="001E76B4">
        <w:rPr>
          <w:lang w:eastAsia="ar-SA"/>
        </w:rPr>
        <w:t>últimos datos publicados por el Ministerio</w:t>
      </w:r>
      <w:r>
        <w:rPr>
          <w:lang w:eastAsia="ar-SA"/>
        </w:rPr>
        <w:t xml:space="preserve">, </w:t>
      </w:r>
      <w:r w:rsidR="005863D3" w:rsidRPr="00C6165A">
        <w:rPr>
          <w:lang w:eastAsia="ar-SA"/>
        </w:rPr>
        <w:t>el censo en España cuenta con 36.</w:t>
      </w:r>
      <w:r w:rsidR="00670248">
        <w:rPr>
          <w:lang w:eastAsia="ar-SA"/>
        </w:rPr>
        <w:t>494</w:t>
      </w:r>
      <w:r w:rsidR="005863D3" w:rsidRPr="00C6165A">
        <w:rPr>
          <w:lang w:eastAsia="ar-SA"/>
        </w:rPr>
        <w:t xml:space="preserve"> explotaciones</w:t>
      </w:r>
      <w:r>
        <w:rPr>
          <w:lang w:eastAsia="ar-SA"/>
        </w:rPr>
        <w:t xml:space="preserve"> apícolas</w:t>
      </w:r>
      <w:r w:rsidR="005863D3" w:rsidRPr="00C6165A">
        <w:rPr>
          <w:lang w:eastAsia="ar-SA"/>
        </w:rPr>
        <w:t xml:space="preserve"> tanto profesionales como de autoconsumo, de las cuales 6.4</w:t>
      </w:r>
      <w:r w:rsidR="00670248">
        <w:rPr>
          <w:lang w:eastAsia="ar-SA"/>
        </w:rPr>
        <w:t>09</w:t>
      </w:r>
      <w:r w:rsidR="005863D3" w:rsidRPr="00C6165A">
        <w:rPr>
          <w:lang w:eastAsia="ar-SA"/>
        </w:rPr>
        <w:t xml:space="preserve"> (17,6%) están registradas en la comunidad de Castilla y León. Respecto al censo de colmenas en la comunidad, contamos en </w:t>
      </w:r>
      <w:r w:rsidR="00670248">
        <w:rPr>
          <w:lang w:eastAsia="ar-SA"/>
        </w:rPr>
        <w:t>julio</w:t>
      </w:r>
      <w:r w:rsidR="005863D3" w:rsidRPr="00C6165A">
        <w:rPr>
          <w:lang w:eastAsia="ar-SA"/>
        </w:rPr>
        <w:t xml:space="preserve"> de 2022 con un total </w:t>
      </w:r>
      <w:r w:rsidR="00670248">
        <w:rPr>
          <w:lang w:eastAsia="ar-SA"/>
        </w:rPr>
        <w:t>433.680</w:t>
      </w:r>
      <w:r w:rsidR="005863D3" w:rsidRPr="00C6165A">
        <w:rPr>
          <w:lang w:eastAsia="ar-SA"/>
        </w:rPr>
        <w:t>, el 14</w:t>
      </w:r>
      <w:r w:rsidR="00670248" w:rsidRPr="00C6165A">
        <w:rPr>
          <w:lang w:eastAsia="ar-SA"/>
        </w:rPr>
        <w:t xml:space="preserve"> </w:t>
      </w:r>
      <w:r w:rsidR="005863D3" w:rsidRPr="00C6165A">
        <w:rPr>
          <w:lang w:eastAsia="ar-SA"/>
        </w:rPr>
        <w:t xml:space="preserve">% respecto al volumen nacional y un </w:t>
      </w:r>
      <w:r w:rsidR="00670248">
        <w:rPr>
          <w:lang w:eastAsia="ar-SA"/>
        </w:rPr>
        <w:t>2,33</w:t>
      </w:r>
      <w:r w:rsidR="005863D3" w:rsidRPr="00C6165A">
        <w:rPr>
          <w:lang w:eastAsia="ar-SA"/>
        </w:rPr>
        <w:t>% menos que en 202</w:t>
      </w:r>
      <w:r w:rsidR="00670248">
        <w:rPr>
          <w:lang w:eastAsia="ar-SA"/>
        </w:rPr>
        <w:t>2</w:t>
      </w:r>
      <w:r w:rsidR="005863D3" w:rsidRPr="00C6165A">
        <w:rPr>
          <w:lang w:eastAsia="ar-SA"/>
        </w:rPr>
        <w:t>. Por sistema de producción</w:t>
      </w:r>
      <w:r w:rsidR="00670248">
        <w:rPr>
          <w:lang w:eastAsia="ar-SA"/>
        </w:rPr>
        <w:t xml:space="preserve"> en Castilla y León</w:t>
      </w:r>
      <w:r w:rsidR="005863D3" w:rsidRPr="00C6165A">
        <w:rPr>
          <w:lang w:eastAsia="ar-SA"/>
        </w:rPr>
        <w:t xml:space="preserve">, el </w:t>
      </w:r>
      <w:r w:rsidR="00670248">
        <w:rPr>
          <w:lang w:eastAsia="ar-SA"/>
        </w:rPr>
        <w:t>86%</w:t>
      </w:r>
      <w:r w:rsidR="005863D3" w:rsidRPr="00C6165A">
        <w:rPr>
          <w:lang w:eastAsia="ar-SA"/>
        </w:rPr>
        <w:t xml:space="preserve"> son estantes y el </w:t>
      </w:r>
      <w:r w:rsidR="00670248">
        <w:rPr>
          <w:lang w:eastAsia="ar-SA"/>
        </w:rPr>
        <w:t>14</w:t>
      </w:r>
      <w:r w:rsidR="005863D3" w:rsidRPr="00C6165A">
        <w:rPr>
          <w:lang w:eastAsia="ar-SA"/>
        </w:rPr>
        <w:t>% se dedican a la trashumancia.</w:t>
      </w:r>
      <w:r w:rsidR="00F23B5C">
        <w:rPr>
          <w:lang w:eastAsia="ar-SA"/>
        </w:rPr>
        <w:t xml:space="preserve"> </w:t>
      </w:r>
      <w:r w:rsidR="005863D3" w:rsidRPr="00C6165A">
        <w:rPr>
          <w:lang w:eastAsia="ar-SA"/>
        </w:rPr>
        <w:t>A nivel productivo con los datos disponibles de 202</w:t>
      </w:r>
      <w:r w:rsidR="00DB0495">
        <w:rPr>
          <w:lang w:eastAsia="ar-SA"/>
        </w:rPr>
        <w:t>1</w:t>
      </w:r>
      <w:r w:rsidR="005863D3" w:rsidRPr="00C6165A">
        <w:rPr>
          <w:lang w:eastAsia="ar-SA"/>
        </w:rPr>
        <w:t xml:space="preserve">, </w:t>
      </w:r>
      <w:r w:rsidR="005863D3" w:rsidRPr="00C6165A">
        <w:rPr>
          <w:lang w:eastAsia="ar-SA"/>
        </w:rPr>
        <w:lastRenderedPageBreak/>
        <w:t xml:space="preserve">en Castilla y León se recogieron </w:t>
      </w:r>
      <w:r w:rsidR="00DB0495">
        <w:rPr>
          <w:lang w:eastAsia="ar-SA"/>
        </w:rPr>
        <w:t>5.448</w:t>
      </w:r>
      <w:r w:rsidR="005863D3" w:rsidRPr="00C6165A">
        <w:rPr>
          <w:lang w:eastAsia="ar-SA"/>
        </w:rPr>
        <w:t xml:space="preserve"> toneladas de miel, siendo </w:t>
      </w:r>
      <w:r w:rsidR="00DB0495">
        <w:rPr>
          <w:lang w:eastAsia="ar-SA"/>
        </w:rPr>
        <w:t>la segunda</w:t>
      </w:r>
      <w:r w:rsidR="005863D3" w:rsidRPr="00C6165A">
        <w:rPr>
          <w:lang w:eastAsia="ar-SA"/>
        </w:rPr>
        <w:t xml:space="preserve"> comunidad autónoma con mayor producción detrás de Andalucía</w:t>
      </w:r>
      <w:r>
        <w:rPr>
          <w:lang w:eastAsia="ar-SA"/>
        </w:rPr>
        <w:t xml:space="preserve">, con </w:t>
      </w:r>
      <w:r w:rsidR="00DB0495">
        <w:rPr>
          <w:lang w:eastAsia="ar-SA"/>
        </w:rPr>
        <w:t>el 16</w:t>
      </w:r>
      <w:r w:rsidR="005863D3" w:rsidRPr="00C6165A">
        <w:rPr>
          <w:lang w:eastAsia="ar-SA"/>
        </w:rPr>
        <w:t xml:space="preserve">% de la producción total nacional. En producción de cera se han registrado </w:t>
      </w:r>
      <w:r w:rsidR="00DB0495">
        <w:rPr>
          <w:lang w:eastAsia="ar-SA"/>
        </w:rPr>
        <w:t>169</w:t>
      </w:r>
      <w:r w:rsidR="005863D3" w:rsidRPr="00C6165A">
        <w:rPr>
          <w:lang w:eastAsia="ar-SA"/>
        </w:rPr>
        <w:t xml:space="preserve"> toneladas, más del </w:t>
      </w:r>
      <w:r w:rsidR="00DB0495">
        <w:rPr>
          <w:lang w:eastAsia="ar-SA"/>
        </w:rPr>
        <w:t>9</w:t>
      </w:r>
      <w:r w:rsidR="005863D3" w:rsidRPr="00C6165A">
        <w:rPr>
          <w:lang w:eastAsia="ar-SA"/>
        </w:rPr>
        <w:t>% de la producción nacional.</w:t>
      </w:r>
    </w:p>
    <w:p w14:paraId="206BA34E" w14:textId="2660E592" w:rsidR="00F23B5C" w:rsidRDefault="00F23B5C" w:rsidP="00F23B5C">
      <w:pPr>
        <w:rPr>
          <w:lang w:eastAsia="ar-SA"/>
        </w:rPr>
      </w:pPr>
      <w:r>
        <w:rPr>
          <w:lang w:eastAsia="ar-SA"/>
        </w:rPr>
        <w:t>Esta campaña 2023 ha habido una</w:t>
      </w:r>
      <w:r w:rsidRPr="000E58A2">
        <w:rPr>
          <w:lang w:eastAsia="ar-SA"/>
        </w:rPr>
        <w:t xml:space="preserve"> reducción de la cosecha debido a la falta de lluvias y el calor extremo del verano, de la muerte de hasta un tercio de las colmenas en algunas zonas como consecuencia de </w:t>
      </w:r>
      <w:r>
        <w:rPr>
          <w:lang w:eastAsia="ar-SA"/>
        </w:rPr>
        <w:t xml:space="preserve">la </w:t>
      </w:r>
      <w:proofErr w:type="spellStart"/>
      <w:r w:rsidR="00703831">
        <w:rPr>
          <w:lang w:eastAsia="ar-SA"/>
        </w:rPr>
        <w:t>v</w:t>
      </w:r>
      <w:r>
        <w:rPr>
          <w:lang w:eastAsia="ar-SA"/>
        </w:rPr>
        <w:t>arroa</w:t>
      </w:r>
      <w:proofErr w:type="spellEnd"/>
      <w:r w:rsidRPr="000E58A2">
        <w:rPr>
          <w:lang w:eastAsia="ar-SA"/>
        </w:rPr>
        <w:t>, o de los ataques de depredadores</w:t>
      </w:r>
      <w:r>
        <w:rPr>
          <w:lang w:eastAsia="ar-SA"/>
        </w:rPr>
        <w:t>.</w:t>
      </w:r>
      <w:r w:rsidRPr="000E58A2">
        <w:rPr>
          <w:lang w:eastAsia="ar-SA"/>
        </w:rPr>
        <w:t xml:space="preserve"> </w:t>
      </w:r>
    </w:p>
    <w:p w14:paraId="1A5578BE" w14:textId="77777777" w:rsidR="00F23B5C" w:rsidRPr="00C6165A" w:rsidRDefault="00F23B5C" w:rsidP="005863D3">
      <w:pPr>
        <w:rPr>
          <w:lang w:eastAsia="ar-SA"/>
        </w:rPr>
      </w:pPr>
    </w:p>
    <w:p w14:paraId="67EB77C6" w14:textId="673FD7FE" w:rsidR="00683884" w:rsidRDefault="00AB6E49" w:rsidP="005863D3">
      <w:r>
        <w:rPr>
          <w:lang w:eastAsia="ar-SA"/>
        </w:rPr>
        <w:t>En marzo de este año, los apicultores de toda España se concentraron en</w:t>
      </w:r>
      <w:r w:rsidR="000E58A2" w:rsidRPr="000E58A2">
        <w:rPr>
          <w:lang w:eastAsia="ar-SA"/>
        </w:rPr>
        <w:t xml:space="preserve"> Madrid, frente al Ministerio de Agricultura, Pesca y Alimentación</w:t>
      </w:r>
      <w:r w:rsidR="000050D2">
        <w:rPr>
          <w:lang w:eastAsia="ar-SA"/>
        </w:rPr>
        <w:t xml:space="preserve"> para solicitar</w:t>
      </w:r>
      <w:r w:rsidR="000E58A2" w:rsidRPr="000E58A2">
        <w:rPr>
          <w:lang w:eastAsia="ar-SA"/>
        </w:rPr>
        <w:t xml:space="preserve"> un conjunto de medidas ante la grave crisis coyuntural y estructural que atraviesa la apicultura</w:t>
      </w:r>
      <w:r w:rsidR="000050D2">
        <w:rPr>
          <w:lang w:eastAsia="ar-SA"/>
        </w:rPr>
        <w:t xml:space="preserve">. </w:t>
      </w:r>
      <w:r w:rsidR="000E58A2" w:rsidRPr="000E58A2">
        <w:rPr>
          <w:lang w:eastAsia="ar-SA"/>
        </w:rPr>
        <w:t>Los apicultores achacan parte de la responsabilidad de esta situación a la norma de etiquetado</w:t>
      </w:r>
      <w:r w:rsidR="00683884">
        <w:rPr>
          <w:lang w:eastAsia="ar-SA"/>
        </w:rPr>
        <w:t xml:space="preserve"> para frenar adulteraciones e importaciones, tema que todavía sigue pendiente</w:t>
      </w:r>
      <w:r w:rsidR="000050D2">
        <w:rPr>
          <w:lang w:eastAsia="ar-SA"/>
        </w:rPr>
        <w:t xml:space="preserve">. </w:t>
      </w:r>
      <w:r w:rsidR="00F23B5C">
        <w:t>En este sentido, la</w:t>
      </w:r>
      <w:r w:rsidR="00683884">
        <w:t xml:space="preserve"> Comisión Europea aprob</w:t>
      </w:r>
      <w:r w:rsidR="00F23B5C">
        <w:t xml:space="preserve">aba </w:t>
      </w:r>
      <w:r w:rsidR="00683884">
        <w:t xml:space="preserve">a fin de año una </w:t>
      </w:r>
      <w:r w:rsidR="00683884" w:rsidRPr="0002214C">
        <w:t xml:space="preserve">modificación de la normativa del etiquetado de la miel para evitar el fraude en la comercialización y la adulteración </w:t>
      </w:r>
      <w:r w:rsidR="00683884">
        <w:t xml:space="preserve">incluyendo un </w:t>
      </w:r>
      <w:r w:rsidR="00683884" w:rsidRPr="0002214C">
        <w:t xml:space="preserve">sistema de trazabilidad de la miel. </w:t>
      </w:r>
    </w:p>
    <w:p w14:paraId="39F2C2CD" w14:textId="77777777" w:rsidR="00F23B5C" w:rsidRDefault="00F23B5C" w:rsidP="005863D3">
      <w:pPr>
        <w:rPr>
          <w:lang w:eastAsia="ar-SA"/>
        </w:rPr>
      </w:pPr>
    </w:p>
    <w:p w14:paraId="692C357F" w14:textId="7A3CE277" w:rsidR="0002214C" w:rsidRPr="0002214C" w:rsidRDefault="00683884" w:rsidP="0002214C">
      <w:bookmarkStart w:id="7" w:name="_Hlk155256408"/>
      <w:r>
        <w:rPr>
          <w:lang w:eastAsia="ar-SA"/>
        </w:rPr>
        <w:t>Durante</w:t>
      </w:r>
      <w:r w:rsidR="006E4C33">
        <w:rPr>
          <w:lang w:eastAsia="ar-SA"/>
        </w:rPr>
        <w:t xml:space="preserve"> el año se convocaron las </w:t>
      </w:r>
      <w:r w:rsidR="000905EC">
        <w:rPr>
          <w:lang w:eastAsia="ar-SA"/>
        </w:rPr>
        <w:t xml:space="preserve">ayudas </w:t>
      </w:r>
      <w:r w:rsidR="006E4C33">
        <w:rPr>
          <w:lang w:eastAsia="ar-SA"/>
        </w:rPr>
        <w:t xml:space="preserve">destinadas a </w:t>
      </w:r>
      <w:r w:rsidR="000E58A2" w:rsidRPr="006E4C33">
        <w:rPr>
          <w:lang w:eastAsia="ar-SA"/>
        </w:rPr>
        <w:t>la mejora de la producción y comercialización de la miel en Castilla y Leó</w:t>
      </w:r>
      <w:r w:rsidR="000050D2" w:rsidRPr="006E4C33">
        <w:rPr>
          <w:lang w:eastAsia="ar-SA"/>
        </w:rPr>
        <w:t>n</w:t>
      </w:r>
      <w:r w:rsidR="006E4C33">
        <w:rPr>
          <w:lang w:eastAsia="ar-SA"/>
        </w:rPr>
        <w:t xml:space="preserve"> incluyendo </w:t>
      </w:r>
      <w:r w:rsidR="000050D2" w:rsidRPr="006E4C33">
        <w:rPr>
          <w:lang w:eastAsia="ar-SA"/>
        </w:rPr>
        <w:t>este año la</w:t>
      </w:r>
      <w:r w:rsidR="009F37AB" w:rsidRPr="006E4C33">
        <w:t xml:space="preserve"> línea H</w:t>
      </w:r>
      <w:r w:rsidR="006E4C33" w:rsidRPr="006E4C33">
        <w:t xml:space="preserve"> </w:t>
      </w:r>
      <w:r w:rsidR="006E4C33">
        <w:t>de</w:t>
      </w:r>
      <w:r w:rsidR="006E4C33" w:rsidRPr="006E4C33">
        <w:t xml:space="preserve"> </w:t>
      </w:r>
      <w:r w:rsidR="009F37AB" w:rsidRPr="006E4C33">
        <w:t>mejora de la calidad de los productos apícolas</w:t>
      </w:r>
      <w:r w:rsidR="006E4C33" w:rsidRPr="006E4C33">
        <w:t xml:space="preserve"> </w:t>
      </w:r>
      <w:r w:rsidR="006E4C33">
        <w:t>e</w:t>
      </w:r>
      <w:r w:rsidR="006E4C33" w:rsidRPr="006E4C33">
        <w:t xml:space="preserve"> </w:t>
      </w:r>
      <w:r w:rsidR="009F37AB" w:rsidRPr="006E4C33">
        <w:t>inversiones en materia de comercialización</w:t>
      </w:r>
      <w:r w:rsidR="006E4C33">
        <w:t xml:space="preserve">, y también las ayudas </w:t>
      </w:r>
      <w:r w:rsidR="006E4C33" w:rsidRPr="006E4C33">
        <w:t>de la Intervención Sectorial Apícola</w:t>
      </w:r>
      <w:r w:rsidR="006E4C33">
        <w:t xml:space="preserve">. </w:t>
      </w:r>
      <w:r w:rsidR="0002214C" w:rsidRPr="0002214C">
        <w:t xml:space="preserve">Del mismo modo fueron convocadas ayudas directas para el sector apícola por parte </w:t>
      </w:r>
      <w:r w:rsidR="0002214C">
        <w:t>del Ministerio</w:t>
      </w:r>
      <w:r w:rsidR="0002214C" w:rsidRPr="0002214C">
        <w:t>, mediante las cuales, los titulares de explotaciones apícolas trashumantes y profesionales que tuviesen explotaciones inscritas en REGA en 2023 y un censo igual o superior a 150 colmenas, podrían percibir entre 825 y 2.200 euros de ayuda</w:t>
      </w:r>
      <w:r w:rsidR="000905EC">
        <w:t>, que en ningún caso han llegado a cubrir las pérdidas ocasionadas</w:t>
      </w:r>
      <w:r w:rsidR="0002214C">
        <w:t xml:space="preserve">. </w:t>
      </w:r>
      <w:r w:rsidR="006E4C33">
        <w:t>E</w:t>
      </w:r>
      <w:r w:rsidR="000905EC">
        <w:t>stas ayudas fueron convocadas en e</w:t>
      </w:r>
      <w:r w:rsidR="006E4C33">
        <w:t xml:space="preserve">l último trimestre </w:t>
      </w:r>
      <w:r w:rsidR="000905EC">
        <w:t>desde l</w:t>
      </w:r>
      <w:r w:rsidR="006E4C33">
        <w:t>a Consejería</w:t>
      </w:r>
      <w:r w:rsidR="00AB6E49">
        <w:t>.</w:t>
      </w:r>
      <w:r w:rsidR="0002214C">
        <w:t xml:space="preserve"> </w:t>
      </w:r>
    </w:p>
    <w:bookmarkEnd w:id="7"/>
    <w:p w14:paraId="243BBF2F" w14:textId="77777777" w:rsidR="006E4C33" w:rsidRPr="006E4C33" w:rsidRDefault="006E4C33" w:rsidP="006E4C33"/>
    <w:p w14:paraId="3F862D1B" w14:textId="77777777" w:rsidR="00FA14AF" w:rsidRDefault="00FA14AF" w:rsidP="00FA14AF">
      <w:pPr>
        <w:rPr>
          <w:b/>
          <w:bCs/>
        </w:rPr>
      </w:pPr>
      <w:r w:rsidRPr="00DB0495">
        <w:rPr>
          <w:b/>
          <w:bCs/>
        </w:rPr>
        <w:t>Saneamiento ganadero</w:t>
      </w:r>
    </w:p>
    <w:p w14:paraId="5CE34D46" w14:textId="77777777" w:rsidR="00DB0495" w:rsidRDefault="00DB0495" w:rsidP="00DB0495">
      <w:pPr>
        <w:rPr>
          <w:b/>
          <w:bCs/>
        </w:rPr>
      </w:pPr>
    </w:p>
    <w:p w14:paraId="5458268B" w14:textId="37869737" w:rsidR="009C2BCE" w:rsidRDefault="0002214C" w:rsidP="009C2BCE">
      <w:pPr>
        <w:rPr>
          <w:bCs/>
          <w:iCs/>
        </w:rPr>
      </w:pPr>
      <w:r>
        <w:rPr>
          <w:bCs/>
          <w:iCs/>
        </w:rPr>
        <w:t>L</w:t>
      </w:r>
      <w:r w:rsidR="009C2BCE" w:rsidRPr="009C2BCE">
        <w:rPr>
          <w:bCs/>
          <w:iCs/>
        </w:rPr>
        <w:t>a situación sanitaria del sector, en especial la del ganado bovino</w:t>
      </w:r>
      <w:r w:rsidR="001B0AB4">
        <w:rPr>
          <w:bCs/>
          <w:iCs/>
        </w:rPr>
        <w:t xml:space="preserve"> es preocupante, pues </w:t>
      </w:r>
      <w:r w:rsidR="009C2BCE" w:rsidRPr="009C2BCE">
        <w:rPr>
          <w:bCs/>
          <w:iCs/>
        </w:rPr>
        <w:t>este año ha tenido que hacer frente a la continua lucha contra la tuberculosis bovina</w:t>
      </w:r>
      <w:r w:rsidR="00AA1086">
        <w:rPr>
          <w:bCs/>
          <w:iCs/>
        </w:rPr>
        <w:t>,</w:t>
      </w:r>
      <w:r w:rsidR="009C2BCE" w:rsidRPr="009C2BCE">
        <w:rPr>
          <w:bCs/>
          <w:iCs/>
        </w:rPr>
        <w:t xml:space="preserve"> la lengua azul y como novedad también a la enfermedad hemorrágica epizoótica o EHE</w:t>
      </w:r>
      <w:r>
        <w:rPr>
          <w:bCs/>
          <w:iCs/>
        </w:rPr>
        <w:t>, que en Castilla y León ha sido especialmente agresiva.</w:t>
      </w:r>
    </w:p>
    <w:p w14:paraId="2B966820" w14:textId="77777777" w:rsidR="00F23B5C" w:rsidRPr="009C2BCE" w:rsidRDefault="00F23B5C" w:rsidP="009C2BCE">
      <w:pPr>
        <w:rPr>
          <w:bCs/>
          <w:iCs/>
        </w:rPr>
      </w:pPr>
    </w:p>
    <w:p w14:paraId="041F6122" w14:textId="6858BD42" w:rsidR="004A6B74" w:rsidRDefault="00AA1086" w:rsidP="004A6B74">
      <w:r>
        <w:t>Sobre la</w:t>
      </w:r>
      <w:r w:rsidR="00FA14AF" w:rsidRPr="00C30662">
        <w:t xml:space="preserve"> </w:t>
      </w:r>
      <w:r w:rsidR="00FA14AF" w:rsidRPr="00F23B5C">
        <w:rPr>
          <w:b/>
          <w:bCs/>
        </w:rPr>
        <w:t>tuberculosis bovina</w:t>
      </w:r>
      <w:r w:rsidR="00AB6E49">
        <w:t>, e</w:t>
      </w:r>
      <w:r w:rsidR="00FA14AF" w:rsidRPr="00C30662">
        <w:t>n 202</w:t>
      </w:r>
      <w:r w:rsidR="004A6B74">
        <w:t>3</w:t>
      </w:r>
      <w:r w:rsidR="00FA14AF" w:rsidRPr="00C30662">
        <w:t xml:space="preserve"> se ha producido un </w:t>
      </w:r>
      <w:r w:rsidR="00C30662" w:rsidRPr="00C30662">
        <w:t xml:space="preserve">aumento </w:t>
      </w:r>
      <w:r w:rsidR="00FA14AF" w:rsidRPr="00C30662">
        <w:t xml:space="preserve">de la prevalencia en todas las provincias de Castilla y León, excepto en Segovia, que </w:t>
      </w:r>
      <w:r w:rsidR="00C30662" w:rsidRPr="00C30662">
        <w:t>ha bajado</w:t>
      </w:r>
      <w:r w:rsidR="00FA14AF" w:rsidRPr="00C30662">
        <w:t>. En la provincia de Salamanca la mayor prevalencia se ha concentrado, fundamentalmente, en la Unidad Veterinaria de Vitigudino y sus colindantes</w:t>
      </w:r>
      <w:r>
        <w:t>,</w:t>
      </w:r>
      <w:r w:rsidR="00C30662" w:rsidRPr="00C30662">
        <w:t xml:space="preserve"> y para la provincia de Ávila esto se produce en Cebreros, El Barco de Ávila y Arenas de San Pedro.</w:t>
      </w:r>
      <w:r w:rsidR="004A6B74">
        <w:t xml:space="preserve"> </w:t>
      </w:r>
      <w:r w:rsidR="00FA14AF" w:rsidRPr="00384963">
        <w:t>En Castilla y León la prevalencia</w:t>
      </w:r>
      <w:r w:rsidR="004A6B74">
        <w:t xml:space="preserve"> total</w:t>
      </w:r>
      <w:r w:rsidR="00FA14AF" w:rsidRPr="00384963">
        <w:t xml:space="preserve"> </w:t>
      </w:r>
      <w:r w:rsidR="004A6B74">
        <w:t>es del</w:t>
      </w:r>
      <w:r w:rsidR="00FA14AF" w:rsidRPr="00384963">
        <w:t xml:space="preserve"> </w:t>
      </w:r>
      <w:r w:rsidR="00384963" w:rsidRPr="00384963">
        <w:t xml:space="preserve">2,07%, superior al año anterior </w:t>
      </w:r>
      <w:r w:rsidR="00AB6E49">
        <w:t>que fue de</w:t>
      </w:r>
      <w:r w:rsidR="00FA14AF" w:rsidRPr="00384963">
        <w:t xml:space="preserve"> 1,34%</w:t>
      </w:r>
      <w:r w:rsidR="0002214C">
        <w:t xml:space="preserve">, aunque </w:t>
      </w:r>
      <w:r w:rsidR="00384963" w:rsidRPr="00384963">
        <w:t>74</w:t>
      </w:r>
      <w:r w:rsidR="00FA14AF" w:rsidRPr="00384963">
        <w:t xml:space="preserve"> de las 103 unidades veterinarias no han tenido ni un solo caso de tuberculosis bovina y su prevalencia es 0%.</w:t>
      </w:r>
      <w:r w:rsidR="004A6B74">
        <w:t xml:space="preserve"> </w:t>
      </w:r>
      <w:r w:rsidR="00181390" w:rsidRPr="00384963">
        <w:t>L</w:t>
      </w:r>
      <w:r w:rsidR="00FA14AF" w:rsidRPr="00384963">
        <w:t>as provincias de Burgos, León y Valladolid</w:t>
      </w:r>
      <w:r w:rsidR="00181390" w:rsidRPr="00384963">
        <w:t xml:space="preserve">, con prevalencia 0%, </w:t>
      </w:r>
      <w:r w:rsidR="00384963" w:rsidRPr="00384963">
        <w:t xml:space="preserve">han sido declaradas oficialmente indemnes al tener el estatus de libres de </w:t>
      </w:r>
      <w:r w:rsidR="00384963" w:rsidRPr="00384963">
        <w:lastRenderedPageBreak/>
        <w:t xml:space="preserve">Tuberculosis bovina reconocido por la </w:t>
      </w:r>
      <w:r w:rsidR="0002214C">
        <w:t>U</w:t>
      </w:r>
      <w:r w:rsidR="00384963" w:rsidRPr="00384963">
        <w:t>nión Europea y Zamora es previsible que lo alcance en 2024.</w:t>
      </w:r>
      <w:r w:rsidR="00F23B5C">
        <w:t xml:space="preserve"> </w:t>
      </w:r>
      <w:r w:rsidR="004A6B74" w:rsidRPr="004A6B74">
        <w:t xml:space="preserve">Entró en vigor la nueva normativa que recoge las limitaciones en los movimientos en el bovino para varias unidades veterinarias de Salamanca de especial incidencia de tuberculosis o ZEI, mediante la cual se prohíbe la entrada o salida de animales excepto los destinados a cebo o matadero según la calificación sanitaria de origen y destino, y la normativa sanitaria vigente. </w:t>
      </w:r>
    </w:p>
    <w:p w14:paraId="48D738E5" w14:textId="77777777" w:rsidR="00F23B5C" w:rsidRDefault="00F23B5C" w:rsidP="004A6B74"/>
    <w:p w14:paraId="13F38999" w14:textId="15E08784" w:rsidR="005C13FB" w:rsidRDefault="005C13FB" w:rsidP="005C13FB">
      <w:r>
        <w:t xml:space="preserve">En mayo la Consejería publicó una serie de medidas respecto a las normas de saneamiento y movimientos ganaderos en Castilla y León. </w:t>
      </w:r>
      <w:r w:rsidRPr="00F23B5C">
        <w:rPr>
          <w:b/>
          <w:bCs/>
        </w:rPr>
        <w:t>Par</w:t>
      </w:r>
      <w:r w:rsidR="004F4426" w:rsidRPr="00F23B5C">
        <w:rPr>
          <w:b/>
          <w:bCs/>
        </w:rPr>
        <w:t>a el Ministerio, la resolución autonómica vulneraba</w:t>
      </w:r>
      <w:r w:rsidR="004F4426" w:rsidRPr="005C13FB">
        <w:t xml:space="preserve"> gravemente la normativa comunitaria y estatal, ya que permit</w:t>
      </w:r>
      <w:r w:rsidRPr="005C13FB">
        <w:t>ía</w:t>
      </w:r>
      <w:r w:rsidR="004F4426" w:rsidRPr="005C13FB">
        <w:t xml:space="preserve"> el movimiento de animales, expresamente prohibido, desde explotaciones con la calificación sanitaria suspendida o retirada. El Ministerio presentó un recurso contencioso-administrativo, aceptado por el Tribunal Superior de Justicia de Castilla y León, contra la resolución autonómica, por fijar un marco normativo más laxo, que contraviene la legislación europea</w:t>
      </w:r>
      <w:r w:rsidRPr="005C13FB">
        <w:t xml:space="preserve"> y</w:t>
      </w:r>
      <w:r>
        <w:t xml:space="preserve"> </w:t>
      </w:r>
      <w:r w:rsidR="002A430C">
        <w:t>ante</w:t>
      </w:r>
      <w:r>
        <w:t xml:space="preserve"> lo cual</w:t>
      </w:r>
      <w:r w:rsidRPr="005C13FB">
        <w:t xml:space="preserve"> la Junta decidió no avanzar en sus propuestas. </w:t>
      </w:r>
    </w:p>
    <w:p w14:paraId="5B9A5C69" w14:textId="77777777" w:rsidR="00F23B5C" w:rsidRPr="005C13FB" w:rsidRDefault="00F23B5C" w:rsidP="005C13FB"/>
    <w:p w14:paraId="0B5F6140" w14:textId="617231A9" w:rsidR="00A90BB0" w:rsidRDefault="00AA1086" w:rsidP="00A90BB0">
      <w:r w:rsidRPr="00AA1086">
        <w:t xml:space="preserve">Con el fin de esclarecer el procedimiento a seguir en las campañas de saneamiento ganadero en Castilla y León, la Dirección General de producción Agrícola y Ganadera elaboró una </w:t>
      </w:r>
      <w:r w:rsidRPr="00F23B5C">
        <w:rPr>
          <w:b/>
          <w:bCs/>
        </w:rPr>
        <w:t>Guía en la que se establecen los criterios</w:t>
      </w:r>
      <w:r w:rsidRPr="00AA1086">
        <w:t xml:space="preserve"> de actuación con los que se completa el </w:t>
      </w:r>
      <w:r w:rsidR="00AB6E49">
        <w:t>P</w:t>
      </w:r>
      <w:r w:rsidRPr="00AA1086">
        <w:t xml:space="preserve">rograma </w:t>
      </w:r>
      <w:r w:rsidR="00AB6E49">
        <w:t>N</w:t>
      </w:r>
      <w:r w:rsidRPr="00AA1086">
        <w:t>acional de erradicación de tuberculosis bovina en todos aquellos aspectos no contemplados y sirve a los veterinarios de los servicios oficiales que participan en la campaña de saneamiento,</w:t>
      </w:r>
      <w:r w:rsidR="00AB6E49">
        <w:t xml:space="preserve"> de</w:t>
      </w:r>
      <w:r w:rsidRPr="00AA1086">
        <w:t xml:space="preserve"> las pautas o criterios generales sobre la forma de proceder para facilitar el ejercicio de sus competencias.</w:t>
      </w:r>
      <w:r w:rsidR="00A90BB0">
        <w:t xml:space="preserve"> Desde la Consejería se convocaron ayudas </w:t>
      </w:r>
      <w:r w:rsidR="00A90BB0" w:rsidRPr="00A90BB0">
        <w:t>destinadas a los titulares de explotaciones ganaderas con prohibición de movimientos a pastos en la zona foco declarada dentro de la zona de especial incidencia para la tuberculosis bovina para compensar las pérdidas por la no utilización de los pastos para la alimentación animal</w:t>
      </w:r>
      <w:r w:rsidR="00683884">
        <w:t>.</w:t>
      </w:r>
    </w:p>
    <w:p w14:paraId="39638BA0" w14:textId="77777777" w:rsidR="00F23B5C" w:rsidRPr="00A90BB0" w:rsidRDefault="00F23B5C" w:rsidP="00A90BB0"/>
    <w:p w14:paraId="385895C6" w14:textId="74E7FDE7" w:rsidR="00982B11" w:rsidRDefault="00982B11" w:rsidP="00982B11">
      <w:r w:rsidRPr="00982B11">
        <w:t xml:space="preserve">En cuanto a la </w:t>
      </w:r>
      <w:r w:rsidRPr="00F23B5C">
        <w:rPr>
          <w:b/>
          <w:bCs/>
        </w:rPr>
        <w:t>lengua azul</w:t>
      </w:r>
      <w:r w:rsidR="00683884">
        <w:t>,</w:t>
      </w:r>
      <w:r w:rsidR="00605168">
        <w:t xml:space="preserve"> desde el Ministerio se publicaron varias modificaciones de las medidas específicas de protección</w:t>
      </w:r>
      <w:r w:rsidR="00467D57">
        <w:t>,</w:t>
      </w:r>
      <w:r w:rsidR="00605168">
        <w:t xml:space="preserve"> determinándose Salamanca, Ávila y varias comarcas de Zamora como z</w:t>
      </w:r>
      <w:r w:rsidR="00605168" w:rsidRPr="00605168">
        <w:t>ona</w:t>
      </w:r>
      <w:r w:rsidR="00467D57">
        <w:t>s</w:t>
      </w:r>
      <w:r w:rsidR="00605168" w:rsidRPr="00605168">
        <w:t xml:space="preserve"> restringida</w:t>
      </w:r>
      <w:r w:rsidR="00467D57">
        <w:t>s</w:t>
      </w:r>
      <w:r w:rsidR="00605168" w:rsidRPr="00605168">
        <w:t xml:space="preserve"> frente al serotipo 1 del virus de la lengua </w:t>
      </w:r>
      <w:r w:rsidR="00605168">
        <w:t xml:space="preserve">azul. Además, como </w:t>
      </w:r>
      <w:r w:rsidR="00605168" w:rsidRPr="00605168">
        <w:t>zona de vacunación voluntaria frente al serotipo 4 del virus de la lengua azul</w:t>
      </w:r>
      <w:r w:rsidR="00605168">
        <w:t xml:space="preserve"> se incluyó Zamora. Desde la </w:t>
      </w:r>
      <w:r w:rsidRPr="00982B11">
        <w:t xml:space="preserve">Dirección General de Producción Agrícola y Ganadera </w:t>
      </w:r>
      <w:r w:rsidR="00467D57">
        <w:t>publicaron</w:t>
      </w:r>
      <w:r w:rsidRPr="00982B11">
        <w:t xml:space="preserve"> </w:t>
      </w:r>
      <w:r>
        <w:t xml:space="preserve">en marzo </w:t>
      </w:r>
      <w:r w:rsidRPr="00982B11">
        <w:t>una serie de aclaraciones en relación con la vacunación, para determinar qué se consideraba como “explotación vacunada pauta completa”, quiénes realizan la vacunación en explotaciones bovinas y ovinas en función de si se ha hecho o no saneamiento anterior y también para las explotaciones ovinas. Asimismo</w:t>
      </w:r>
      <w:r>
        <w:t>,</w:t>
      </w:r>
      <w:r w:rsidRPr="00982B11">
        <w:t xml:space="preserve"> se determinó que el coste de la vacuna durante esta campaña sería asumido por la Consejería de Agricultura, Ganadería y Desarrollo Rural.</w:t>
      </w:r>
    </w:p>
    <w:p w14:paraId="2DDA1FDD" w14:textId="77777777" w:rsidR="00F23B5C" w:rsidRDefault="00F23B5C" w:rsidP="00982B11"/>
    <w:p w14:paraId="77722F87" w14:textId="251F0B26" w:rsidR="00F23B5C" w:rsidRDefault="00467D57" w:rsidP="00B81E65">
      <w:bookmarkStart w:id="8" w:name="_Hlk155269218"/>
      <w:r>
        <w:t xml:space="preserve">Respecto a la </w:t>
      </w:r>
      <w:r w:rsidRPr="00F23B5C">
        <w:rPr>
          <w:b/>
          <w:bCs/>
        </w:rPr>
        <w:t>Enfermedad Hemorrágica Epizoótica</w:t>
      </w:r>
      <w:r>
        <w:t xml:space="preserve">, </w:t>
      </w:r>
      <w:r w:rsidR="00B81E65">
        <w:t xml:space="preserve">en verano se detectaron los primeros casos en las provincias del sur de Castilla y León. En las siguientes semanas la EHE se extendió a todo el territorio regional, y siguió abarcando el territorio de sur a norte, pasando también a Francia. Las provincias más afectadas han sido Salamanca, Ávila y Zamora, aunque ha habido granjas afectadas en todas las demás. El </w:t>
      </w:r>
      <w:r w:rsidRPr="00467D57">
        <w:t xml:space="preserve">Laboratorio Central de Veterinaria (LCV) de </w:t>
      </w:r>
      <w:r w:rsidRPr="00467D57">
        <w:lastRenderedPageBreak/>
        <w:t>Algete, laboratorio nacional de referencia para esta enfermedad</w:t>
      </w:r>
      <w:r w:rsidR="00B81E65">
        <w:t>, fue publicando semanalmente los casos confirmados, tanto en explotaciones ganaderas como en fauna</w:t>
      </w:r>
      <w:r w:rsidR="00B81E65" w:rsidRPr="00B81E65">
        <w:t xml:space="preserve"> </w:t>
      </w:r>
      <w:r w:rsidR="000905EC">
        <w:t xml:space="preserve">silvestre. </w:t>
      </w:r>
      <w:r w:rsidR="00B81E65">
        <w:t xml:space="preserve">La última actualización data del pasado 22 de noviembre. </w:t>
      </w:r>
    </w:p>
    <w:p w14:paraId="69F15099" w14:textId="24053941" w:rsidR="00B81E65" w:rsidRPr="00467D57" w:rsidRDefault="00B81E65" w:rsidP="00B81E65">
      <w:r>
        <w:t xml:space="preserve">A partir de ahí se ha notado una paralización, con la llegada de los meses de invierno. Pero habrá que esperar a la primavera para conocer la evolución de la enfermedad, para la que no se puede esperar que haya vacuna a medio plazo. Por ello, ASAJA ha pedido que las administraciones, Junta y Ministerio, tengan previstas líneas de </w:t>
      </w:r>
      <w:r w:rsidRPr="00F23B5C">
        <w:rPr>
          <w:b/>
          <w:bCs/>
        </w:rPr>
        <w:t>ayudas compensatorias</w:t>
      </w:r>
      <w:r w:rsidR="00467D57" w:rsidRPr="00467D57">
        <w:t xml:space="preserve">. </w:t>
      </w:r>
      <w:r>
        <w:t>Por ahora, solo desde la Consejería se aprobaron ayudas para las explotaciones afectadas desde el 28 de agosto hasta el 16 de octubre (dejando explotaciones sin cubrir) con una cuantía fija en función del tamaño de la explotación y 500€ por animal muerto. Por su parte, el Ministerio no ha hecho ningún desembolso ni ha coordinado ningún plan sanitario ni de control de la enfermedad.</w:t>
      </w:r>
    </w:p>
    <w:bookmarkEnd w:id="8"/>
    <w:p w14:paraId="63BB14B5" w14:textId="310A0F14" w:rsidR="00467D57" w:rsidRPr="00467D57" w:rsidRDefault="00467D57" w:rsidP="00B81E65">
      <w:r w:rsidRPr="00467D57">
        <w:t xml:space="preserve">Según los datos disponibles hasta la fecha, se observa una mayor afectación clínica en animales mayores a 24 meses, machos, de razas no rústicas y en sistema de producción extensivo. Se mantiene la zona </w:t>
      </w:r>
      <w:r w:rsidR="00B8386D">
        <w:t xml:space="preserve">de restricción </w:t>
      </w:r>
      <w:r w:rsidRPr="00467D57">
        <w:t>desde la que se establecen las condiciones para el movimiento directo para vida (no así para sacrificio) por EHE hacia otros Estados miembros de animales bovinos, ovinos y caprinos, afectando a los movimientos procedentes de explotaciones ubicadas en todo el territorio peninsular.</w:t>
      </w:r>
      <w:r>
        <w:t xml:space="preserve"> </w:t>
      </w:r>
      <w:r w:rsidRPr="00467D57">
        <w:t>Respecto a los movimientos nacionales, los animales y vehículos deben estar desinsectados para movimientos desde la zona afectada hacia zona libre, con ausencia de sintomatología en ganado bovino.</w:t>
      </w:r>
      <w:r w:rsidR="00A90BB0">
        <w:t xml:space="preserve"> </w:t>
      </w:r>
    </w:p>
    <w:p w14:paraId="39370ADB" w14:textId="77777777" w:rsidR="00F9243C" w:rsidRDefault="00F9243C" w:rsidP="00A54D51">
      <w:pPr>
        <w:tabs>
          <w:tab w:val="left" w:pos="1010"/>
        </w:tabs>
      </w:pPr>
    </w:p>
    <w:p w14:paraId="40095BFD" w14:textId="77777777" w:rsidR="00D81AB5" w:rsidRDefault="00D81AB5" w:rsidP="00D81AB5">
      <w:pPr>
        <w:jc w:val="center"/>
        <w:rPr>
          <w:b/>
          <w:bCs/>
        </w:rPr>
      </w:pPr>
      <w:r w:rsidRPr="00D96C2D">
        <w:rPr>
          <w:b/>
          <w:bCs/>
        </w:rPr>
        <w:t>AYUDAS EXCEPCIONALES</w:t>
      </w:r>
    </w:p>
    <w:p w14:paraId="134D2985" w14:textId="77777777" w:rsidR="00145CDE" w:rsidRDefault="00145CDE" w:rsidP="00145CDE">
      <w:pPr>
        <w:rPr>
          <w:b/>
          <w:bCs/>
        </w:rPr>
      </w:pPr>
    </w:p>
    <w:p w14:paraId="15404DDD" w14:textId="729641BB" w:rsidR="00145CDE" w:rsidRDefault="00145CDE" w:rsidP="00145CDE">
      <w:r w:rsidRPr="00145CDE">
        <w:t>En febrero Ministerio de Agricultura, Pesca y Alimentación publicó el listado provisional de beneficiarios de</w:t>
      </w:r>
      <w:r w:rsidR="00B8386D">
        <w:t xml:space="preserve"> las</w:t>
      </w:r>
      <w:r w:rsidRPr="00145CDE">
        <w:t xml:space="preserve"> ayudas para compensar la subida de precio de los fertilizantes y el pago</w:t>
      </w:r>
      <w:r w:rsidR="00B8386D">
        <w:t xml:space="preserve"> </w:t>
      </w:r>
      <w:r w:rsidRPr="00145CDE">
        <w:t>no se hizo efectivo hasta el mes de abril. Estas ayudas se publicaron en el Real Decreto Ley 20/2022 de 27 de diciembre por el que se adoptan medidas de respuesta a las consecuencias de la guerra de Ucrania. Castilla y León</w:t>
      </w:r>
      <w:r w:rsidR="00B8386D">
        <w:t xml:space="preserve">, con una superficie total de 2.657.025 hectáreas, </w:t>
      </w:r>
      <w:r w:rsidRPr="00145CDE">
        <w:t xml:space="preserve">recibió un importe global mayor: 68.965.655 euros, que se repartieron entre 39.997 titulares de explotaciones. </w:t>
      </w:r>
    </w:p>
    <w:p w14:paraId="54AB5FA1" w14:textId="4F4D07D5" w:rsidR="00B8386D" w:rsidRPr="009A4B75" w:rsidRDefault="0088065F" w:rsidP="00E259F5">
      <w:r>
        <w:t xml:space="preserve">A mediados de año el </w:t>
      </w:r>
      <w:r w:rsidRPr="0088065F">
        <w:t>Consejo de Ministros prorrogó un cuarto paquete de medidas para compensar la subida de costes de producción provocados a raíz de la invasión rusa de Ucrania y la sequía, entre las que se incluye, en el caso del sector primario, la extensión de las ayudas extraordinarias y temporales para la compra de gasóleo agrario hasta diciembre y ampl</w:t>
      </w:r>
      <w:r>
        <w:t>ió</w:t>
      </w:r>
      <w:r w:rsidRPr="0088065F">
        <w:t xml:space="preserve"> los potenciales beneficiarios de las medidas de acceso al crédito, así como su crédito mediante la línea ICO-MAPA-SAECA a cooperativas, </w:t>
      </w:r>
      <w:r w:rsidRPr="009A4B75">
        <w:t>entre otros.</w:t>
      </w:r>
      <w:r w:rsidR="009A4B75" w:rsidRPr="009A4B75">
        <w:t xml:space="preserve"> </w:t>
      </w:r>
      <w:r w:rsidR="009A4B75" w:rsidRPr="0088065F">
        <w:t xml:space="preserve">El importe de la ayuda </w:t>
      </w:r>
      <w:r w:rsidR="009A4B75" w:rsidRPr="009A4B75">
        <w:t>ascendió</w:t>
      </w:r>
      <w:r w:rsidR="009A4B75" w:rsidRPr="0088065F">
        <w:t xml:space="preserve"> a 10 céntimos por cada litro consumido durante tres meses y a 5 céntimos durante otros tres meses</w:t>
      </w:r>
      <w:r w:rsidR="009A4B75" w:rsidRPr="009A4B75">
        <w:t>.</w:t>
      </w:r>
      <w:r w:rsidR="00DC61EF">
        <w:t xml:space="preserve"> As</w:t>
      </w:r>
      <w:r w:rsidR="00D04802">
        <w:t>i</w:t>
      </w:r>
      <w:r w:rsidR="00DC61EF">
        <w:t>mismo</w:t>
      </w:r>
      <w:r w:rsidR="00F23B5C">
        <w:t>,</w:t>
      </w:r>
      <w:r w:rsidR="00DC61EF">
        <w:t xml:space="preserve"> se determinaron las cuantías de ayuda a los sectores ganaderos de ovino, caprino y vacuno de carne leche y mixtos según la clasificación nacional de zonas de afección de sequía, siendo clasificada Castilla y León como zona de afección media, por lo que los ganaderos sólo percibirían el </w:t>
      </w:r>
      <w:r w:rsidR="00DC61EF" w:rsidRPr="00DC61EF">
        <w:t>50 % de los importes previstos para cada especie y orientación productiva</w:t>
      </w:r>
      <w:r w:rsidR="00DC61EF">
        <w:t xml:space="preserve">. </w:t>
      </w:r>
    </w:p>
    <w:p w14:paraId="35F4C841" w14:textId="60AE6944" w:rsidR="009A4B75" w:rsidRPr="009A4B75" w:rsidRDefault="009A4B75" w:rsidP="009A4B75">
      <w:r w:rsidRPr="009A4B75">
        <w:lastRenderedPageBreak/>
        <w:t xml:space="preserve">En julio el </w:t>
      </w:r>
      <w:r>
        <w:t>M</w:t>
      </w:r>
      <w:r w:rsidRPr="009A4B75">
        <w:t xml:space="preserve">inisterio concretó las ayudas extraordinarias a sectores agrícolas afectados por la sequía y la guerra de Ucrania con la publicación de la Orden por la que se determinaron las cuantías, zonas y cultivos afectados. La dotación presupuestaria </w:t>
      </w:r>
      <w:r>
        <w:t>fue</w:t>
      </w:r>
      <w:r w:rsidRPr="009A4B75">
        <w:t xml:space="preserve"> de 268 millones de euros, siendo el importe unitario máximo </w:t>
      </w:r>
      <w:r w:rsidR="00D04802">
        <w:t>de</w:t>
      </w:r>
      <w:r w:rsidRPr="009A4B75">
        <w:t xml:space="preserve"> 22,5 euros por hectárea subvencionable en zona de afección</w:t>
      </w:r>
      <w:r w:rsidR="00D04802">
        <w:t xml:space="preserve"> media (Burgos, León, Palencia, Soria, Valladolid y Zamora), y de</w:t>
      </w:r>
      <w:r w:rsidR="00D04802" w:rsidRPr="009A4B75">
        <w:t xml:space="preserve"> 45</w:t>
      </w:r>
      <w:r w:rsidR="00D04802">
        <w:t xml:space="preserve"> €/</w:t>
      </w:r>
      <w:proofErr w:type="spellStart"/>
      <w:r w:rsidR="00D04802">
        <w:t>ha</w:t>
      </w:r>
      <w:proofErr w:type="spellEnd"/>
      <w:r w:rsidR="00D04802">
        <w:t xml:space="preserve"> en zona de afección alta (Avila, Salamanca y Segovia)</w:t>
      </w:r>
      <w:r>
        <w:t xml:space="preserve">, siendo beneficiarios aquellos agricultores que contasen en su explotación con </w:t>
      </w:r>
      <w:r w:rsidRPr="009A4B75">
        <w:t>tierras de cultivo de secano, excluidos los pastos temporales, en la campaña agrícola 2023</w:t>
      </w:r>
      <w:r>
        <w:t xml:space="preserve"> con u</w:t>
      </w:r>
      <w:r w:rsidR="00B8386D">
        <w:t>n</w:t>
      </w:r>
      <w:r>
        <w:t xml:space="preserve"> máximo de 300 hectáreas por beneficiario.</w:t>
      </w:r>
      <w:r w:rsidR="00D04802" w:rsidRPr="00D04802">
        <w:t xml:space="preserve"> </w:t>
      </w:r>
    </w:p>
    <w:p w14:paraId="2AA5128A" w14:textId="06BC242F" w:rsidR="00F871D8" w:rsidRDefault="009A4B75" w:rsidP="00F871D8">
      <w:pPr>
        <w:tabs>
          <w:tab w:val="num" w:pos="720"/>
        </w:tabs>
      </w:pPr>
      <w:r>
        <w:t xml:space="preserve">A final de verano la Consejería de Agricultura Ganadería y Desarrollo Rural, publicó la ayuda directa complementaria a las indemnizaciones por siniestros de sequía de </w:t>
      </w:r>
      <w:r w:rsidR="00F871D8">
        <w:t>seguros agrarios (</w:t>
      </w:r>
      <w:proofErr w:type="spellStart"/>
      <w:r w:rsidR="00F871D8">
        <w:t>Agroseguro</w:t>
      </w:r>
      <w:proofErr w:type="spellEnd"/>
      <w:r w:rsidR="00F871D8">
        <w:t xml:space="preserve">) </w:t>
      </w:r>
      <w:r w:rsidR="00F871D8" w:rsidRPr="00F871D8">
        <w:t xml:space="preserve">que se </w:t>
      </w:r>
      <w:r w:rsidR="00F871D8">
        <w:t xml:space="preserve">daría </w:t>
      </w:r>
      <w:r w:rsidR="00F871D8" w:rsidRPr="00F871D8">
        <w:t>de oficio mediante un trámite de autorización.</w:t>
      </w:r>
      <w:r w:rsidR="00F871D8">
        <w:t xml:space="preserve"> Esta ayuda directa estaba dirigida a </w:t>
      </w:r>
      <w:r w:rsidR="00F871D8" w:rsidRPr="00F871D8">
        <w:t xml:space="preserve">titulares </w:t>
      </w:r>
      <w:r w:rsidR="00F871D8">
        <w:t xml:space="preserve">con suscripción en </w:t>
      </w:r>
      <w:r w:rsidR="00F871D8" w:rsidRPr="00F871D8">
        <w:t xml:space="preserve">2022 </w:t>
      </w:r>
      <w:r w:rsidR="00F871D8">
        <w:t xml:space="preserve">de </w:t>
      </w:r>
      <w:r w:rsidR="00F871D8" w:rsidRPr="00F871D8">
        <w:t>una póliza que c</w:t>
      </w:r>
      <w:r w:rsidR="00F871D8">
        <w:t>ubriese</w:t>
      </w:r>
      <w:r w:rsidR="00F871D8" w:rsidRPr="00F871D8">
        <w:t xml:space="preserve"> el riesgo por sequía y que el siniestro por esa causa se </w:t>
      </w:r>
      <w:r w:rsidR="00F871D8">
        <w:t>hubiese</w:t>
      </w:r>
      <w:r w:rsidR="00F871D8" w:rsidRPr="00F871D8">
        <w:t xml:space="preserve"> indemnizado por </w:t>
      </w:r>
      <w:proofErr w:type="spellStart"/>
      <w:r w:rsidR="00F871D8" w:rsidRPr="00F871D8">
        <w:t>Agroseguro</w:t>
      </w:r>
      <w:proofErr w:type="spellEnd"/>
      <w:r w:rsidR="00F871D8">
        <w:t xml:space="preserve">, en concreto para las líneas 309 (herbáceos extensivos), 315 (cultivos forrajeros) y 410 (compensación por pérdida de pastos), </w:t>
      </w:r>
      <w:r w:rsidR="00D04802">
        <w:t xml:space="preserve">siendo </w:t>
      </w:r>
      <w:r w:rsidR="00F871D8">
        <w:t>compensados con</w:t>
      </w:r>
      <w:r w:rsidR="00D04802">
        <w:t xml:space="preserve"> un 25% complementario los agricultores profesionales y con un </w:t>
      </w:r>
      <w:r w:rsidR="00F871D8">
        <w:t>12,5</w:t>
      </w:r>
      <w:r w:rsidR="00D04802">
        <w:t>% el resto. Pa</w:t>
      </w:r>
      <w:r w:rsidR="00F871D8">
        <w:t xml:space="preserve">ra aquellos agricultores sin póliza de seguro, se convocaron posteriormente indemnizaciones bajo el </w:t>
      </w:r>
      <w:r w:rsidR="00F871D8" w:rsidRPr="00F871D8">
        <w:t>compromiso y obligación de suscribir el Seguro Agrario las próximas 3 campañas</w:t>
      </w:r>
      <w:r w:rsidR="00366348">
        <w:t>, siendo beneficiarios un total de 454 agricultores profesionales</w:t>
      </w:r>
      <w:r w:rsidR="00D04802">
        <w:t xml:space="preserve"> hasta el 15 de noviembre</w:t>
      </w:r>
      <w:r w:rsidR="00F871D8" w:rsidRPr="00F871D8">
        <w:t>.</w:t>
      </w:r>
    </w:p>
    <w:p w14:paraId="6E92F818" w14:textId="1C47CDC0" w:rsidR="00366348" w:rsidRPr="00366348" w:rsidRDefault="00F871D8" w:rsidP="00366348">
      <w:pPr>
        <w:tabs>
          <w:tab w:val="num" w:pos="720"/>
        </w:tabs>
      </w:pPr>
      <w:r>
        <w:t xml:space="preserve">En el último trimestre del año, el </w:t>
      </w:r>
      <w:r w:rsidRPr="00F871D8">
        <w:t xml:space="preserve">Ministerio de Agricultura, Pesca y Alimentación </w:t>
      </w:r>
      <w:r>
        <w:t>publicó</w:t>
      </w:r>
      <w:r w:rsidRPr="00F871D8">
        <w:t xml:space="preserve"> el listado definitivo de titulares de explotaciones ganaderas </w:t>
      </w:r>
      <w:r>
        <w:t>que recibirían</w:t>
      </w:r>
      <w:r w:rsidRPr="00F871D8">
        <w:t xml:space="preserve"> la ayuda extraordinaria para compensar la situación debida a la sequía y a las condiciones derivadas del conflicto bélico en Ucrania, por un importe de 332,3 millones de euros. En Castilla y León, </w:t>
      </w:r>
      <w:r w:rsidRPr="00366348">
        <w:t>fueron</w:t>
      </w:r>
      <w:r w:rsidRPr="00F871D8">
        <w:t xml:space="preserve"> 12.698 ganaderos de carne</w:t>
      </w:r>
      <w:r w:rsidR="00B8386D">
        <w:t xml:space="preserve"> de vacuno</w:t>
      </w:r>
      <w:r w:rsidRPr="00F871D8">
        <w:t xml:space="preserve">, ovino y caprino los que </w:t>
      </w:r>
      <w:r w:rsidRPr="00366348">
        <w:t xml:space="preserve">recibirían </w:t>
      </w:r>
      <w:r w:rsidRPr="00F871D8">
        <w:t>la ayuda.</w:t>
      </w:r>
      <w:r w:rsidR="00366348">
        <w:t xml:space="preserve"> </w:t>
      </w:r>
      <w:r w:rsidR="00366348" w:rsidRPr="00366348">
        <w:t>Sin embargo,</w:t>
      </w:r>
      <w:r w:rsidR="00B8386D">
        <w:t xml:space="preserve"> Castilla y León fue injustamente tratada al no incluirse entre las regiones de afección alta de sequía y</w:t>
      </w:r>
      <w:r w:rsidR="00366348" w:rsidRPr="00366348">
        <w:t xml:space="preserve"> la cuantía fue</w:t>
      </w:r>
      <w:r w:rsidRPr="00F871D8">
        <w:t xml:space="preserve"> </w:t>
      </w:r>
      <w:r w:rsidR="00366348" w:rsidRPr="00366348">
        <w:t>d</w:t>
      </w:r>
      <w:r w:rsidRPr="00F871D8">
        <w:t>el 50 por ciento de lo que hubieran recibido si el Ministerio hubiera incluido a Castilla y León, como a otras comunidades autónomas, en zona de afección alta de sequía, en lugar de relegarla a zona media.</w:t>
      </w:r>
    </w:p>
    <w:p w14:paraId="38B79C7E" w14:textId="6BC87D27" w:rsidR="00366348" w:rsidRPr="00366348" w:rsidRDefault="00366348" w:rsidP="00366348">
      <w:pPr>
        <w:tabs>
          <w:tab w:val="num" w:pos="720"/>
        </w:tabs>
      </w:pPr>
      <w:r>
        <w:t xml:space="preserve">Derivado de la especial incidencia de la tuberculosis bovina en la comunidad autónoma, la Consejería convocó subvenciones a titulares de explotaciones con prohibición de movimientos a pastos en zonas de especial incidencia (ZEI) por un presupuesto de </w:t>
      </w:r>
      <w:r w:rsidRPr="00366348">
        <w:t>215</w:t>
      </w:r>
      <w:r w:rsidR="00B8386D">
        <w:t>.</w:t>
      </w:r>
      <w:r w:rsidRPr="00366348">
        <w:t>134</w:t>
      </w:r>
      <w:r w:rsidR="00D04802">
        <w:t>,</w:t>
      </w:r>
      <w:r w:rsidRPr="00366348">
        <w:t>92€</w:t>
      </w:r>
      <w:r>
        <w:t>. El objetivo de éstas fue</w:t>
      </w:r>
      <w:r w:rsidRPr="00366348">
        <w:t xml:space="preserve"> paliar el incremento del gasto en alimentación ocasionado a los ganaderos por las restricciones de movimiento de animales como consecuencia de la declaración de una ZEI al tener que alimentar al ganado en pesebre en vez de a diente en un pasto.</w:t>
      </w:r>
      <w:r>
        <w:t xml:space="preserve"> Se subvencionó un máximo de 1,98 euros por animal y día hasta un tope de 5.000 euros por beneficiario, una ayuda que ASAJA denunció como insuficiente.</w:t>
      </w:r>
    </w:p>
    <w:p w14:paraId="0EE36FB0" w14:textId="6C9090B4" w:rsidR="00D81AB5" w:rsidRDefault="00181390" w:rsidP="00F23B5C">
      <w:r w:rsidRPr="00265A0E">
        <w:t xml:space="preserve">Además, </w:t>
      </w:r>
      <w:r w:rsidR="00265A0E" w:rsidRPr="00265A0E">
        <w:t xml:space="preserve">como en el periodo anterior y </w:t>
      </w:r>
      <w:r w:rsidRPr="00265A0E">
        <w:t>en el marco del Plan de Recuperación, Transformación y Resiliencia, en e</w:t>
      </w:r>
      <w:r w:rsidR="00D81AB5" w:rsidRPr="00265A0E">
        <w:t xml:space="preserve">l segundo </w:t>
      </w:r>
      <w:r w:rsidR="00265A0E" w:rsidRPr="00265A0E">
        <w:t>semestre</w:t>
      </w:r>
      <w:r w:rsidR="00D81AB5" w:rsidRPr="00265A0E">
        <w:t xml:space="preserve"> del año, la Consejería de Agricultura, Ganadería y Desarrollo Rural convocó </w:t>
      </w:r>
      <w:r w:rsidR="0032353E">
        <w:t>cinco</w:t>
      </w:r>
      <w:r w:rsidR="00D81AB5" w:rsidRPr="00265A0E">
        <w:t xml:space="preserve"> líneas de ayudas dentro del plan de impulso de la sostenibilidad y competitividad de la agricultura y la ganadería, </w:t>
      </w:r>
      <w:r w:rsidRPr="00265A0E">
        <w:t xml:space="preserve">dirigidas a </w:t>
      </w:r>
      <w:r w:rsidR="00F23B5C">
        <w:t>diferentes</w:t>
      </w:r>
      <w:r w:rsidRPr="00265A0E">
        <w:t xml:space="preserve"> inversiones</w:t>
      </w:r>
      <w:r w:rsidR="00F23B5C">
        <w:t>.</w:t>
      </w:r>
    </w:p>
    <w:p w14:paraId="2A5AD4B9" w14:textId="794F9531" w:rsidR="0032353E" w:rsidRPr="0032353E" w:rsidRDefault="0032353E" w:rsidP="0032353E">
      <w:r>
        <w:lastRenderedPageBreak/>
        <w:t>Por último y como novedad, este año desde el Ministerio para la Transición ecológica y el Reto Demográfico se convocaron ayudas para la elaboración de proyectos de digitalización de comunidades de usuarios de agua de regadío en el marco del plan de Recuperación, Transformación y Resiliencia (PERTE digitalización del ciclo del agua)</w:t>
      </w:r>
      <w:r w:rsidR="00810CBB">
        <w:t xml:space="preserve"> con un presupuesto de 100.000.000 € y siete líneas de actuación centradas en mejoras tecnológicas y monitorización de calidad y consumo de agua de riego.</w:t>
      </w:r>
    </w:p>
    <w:p w14:paraId="7EACE19A" w14:textId="77777777" w:rsidR="00D81AB5" w:rsidRPr="00C6165A" w:rsidRDefault="00D81AB5" w:rsidP="00D57B4F"/>
    <w:p w14:paraId="4FB48DA9" w14:textId="66DA7B95" w:rsidR="00695091" w:rsidRPr="00C6165A" w:rsidRDefault="00695091" w:rsidP="00221AA0"/>
    <w:p w14:paraId="7E23015E" w14:textId="77777777" w:rsidR="0040157F" w:rsidRPr="00C6165A" w:rsidRDefault="0040157F" w:rsidP="0040157F">
      <w:pPr>
        <w:suppressAutoHyphens/>
        <w:jc w:val="center"/>
        <w:rPr>
          <w:b/>
        </w:rPr>
      </w:pPr>
      <w:r w:rsidRPr="00C6165A">
        <w:rPr>
          <w:b/>
        </w:rPr>
        <w:t>FORMACIÓN</w:t>
      </w:r>
    </w:p>
    <w:p w14:paraId="1FF878BF" w14:textId="77777777" w:rsidR="0040157F" w:rsidRPr="00C6165A" w:rsidRDefault="0040157F" w:rsidP="0040157F">
      <w:pPr>
        <w:suppressAutoHyphens/>
      </w:pPr>
    </w:p>
    <w:p w14:paraId="3307388A" w14:textId="6FC20488" w:rsidR="0040157F" w:rsidRDefault="00D45577" w:rsidP="0040157F">
      <w:pPr>
        <w:suppressAutoHyphens/>
      </w:pPr>
      <w:r w:rsidRPr="00C6165A">
        <w:t xml:space="preserve">A lo largo del año </w:t>
      </w:r>
      <w:r w:rsidR="00924CA5" w:rsidRPr="00C6165A">
        <w:t>202</w:t>
      </w:r>
      <w:r w:rsidR="004A25CF">
        <w:t>3</w:t>
      </w:r>
      <w:r w:rsidR="0040157F" w:rsidRPr="00C6165A">
        <w:t xml:space="preserve"> ASAJA Castilla y León </w:t>
      </w:r>
      <w:r w:rsidRPr="00C6165A">
        <w:t xml:space="preserve">ha </w:t>
      </w:r>
      <w:r w:rsidR="005C13FB">
        <w:t>realizado</w:t>
      </w:r>
      <w:r w:rsidRPr="00C6165A">
        <w:t xml:space="preserve"> </w:t>
      </w:r>
      <w:r w:rsidR="004A25CF">
        <w:t>2</w:t>
      </w:r>
      <w:r w:rsidR="005C13FB">
        <w:t>5</w:t>
      </w:r>
      <w:r w:rsidR="0040157F" w:rsidRPr="00C6165A">
        <w:t xml:space="preserve"> curso</w:t>
      </w:r>
      <w:r w:rsidRPr="00C6165A">
        <w:t>s</w:t>
      </w:r>
      <w:r w:rsidR="0040157F" w:rsidRPr="00C6165A">
        <w:t xml:space="preserve"> de incorporación a la empresa agraria</w:t>
      </w:r>
      <w:r w:rsidR="005C13FB">
        <w:t xml:space="preserve">, de los cuales el 96% se han impartido </w:t>
      </w:r>
      <w:r w:rsidR="0040157F" w:rsidRPr="00C6165A">
        <w:t xml:space="preserve">en la modalidad online, </w:t>
      </w:r>
      <w:r w:rsidRPr="00C6165A">
        <w:t xml:space="preserve">dando </w:t>
      </w:r>
      <w:r w:rsidRPr="00F23B5C">
        <w:rPr>
          <w:b/>
          <w:bCs/>
        </w:rPr>
        <w:t xml:space="preserve">formación a </w:t>
      </w:r>
      <w:r w:rsidR="00E3073F" w:rsidRPr="00F23B5C">
        <w:rPr>
          <w:b/>
          <w:bCs/>
        </w:rPr>
        <w:t>más de 3</w:t>
      </w:r>
      <w:r w:rsidR="004A25CF" w:rsidRPr="00F23B5C">
        <w:rPr>
          <w:b/>
          <w:bCs/>
        </w:rPr>
        <w:t>00</w:t>
      </w:r>
      <w:r w:rsidR="00E3073F" w:rsidRPr="00F23B5C">
        <w:rPr>
          <w:b/>
          <w:bCs/>
        </w:rPr>
        <w:t xml:space="preserve"> alumnos</w:t>
      </w:r>
      <w:r w:rsidRPr="00F23B5C">
        <w:rPr>
          <w:b/>
          <w:bCs/>
        </w:rPr>
        <w:t>, de los cuales</w:t>
      </w:r>
      <w:r w:rsidR="0040157F" w:rsidRPr="00F23B5C">
        <w:rPr>
          <w:b/>
          <w:bCs/>
        </w:rPr>
        <w:t xml:space="preserve"> el </w:t>
      </w:r>
      <w:r w:rsidR="00091B07" w:rsidRPr="00F23B5C">
        <w:rPr>
          <w:b/>
          <w:bCs/>
        </w:rPr>
        <w:t>53</w:t>
      </w:r>
      <w:r w:rsidR="00154C4C" w:rsidRPr="00F23B5C">
        <w:rPr>
          <w:b/>
          <w:bCs/>
        </w:rPr>
        <w:t>%</w:t>
      </w:r>
      <w:r w:rsidR="0040157F" w:rsidRPr="00F23B5C">
        <w:rPr>
          <w:b/>
          <w:bCs/>
        </w:rPr>
        <w:t xml:space="preserve"> </w:t>
      </w:r>
      <w:r w:rsidRPr="00F23B5C">
        <w:rPr>
          <w:b/>
          <w:bCs/>
        </w:rPr>
        <w:t>son</w:t>
      </w:r>
      <w:r w:rsidR="0040157F" w:rsidRPr="00F23B5C">
        <w:rPr>
          <w:b/>
          <w:bCs/>
        </w:rPr>
        <w:t xml:space="preserve"> hombres y el </w:t>
      </w:r>
      <w:r w:rsidR="00091B07" w:rsidRPr="00F23B5C">
        <w:rPr>
          <w:b/>
          <w:bCs/>
        </w:rPr>
        <w:t>47</w:t>
      </w:r>
      <w:r w:rsidR="00154C4C" w:rsidRPr="00F23B5C">
        <w:rPr>
          <w:b/>
          <w:bCs/>
        </w:rPr>
        <w:t>%</w:t>
      </w:r>
      <w:r w:rsidR="0040157F" w:rsidRPr="00F23B5C">
        <w:rPr>
          <w:b/>
          <w:bCs/>
        </w:rPr>
        <w:t xml:space="preserve"> mujeres</w:t>
      </w:r>
      <w:r w:rsidR="00924CA5" w:rsidRPr="00091B07">
        <w:t>, atendiendo la fuerte demanda que está llegando desde los diferentes puntos de la región</w:t>
      </w:r>
      <w:r w:rsidR="0040157F" w:rsidRPr="00091B07">
        <w:t xml:space="preserve">. </w:t>
      </w:r>
      <w:r w:rsidR="00924CA5" w:rsidRPr="00091B07">
        <w:t>ASAJA imparte estos cursos desde una plataforma autonómica en la que colabora el personal técnico de la organización en las distintas provincias, dotando a los cursos de la calidad debida y obteniendo los alumnos los resultados esperados.</w:t>
      </w:r>
    </w:p>
    <w:p w14:paraId="2AD841AF" w14:textId="77777777" w:rsidR="00B81E65" w:rsidRPr="00091B07" w:rsidRDefault="00E0272E" w:rsidP="00B81E65">
      <w:pPr>
        <w:suppressAutoHyphens/>
      </w:pPr>
      <w:r w:rsidRPr="00F00F15">
        <w:t xml:space="preserve">A su vez, se ha impartido formación </w:t>
      </w:r>
      <w:r w:rsidR="00817D9D" w:rsidRPr="00F00F15">
        <w:t>presencial</w:t>
      </w:r>
      <w:r w:rsidRPr="00F00F15">
        <w:t xml:space="preserve">, que apoya la realización de acciones de formación profesional y adquisición de competencias, donde se han aprobado </w:t>
      </w:r>
      <w:r w:rsidR="00091B07" w:rsidRPr="00F00F15">
        <w:t>un escaso</w:t>
      </w:r>
      <w:r w:rsidR="00817D9D" w:rsidRPr="00F00F15">
        <w:t xml:space="preserve"> número de</w:t>
      </w:r>
      <w:r w:rsidRPr="00F00F15">
        <w:t xml:space="preserve"> acciones formativas a las asociaciones provinciales de ASAJA de la región</w:t>
      </w:r>
      <w:r w:rsidR="00091B07" w:rsidRPr="00F00F15">
        <w:t xml:space="preserve"> debido a la reducción del presupuesto asignado a formación para el periodo PEPAC 2023-2027</w:t>
      </w:r>
      <w:r w:rsidRPr="00F00F15">
        <w:t xml:space="preserve">. </w:t>
      </w:r>
      <w:r w:rsidR="00091B07" w:rsidRPr="00F00F15">
        <w:t xml:space="preserve">De este modo se han quedado fuera cursos importantes </w:t>
      </w:r>
      <w:r w:rsidR="00B8386D">
        <w:t xml:space="preserve">y necesarios </w:t>
      </w:r>
      <w:r w:rsidR="00091B07" w:rsidRPr="00F00F15">
        <w:t xml:space="preserve">como los de Bienestar Animal en el Transporte de Animales y </w:t>
      </w:r>
      <w:r w:rsidR="00DC61EF">
        <w:t>los</w:t>
      </w:r>
      <w:r w:rsidR="00091B07" w:rsidRPr="00F00F15">
        <w:t xml:space="preserve"> de Usuario Profesional de productos fitosanitarios, nivel básico y cualificado.</w:t>
      </w:r>
      <w:r w:rsidR="00B81E65">
        <w:t xml:space="preserve"> Por parte de nuestras organizaciones provinciales, se han transmitido quejas a la Consejería por la eliminación de la subvención que permitía impartir gratuitamente formación obligatoria para el agricultor y ganadero.</w:t>
      </w:r>
    </w:p>
    <w:p w14:paraId="6A8F620A" w14:textId="3D0D2EEA" w:rsidR="00E0272E" w:rsidRPr="00F00F15" w:rsidRDefault="00E0272E" w:rsidP="0040157F">
      <w:pPr>
        <w:suppressAutoHyphens/>
      </w:pPr>
      <w:r w:rsidRPr="00F00F15">
        <w:t>A</w:t>
      </w:r>
      <w:r w:rsidR="0040157F" w:rsidRPr="00F00F15">
        <w:t>demás</w:t>
      </w:r>
      <w:r w:rsidRPr="00F00F15">
        <w:t>, se han impartido cursos y jornadas con temática novedosa, que pretenden contribuir a la mejora del sector y la fijación de población en el medio rural, tales como</w:t>
      </w:r>
      <w:r w:rsidR="007C59C6" w:rsidRPr="00F00F15">
        <w:t xml:space="preserve"> </w:t>
      </w:r>
      <w:r w:rsidR="0056444B" w:rsidRPr="00F00F15">
        <w:t>“</w:t>
      </w:r>
      <w:r w:rsidR="00091B07" w:rsidRPr="00F00F15">
        <w:t>influencia de las especies cinegéticas en la difusión de enfermedades en ovino y vacuno extensivo”, “agricultura 4.0.”, “poda en injerto en viñedo”, “uso y manejo de GPS”, “elaboración artesanal de vinos y cata”</w:t>
      </w:r>
      <w:r w:rsidR="00F00F15" w:rsidRPr="00F00F15">
        <w:t>, “competitividad en el sector agroalimentario: innovación y digitalización”, “el sector bovino en España: análisis del RD 1053/2022”, “el sector agropecuario: impacto ambiental y objetivos del pacto verde europeo”, “jornada de nutrición de suelos sostenible”</w:t>
      </w:r>
      <w:r w:rsidR="00F00F15">
        <w:t>.</w:t>
      </w:r>
    </w:p>
    <w:p w14:paraId="7DF82769" w14:textId="7C2DBB23" w:rsidR="00A76B23" w:rsidRPr="003D2C13" w:rsidRDefault="00A76B23" w:rsidP="00D81AB5">
      <w:pPr>
        <w:suppressAutoHyphens/>
        <w:jc w:val="center"/>
        <w:rPr>
          <w:highlight w:val="yellow"/>
        </w:rPr>
      </w:pPr>
    </w:p>
    <w:p w14:paraId="01713ACF" w14:textId="77777777" w:rsidR="007460F3" w:rsidRPr="003D2C13" w:rsidRDefault="007460F3" w:rsidP="00D81AB5">
      <w:pPr>
        <w:suppressAutoHyphens/>
        <w:jc w:val="center"/>
        <w:rPr>
          <w:highlight w:val="yellow"/>
        </w:rPr>
      </w:pPr>
    </w:p>
    <w:p w14:paraId="3FF4EE84" w14:textId="77777777" w:rsidR="00D81AB5" w:rsidRPr="003D7BA1" w:rsidRDefault="00D81AB5" w:rsidP="00D81AB5">
      <w:pPr>
        <w:suppressAutoHyphens/>
        <w:jc w:val="center"/>
        <w:rPr>
          <w:b/>
          <w:bCs/>
        </w:rPr>
      </w:pPr>
      <w:r w:rsidRPr="003D7BA1">
        <w:rPr>
          <w:b/>
          <w:bCs/>
        </w:rPr>
        <w:t>PAC</w:t>
      </w:r>
    </w:p>
    <w:p w14:paraId="326F1BFD" w14:textId="77777777" w:rsidR="00D81AB5" w:rsidRPr="003D2C13" w:rsidRDefault="00D81AB5" w:rsidP="00D81AB5">
      <w:pPr>
        <w:suppressAutoHyphens/>
        <w:rPr>
          <w:highlight w:val="yellow"/>
        </w:rPr>
      </w:pPr>
    </w:p>
    <w:p w14:paraId="6B91912C" w14:textId="14FFBA8A" w:rsidR="00D81AB5" w:rsidRPr="00A26B98" w:rsidRDefault="00D81AB5" w:rsidP="00D81AB5">
      <w:pPr>
        <w:suppressAutoHyphens/>
      </w:pPr>
      <w:r w:rsidRPr="003D7BA1">
        <w:t>En la campaña PAC 202</w:t>
      </w:r>
      <w:r w:rsidR="003D7BA1" w:rsidRPr="003D7BA1">
        <w:t>3</w:t>
      </w:r>
      <w:r w:rsidRPr="003D7BA1">
        <w:t xml:space="preserve"> </w:t>
      </w:r>
      <w:r w:rsidRPr="003D7BA1">
        <w:rPr>
          <w:b/>
          <w:bCs/>
        </w:rPr>
        <w:t xml:space="preserve">el número de solicitantes </w:t>
      </w:r>
      <w:r w:rsidR="00DC61EF">
        <w:rPr>
          <w:b/>
          <w:bCs/>
        </w:rPr>
        <w:t xml:space="preserve">en Castilla y León </w:t>
      </w:r>
      <w:r w:rsidRPr="003D7BA1">
        <w:rPr>
          <w:b/>
          <w:bCs/>
        </w:rPr>
        <w:t xml:space="preserve">descendió hasta </w:t>
      </w:r>
      <w:r w:rsidR="003D7BA1" w:rsidRPr="003D7BA1">
        <w:rPr>
          <w:b/>
          <w:bCs/>
        </w:rPr>
        <w:t>65.543</w:t>
      </w:r>
      <w:r w:rsidRPr="003D7BA1">
        <w:t xml:space="preserve">, un </w:t>
      </w:r>
      <w:r w:rsidR="003D7BA1" w:rsidRPr="003D7BA1">
        <w:t>3,2</w:t>
      </w:r>
      <w:r w:rsidRPr="003D7BA1">
        <w:t>% menos que las presentadas el pasado año</w:t>
      </w:r>
      <w:r w:rsidRPr="00A26B98">
        <w:t>. En la última década se ha producido una bajada</w:t>
      </w:r>
      <w:r w:rsidR="00DC61EF">
        <w:t xml:space="preserve"> de solicitudes</w:t>
      </w:r>
      <w:r w:rsidRPr="00A26B98">
        <w:t xml:space="preserve"> </w:t>
      </w:r>
      <w:r w:rsidR="00DC61EF">
        <w:t>del 30%,</w:t>
      </w:r>
      <w:r w:rsidRPr="00A26B98">
        <w:t xml:space="preserve"> </w:t>
      </w:r>
      <w:r w:rsidR="00A26B98" w:rsidRPr="00A26B98">
        <w:t>28.115</w:t>
      </w:r>
      <w:r w:rsidRPr="00A26B98">
        <w:t xml:space="preserve"> solicitudes</w:t>
      </w:r>
      <w:r w:rsidR="00DC61EF">
        <w:t xml:space="preserve"> menos</w:t>
      </w:r>
      <w:r w:rsidRPr="00A26B98">
        <w:t>. El descenso es apreciable en toda la comunidad autónoma, con porcentajes que oscilan entre el 2</w:t>
      </w:r>
      <w:r w:rsidR="00A26B98" w:rsidRPr="00A26B98">
        <w:t>2</w:t>
      </w:r>
      <w:r w:rsidRPr="00A26B98">
        <w:t xml:space="preserve"> y el 3</w:t>
      </w:r>
      <w:r w:rsidR="00A26B98" w:rsidRPr="00A26B98">
        <w:t>6</w:t>
      </w:r>
      <w:r w:rsidRPr="00A26B98">
        <w:t xml:space="preserve"> por ciento, según provincias. </w:t>
      </w:r>
    </w:p>
    <w:p w14:paraId="4A7B4423" w14:textId="19A20728" w:rsidR="00D81AB5" w:rsidRDefault="00D81AB5" w:rsidP="00D81AB5">
      <w:pPr>
        <w:suppressAutoHyphens/>
      </w:pPr>
      <w:r w:rsidRPr="00A26B98">
        <w:lastRenderedPageBreak/>
        <w:t xml:space="preserve">Aunque el número global de PAC presentadas en Castilla y León ha descendido, </w:t>
      </w:r>
      <w:r w:rsidRPr="00F23B5C">
        <w:rPr>
          <w:b/>
          <w:bCs/>
        </w:rPr>
        <w:t xml:space="preserve">por el contrario, ha aumentado el número de expedientes presentados por ASAJA, </w:t>
      </w:r>
      <w:r w:rsidRPr="00A26B98">
        <w:t xml:space="preserve">sumando </w:t>
      </w:r>
      <w:r w:rsidR="00A26B98" w:rsidRPr="00A26B98">
        <w:t>15.113</w:t>
      </w:r>
      <w:r w:rsidRPr="00A26B98">
        <w:t>, el 2</w:t>
      </w:r>
      <w:r w:rsidR="00A26B98" w:rsidRPr="00A26B98">
        <w:t>3</w:t>
      </w:r>
      <w:r w:rsidRPr="00A26B98">
        <w:t xml:space="preserve"> por ciento del total, y siendo la primera entidad gestora a gran distancia del resto. En ASAJA ha ocurrido justo lo contrario que en el global de la región, tramitando hoy un 4</w:t>
      </w:r>
      <w:r w:rsidR="00A26B98" w:rsidRPr="00A26B98">
        <w:t>8</w:t>
      </w:r>
      <w:r w:rsidRPr="00A26B98">
        <w:t xml:space="preserve"> por ciento más de PAC que hace diez años.</w:t>
      </w:r>
    </w:p>
    <w:p w14:paraId="7070AE99" w14:textId="77777777" w:rsidR="00F23B5C" w:rsidRPr="00A26B98" w:rsidRDefault="00F23B5C" w:rsidP="00D81AB5">
      <w:pPr>
        <w:suppressAutoHyphens/>
      </w:pPr>
    </w:p>
    <w:p w14:paraId="30685F28" w14:textId="4468A27A" w:rsidR="004D05C3" w:rsidRDefault="00DC61EF" w:rsidP="004D05C3">
      <w:pPr>
        <w:suppressAutoHyphens/>
      </w:pPr>
      <w:r>
        <w:t xml:space="preserve">Siendo el primer año de aplicación de la nueva PAC y teniendo en cuenta </w:t>
      </w:r>
      <w:r w:rsidR="0035257D" w:rsidRPr="0035257D">
        <w:t xml:space="preserve">las condiciones climatológicas especiales de este año, desde ASAJA se han </w:t>
      </w:r>
      <w:r w:rsidR="0035257D" w:rsidRPr="00F23B5C">
        <w:rPr>
          <w:b/>
          <w:bCs/>
        </w:rPr>
        <w:t>solicitado flexibilizaciones</w:t>
      </w:r>
      <w:r w:rsidR="0035257D" w:rsidRPr="0035257D">
        <w:t xml:space="preserve"> a la normativa reguladora</w:t>
      </w:r>
      <w:r w:rsidR="0035257D">
        <w:t xml:space="preserve"> con el fin de favorecer el cumplimiento por parte de los beneficiarios. De este modo </w:t>
      </w:r>
      <w:r w:rsidR="004D05C3">
        <w:t>t</w:t>
      </w:r>
      <w:r w:rsidR="004D05C3" w:rsidRPr="004D05C3">
        <w:t>ras la publicación del Real Decreto-ley 4/2023, de 11 de mayo, que establece, entre otras, medidas de apoyo al sector agrario debido a la persistencia de una situación caracterizada por la concurrencia prolongada de una inusual escasez de precipitaciones</w:t>
      </w:r>
      <w:r w:rsidR="004D05C3">
        <w:t xml:space="preserve">, desde la Consejería se concretaron determinadas excepcionalidades sobre las normas de condicionalidad reforzada y condiciones de cumplimiento de los ecorregimenes. En concreto para la condicionalidad reforzada se permitió la siega de las franjas de protección de los márgenes de los ríos (BCAM 4), </w:t>
      </w:r>
      <w:r w:rsidR="004D05C3" w:rsidRPr="004D05C3">
        <w:t xml:space="preserve">la realización de labores rápidas de poca profundidad que </w:t>
      </w:r>
      <w:r w:rsidR="004D05C3">
        <w:t>para</w:t>
      </w:r>
      <w:r w:rsidR="004D05C3" w:rsidRPr="004D05C3">
        <w:t xml:space="preserve"> la incorporación al horizonte superficial del suelo cultivos que no </w:t>
      </w:r>
      <w:r w:rsidR="004D05C3">
        <w:t>se</w:t>
      </w:r>
      <w:r w:rsidR="004D05C3" w:rsidRPr="004D05C3">
        <w:t xml:space="preserve"> </w:t>
      </w:r>
      <w:r w:rsidR="004D05C3">
        <w:t>cosechasen</w:t>
      </w:r>
      <w:r w:rsidR="004D05C3" w:rsidRPr="004D05C3">
        <w:t xml:space="preserve"> </w:t>
      </w:r>
      <w:r w:rsidR="004D05C3">
        <w:t>y</w:t>
      </w:r>
      <w:r w:rsidR="004D05C3" w:rsidRPr="004D05C3">
        <w:t xml:space="preserve"> vegetación adventicia acumulada</w:t>
      </w:r>
      <w:r w:rsidR="004D05C3">
        <w:t xml:space="preserve"> (BCAM 6) y el pastoreo de los barbechos (BCAM 8.1). Respecto a los ecorregimenes se redujo la carga ganadera de pastos (P1), se adelantó la fecha permitida de siega o pastoreo de las islas de biodiversidad (P2A), se autorizó un único corte en las siegas sostenibles (P2B), </w:t>
      </w:r>
      <w:r w:rsidR="006A1039">
        <w:t xml:space="preserve">el barbecho fue admitido en rotaciones con especies mejorantes (P3), </w:t>
      </w:r>
      <w:proofErr w:type="spellStart"/>
      <w:r w:rsidR="006A1039">
        <w:t>etc</w:t>
      </w:r>
      <w:proofErr w:type="spellEnd"/>
      <w:r w:rsidR="006A1039">
        <w:t>… Asimismo se flexibilizaron las ayudas asociadas a la producción sostenible de proteína vegetal, las ayudas agroambientales, las de agricultura ecológica, cultivos minoritarios, agroecosistemas extensivos de secano y las relativas a las zonas con limitaciones.</w:t>
      </w:r>
    </w:p>
    <w:p w14:paraId="4AE11279" w14:textId="77777777" w:rsidR="00F23B5C" w:rsidRPr="004D05C3" w:rsidRDefault="00F23B5C" w:rsidP="004D05C3">
      <w:pPr>
        <w:suppressAutoHyphens/>
      </w:pPr>
    </w:p>
    <w:p w14:paraId="5A5166F9" w14:textId="7EA22CC3" w:rsidR="009751DB" w:rsidRPr="009751DB" w:rsidRDefault="00D81AB5" w:rsidP="009751DB">
      <w:pPr>
        <w:suppressAutoHyphens/>
      </w:pPr>
      <w:r w:rsidRPr="009751DB">
        <w:t xml:space="preserve">La Consejería de Agricultura y Ganadería comenzó a </w:t>
      </w:r>
      <w:r w:rsidRPr="00F23B5C">
        <w:rPr>
          <w:b/>
          <w:bCs/>
        </w:rPr>
        <w:t>anticipar en octubre las ayudas directas</w:t>
      </w:r>
      <w:r w:rsidRPr="009751DB">
        <w:t xml:space="preserve"> de la PAC</w:t>
      </w:r>
      <w:r w:rsidR="009751DB" w:rsidRPr="009751DB">
        <w:t xml:space="preserve"> por un total de 478,128 millones de euros. Así, se transfirieron los importes correspondientes al 70% de las ayudas directas por superficies solicitadas por los 52.934 agricultores y ganaderos en el primer semestre de 2023, para facilitar al sector el poder afrontar el inicio de las labores de la nueva campaña de siembra, así como inyectar liquidez en el caso de las explotaciones ganaderas, en un año complicado.</w:t>
      </w:r>
      <w:r w:rsidR="009751DB">
        <w:t xml:space="preserve"> Y en noviembre ejecutaron un segundo pago </w:t>
      </w:r>
      <w:r w:rsidR="009751DB" w:rsidRPr="009751DB">
        <w:t>mediante la transferencia de un importe, en concepto de anticipos, cercano a los 600 millones de euros</w:t>
      </w:r>
      <w:r w:rsidR="009751DB">
        <w:t xml:space="preserve"> </w:t>
      </w:r>
      <w:r w:rsidR="009751DB" w:rsidRPr="009751DB">
        <w:t>de las ayudas asociadas a todos los sectores ganaderos</w:t>
      </w:r>
      <w:r w:rsidR="009751DB">
        <w:t xml:space="preserve"> (v</w:t>
      </w:r>
      <w:r w:rsidR="009751DB" w:rsidRPr="009751DB">
        <w:t>acuno lechero, vacas nodrizas y ovino-caprino tanto de carne como de leche</w:t>
      </w:r>
      <w:r w:rsidR="009751DB">
        <w:t>)</w:t>
      </w:r>
      <w:r w:rsidR="009751DB" w:rsidRPr="009751DB">
        <w:t>, por un importe global superior a los 59 millones de euros</w:t>
      </w:r>
      <w:r w:rsidR="009751DB">
        <w:t>.</w:t>
      </w:r>
    </w:p>
    <w:p w14:paraId="3822D2A5" w14:textId="7FE849D3" w:rsidR="009751DB" w:rsidRPr="009751DB" w:rsidRDefault="009751DB" w:rsidP="009751DB">
      <w:pPr>
        <w:suppressAutoHyphens/>
      </w:pPr>
    </w:p>
    <w:p w14:paraId="1B5992C3" w14:textId="292C1BCF" w:rsidR="009751DB" w:rsidRDefault="009751DB" w:rsidP="00D81AB5">
      <w:pPr>
        <w:suppressAutoHyphens/>
        <w:rPr>
          <w:highlight w:val="yellow"/>
        </w:rPr>
      </w:pPr>
    </w:p>
    <w:p w14:paraId="591D1870" w14:textId="675C3A7F" w:rsidR="00D81AB5" w:rsidRPr="009103CF" w:rsidRDefault="00D81AB5" w:rsidP="00D81AB5">
      <w:pPr>
        <w:jc w:val="center"/>
        <w:rPr>
          <w:b/>
          <w:bCs/>
        </w:rPr>
      </w:pPr>
      <w:r w:rsidRPr="009103CF">
        <w:rPr>
          <w:b/>
          <w:bCs/>
        </w:rPr>
        <w:t>MEDIOS DE PRODUCCIÓN</w:t>
      </w:r>
    </w:p>
    <w:p w14:paraId="4C3F726E" w14:textId="77777777" w:rsidR="00D81AB5" w:rsidRPr="009103CF" w:rsidRDefault="00D81AB5" w:rsidP="00D81AB5">
      <w:pPr>
        <w:rPr>
          <w:bCs/>
        </w:rPr>
      </w:pPr>
    </w:p>
    <w:p w14:paraId="10DF3EFF" w14:textId="674D7433" w:rsidR="00D81AB5" w:rsidRPr="003D2C13" w:rsidRDefault="00D81AB5" w:rsidP="00D81AB5">
      <w:pPr>
        <w:rPr>
          <w:bCs/>
          <w:highlight w:val="yellow"/>
        </w:rPr>
      </w:pPr>
      <w:r w:rsidRPr="009103CF">
        <w:rPr>
          <w:bCs/>
        </w:rPr>
        <w:t xml:space="preserve">El </w:t>
      </w:r>
      <w:r w:rsidRPr="009103CF">
        <w:rPr>
          <w:b/>
          <w:bCs/>
        </w:rPr>
        <w:t xml:space="preserve">precio medio de la tierra de cultivo </w:t>
      </w:r>
      <w:r w:rsidRPr="009103CF">
        <w:rPr>
          <w:bCs/>
        </w:rPr>
        <w:t xml:space="preserve">en Castilla y León se ha incrementado un </w:t>
      </w:r>
      <w:r w:rsidR="009103CF" w:rsidRPr="009103CF">
        <w:rPr>
          <w:bCs/>
        </w:rPr>
        <w:t>3,83</w:t>
      </w:r>
      <w:r w:rsidRPr="009103CF">
        <w:rPr>
          <w:bCs/>
        </w:rPr>
        <w:t>% en 202</w:t>
      </w:r>
      <w:r w:rsidR="009103CF" w:rsidRPr="009103CF">
        <w:rPr>
          <w:bCs/>
        </w:rPr>
        <w:t>2</w:t>
      </w:r>
      <w:r w:rsidR="00B81E65">
        <w:rPr>
          <w:bCs/>
        </w:rPr>
        <w:t xml:space="preserve">, un alza superior a la registrada en el país. </w:t>
      </w:r>
      <w:r w:rsidRPr="009103CF">
        <w:rPr>
          <w:bCs/>
        </w:rPr>
        <w:t>De media, en Castilla y León la hectárea agrícola se paga a 6.</w:t>
      </w:r>
      <w:r w:rsidR="009103CF" w:rsidRPr="009103CF">
        <w:rPr>
          <w:bCs/>
        </w:rPr>
        <w:t>321</w:t>
      </w:r>
      <w:r w:rsidRPr="009103CF">
        <w:rPr>
          <w:bCs/>
        </w:rPr>
        <w:t>€, por debajo de la media nacional, que son 10.</w:t>
      </w:r>
      <w:r w:rsidR="009103CF" w:rsidRPr="009103CF">
        <w:rPr>
          <w:bCs/>
        </w:rPr>
        <w:t>263</w:t>
      </w:r>
      <w:r w:rsidRPr="009103CF">
        <w:rPr>
          <w:bCs/>
        </w:rPr>
        <w:t xml:space="preserve"> euros/ha. </w:t>
      </w:r>
    </w:p>
    <w:p w14:paraId="25326F20" w14:textId="216FBA1F" w:rsidR="00EB6FFF" w:rsidRPr="00EB6FFF" w:rsidRDefault="00D81AB5" w:rsidP="00EB6FFF">
      <w:pPr>
        <w:rPr>
          <w:bCs/>
        </w:rPr>
      </w:pPr>
      <w:r w:rsidRPr="00FF14DC">
        <w:rPr>
          <w:bCs/>
        </w:rPr>
        <w:lastRenderedPageBreak/>
        <w:t xml:space="preserve">Si atendemos al aprovechamiento, la tierra mayoritaria en nuestra Comunidad, herbáceos de secano-barbecho, soportó el mayor crecimiento de todas las comunidades, un </w:t>
      </w:r>
      <w:r w:rsidR="00FF14DC" w:rsidRPr="00FF14DC">
        <w:rPr>
          <w:bCs/>
        </w:rPr>
        <w:t>4,7</w:t>
      </w:r>
      <w:r w:rsidRPr="00FF14DC">
        <w:rPr>
          <w:bCs/>
        </w:rPr>
        <w:t xml:space="preserve">% (la media nacional creció un </w:t>
      </w:r>
      <w:r w:rsidR="00FF14DC" w:rsidRPr="00FF14DC">
        <w:rPr>
          <w:bCs/>
        </w:rPr>
        <w:t>2,3</w:t>
      </w:r>
      <w:r w:rsidRPr="00FF14DC">
        <w:rPr>
          <w:bCs/>
        </w:rPr>
        <w:t xml:space="preserve">%), mientras que la hectárea de regadío subió un </w:t>
      </w:r>
      <w:r w:rsidR="00FF14DC" w:rsidRPr="00FF14DC">
        <w:rPr>
          <w:bCs/>
        </w:rPr>
        <w:t>1,4</w:t>
      </w:r>
      <w:r w:rsidRPr="00FF14DC">
        <w:rPr>
          <w:bCs/>
        </w:rPr>
        <w:t>% (</w:t>
      </w:r>
      <w:r w:rsidR="00FF14DC" w:rsidRPr="00FF14DC">
        <w:rPr>
          <w:bCs/>
        </w:rPr>
        <w:t>1,5</w:t>
      </w:r>
      <w:r w:rsidRPr="00FF14DC">
        <w:rPr>
          <w:bCs/>
        </w:rPr>
        <w:t xml:space="preserve">% en España) y el viñedo de vinificación de secano se </w:t>
      </w:r>
      <w:r w:rsidR="00FF14DC" w:rsidRPr="00FF14DC">
        <w:rPr>
          <w:bCs/>
        </w:rPr>
        <w:t>aumentó un 3,1</w:t>
      </w:r>
      <w:r w:rsidRPr="00FF14DC">
        <w:rPr>
          <w:bCs/>
        </w:rPr>
        <w:t xml:space="preserve">% </w:t>
      </w:r>
      <w:r w:rsidR="00FF14DC" w:rsidRPr="00FF14DC">
        <w:rPr>
          <w:bCs/>
        </w:rPr>
        <w:t>(0,4</w:t>
      </w:r>
      <w:r w:rsidRPr="00FF14DC">
        <w:rPr>
          <w:bCs/>
        </w:rPr>
        <w:t xml:space="preserve">% a nivel nacional). </w:t>
      </w:r>
      <w:r w:rsidR="00EB6FFF" w:rsidRPr="00EB6FFF">
        <w:rPr>
          <w:bCs/>
        </w:rPr>
        <w:t>Las tierras ocupadas por uva de vinificación secano aumentaron su precio un 3,1% siendo el tipo de tierra más cotizada y el que presenta mayores oscilaciones entre provincias. La hectárea de Aprovechamientos (prados y praderas permanentes y otras superficies para pastos), también se incrementó un 3,4% respecto al 2021, siendo únicamente superior el crecimiento registrado en Extremadura (4,9%).</w:t>
      </w:r>
    </w:p>
    <w:p w14:paraId="58E587BF" w14:textId="1ADDF16C" w:rsidR="005A41D8" w:rsidRPr="00FF14DC" w:rsidRDefault="005A41D8" w:rsidP="00D81AB5">
      <w:pPr>
        <w:rPr>
          <w:bCs/>
        </w:rPr>
      </w:pPr>
    </w:p>
    <w:p w14:paraId="1160E179" w14:textId="09F6ECC4" w:rsidR="006755FC" w:rsidRDefault="00D81AB5" w:rsidP="00FF14DC">
      <w:pPr>
        <w:rPr>
          <w:bCs/>
        </w:rPr>
      </w:pPr>
      <w:r w:rsidRPr="00FF14DC">
        <w:rPr>
          <w:bCs/>
        </w:rPr>
        <w:t xml:space="preserve">Respecto a los precios de </w:t>
      </w:r>
      <w:r w:rsidRPr="00FF14DC">
        <w:rPr>
          <w:b/>
          <w:bCs/>
        </w:rPr>
        <w:t xml:space="preserve">arrendamiento, </w:t>
      </w:r>
      <w:r w:rsidRPr="00FF14DC">
        <w:rPr>
          <w:bCs/>
        </w:rPr>
        <w:t xml:space="preserve">en Castilla y León el incremento medio del canon de arrendamiento de la tierra </w:t>
      </w:r>
      <w:r w:rsidR="000F132B">
        <w:rPr>
          <w:bCs/>
        </w:rPr>
        <w:t xml:space="preserve">de cultivo </w:t>
      </w:r>
      <w:r w:rsidRPr="00FF14DC">
        <w:rPr>
          <w:bCs/>
        </w:rPr>
        <w:t>a precios corrientes en el 202</w:t>
      </w:r>
      <w:r w:rsidR="00FF14DC" w:rsidRPr="00FF14DC">
        <w:rPr>
          <w:bCs/>
        </w:rPr>
        <w:t>2</w:t>
      </w:r>
      <w:r w:rsidRPr="00FF14DC">
        <w:rPr>
          <w:bCs/>
        </w:rPr>
        <w:t xml:space="preserve">, último año con datos, fue de </w:t>
      </w:r>
      <w:r w:rsidR="00FF14DC" w:rsidRPr="00FF14DC">
        <w:rPr>
          <w:bCs/>
        </w:rPr>
        <w:t>5,7</w:t>
      </w:r>
      <w:r w:rsidRPr="00FF14DC">
        <w:rPr>
          <w:bCs/>
        </w:rPr>
        <w:t>%, y mantiene la tendencia ascendente de los últimos años, situándose en 1</w:t>
      </w:r>
      <w:r w:rsidR="00FF14DC" w:rsidRPr="00FF14DC">
        <w:rPr>
          <w:bCs/>
        </w:rPr>
        <w:t>4</w:t>
      </w:r>
      <w:r w:rsidRPr="00FF14DC">
        <w:rPr>
          <w:bCs/>
        </w:rPr>
        <w:t>8 euros por hectárea.</w:t>
      </w:r>
      <w:r w:rsidR="00F23B5C">
        <w:rPr>
          <w:bCs/>
        </w:rPr>
        <w:t xml:space="preserve"> </w:t>
      </w:r>
      <w:r w:rsidR="006755FC" w:rsidRPr="006755FC">
        <w:rPr>
          <w:bCs/>
        </w:rPr>
        <w:t>El canon que más sube es el de las tierras de tipo “viñedo”, con un 13,7 %. Le sigue en importancia el canon de las tierras “Herbáceos regadío”, que incrementan su canon de arrendamiento en un 6,1 %. El canon de arrendamiento de las tierras de “Herbáceos secano-barbecho” aumenta el 5,8 %</w:t>
      </w:r>
      <w:r w:rsidR="006755FC">
        <w:rPr>
          <w:bCs/>
        </w:rPr>
        <w:t xml:space="preserve">, y para </w:t>
      </w:r>
      <w:r w:rsidR="006755FC" w:rsidRPr="006755FC">
        <w:rPr>
          <w:bCs/>
        </w:rPr>
        <w:t>los prados y praderas de secano, el porcentaje de incremento es 5,2 %; en otras superficies de pastos de secano es del 3,4 %.</w:t>
      </w:r>
    </w:p>
    <w:p w14:paraId="1F59C491" w14:textId="2512296C" w:rsidR="005A41D8" w:rsidRDefault="00FF14DC" w:rsidP="00D81AB5">
      <w:pPr>
        <w:rPr>
          <w:bCs/>
        </w:rPr>
      </w:pPr>
      <w:r w:rsidRPr="00FF14DC">
        <w:rPr>
          <w:bCs/>
        </w:rPr>
        <w:t xml:space="preserve">Hay que destacar las repercusiones de esta burbuja de precios en la rentabilidad de los agricultores, ya que en Castilla y León </w:t>
      </w:r>
      <w:r w:rsidR="006755FC" w:rsidRPr="006755FC">
        <w:rPr>
          <w:bCs/>
        </w:rPr>
        <w:t>muchas</w:t>
      </w:r>
      <w:r w:rsidRPr="00FF14DC">
        <w:rPr>
          <w:bCs/>
        </w:rPr>
        <w:t xml:space="preserve"> de las tierras de las explotaciones profesionales son en arrendamiento. </w:t>
      </w:r>
      <w:r w:rsidR="00EB6FFF" w:rsidRPr="00EB6FFF">
        <w:rPr>
          <w:bCs/>
        </w:rPr>
        <w:t>Desde ASAJA venimos denunciando que las subidas en los arrendamientos se producen independientemente de la rentabilidad de la agricultura, como puede comprobarse este año.</w:t>
      </w:r>
    </w:p>
    <w:p w14:paraId="3347C199" w14:textId="77777777" w:rsidR="00F23B5C" w:rsidRPr="000D68B3" w:rsidRDefault="00F23B5C" w:rsidP="00D81AB5">
      <w:pPr>
        <w:rPr>
          <w:bCs/>
        </w:rPr>
      </w:pPr>
    </w:p>
    <w:p w14:paraId="03F60057" w14:textId="60E5E442" w:rsidR="00D81AB5" w:rsidRPr="001202B7" w:rsidRDefault="00D81AB5" w:rsidP="00CE768F">
      <w:pPr>
        <w:rPr>
          <w:bCs/>
          <w:highlight w:val="yellow"/>
        </w:rPr>
      </w:pPr>
      <w:r w:rsidRPr="001202B7">
        <w:rPr>
          <w:bCs/>
        </w:rPr>
        <w:t xml:space="preserve">El problema de los </w:t>
      </w:r>
      <w:r w:rsidRPr="001202B7">
        <w:rPr>
          <w:b/>
          <w:bCs/>
        </w:rPr>
        <w:t>fertilizantes</w:t>
      </w:r>
      <w:r w:rsidRPr="001202B7">
        <w:rPr>
          <w:bCs/>
        </w:rPr>
        <w:t xml:space="preserve"> preocupa en toda Europa. Los fertilizantes son un insumo importante en la producción de cultivos, especialmente en cereales, semillas oleaginosas y proteaginosas</w:t>
      </w:r>
      <w:r w:rsidR="00CE768F" w:rsidRPr="001202B7">
        <w:rPr>
          <w:bCs/>
        </w:rPr>
        <w:t xml:space="preserve">. Desde 2021 se ha producido un </w:t>
      </w:r>
      <w:r w:rsidRPr="001202B7">
        <w:rPr>
          <w:bCs/>
        </w:rPr>
        <w:t>shock de demanda a raíz de la pandemia</w:t>
      </w:r>
      <w:r w:rsidR="00CE768F" w:rsidRPr="001202B7">
        <w:rPr>
          <w:bCs/>
        </w:rPr>
        <w:t xml:space="preserve"> y</w:t>
      </w:r>
      <w:r w:rsidRPr="001202B7">
        <w:rPr>
          <w:bCs/>
        </w:rPr>
        <w:t xml:space="preserve"> la invasión rusa de Ucrania ha perturbado </w:t>
      </w:r>
      <w:r w:rsidR="005A41D8" w:rsidRPr="001202B7">
        <w:rPr>
          <w:bCs/>
        </w:rPr>
        <w:t>completamente los</w:t>
      </w:r>
      <w:r w:rsidRPr="001202B7">
        <w:rPr>
          <w:bCs/>
        </w:rPr>
        <w:t xml:space="preserve"> mercados y </w:t>
      </w:r>
      <w:r w:rsidR="005A41D8" w:rsidRPr="001202B7">
        <w:rPr>
          <w:bCs/>
        </w:rPr>
        <w:t xml:space="preserve">las </w:t>
      </w:r>
      <w:r w:rsidRPr="001202B7">
        <w:rPr>
          <w:bCs/>
        </w:rPr>
        <w:t>cadenas de valor a nivel mundial</w:t>
      </w:r>
      <w:r w:rsidR="000F132B" w:rsidRPr="001202B7">
        <w:rPr>
          <w:bCs/>
        </w:rPr>
        <w:t>.</w:t>
      </w:r>
    </w:p>
    <w:p w14:paraId="3532A105" w14:textId="78ED88CA" w:rsidR="0098377A" w:rsidRPr="001202B7" w:rsidRDefault="0098377A" w:rsidP="00D81AB5">
      <w:pPr>
        <w:rPr>
          <w:bCs/>
        </w:rPr>
      </w:pPr>
      <w:r w:rsidRPr="001202B7">
        <w:rPr>
          <w:bCs/>
        </w:rPr>
        <w:t>Los</w:t>
      </w:r>
      <w:r w:rsidR="00D81AB5" w:rsidRPr="001202B7">
        <w:rPr>
          <w:bCs/>
        </w:rPr>
        <w:t xml:space="preserve"> precios </w:t>
      </w:r>
      <w:r w:rsidRPr="001202B7">
        <w:rPr>
          <w:bCs/>
        </w:rPr>
        <w:t xml:space="preserve">promedio </w:t>
      </w:r>
      <w:r w:rsidR="00D81AB5" w:rsidRPr="001202B7">
        <w:rPr>
          <w:bCs/>
        </w:rPr>
        <w:t>pagados por los agricultores</w:t>
      </w:r>
      <w:r w:rsidRPr="001202B7">
        <w:rPr>
          <w:bCs/>
        </w:rPr>
        <w:t xml:space="preserve"> en </w:t>
      </w:r>
      <w:r w:rsidR="001202B7" w:rsidRPr="001202B7">
        <w:rPr>
          <w:bCs/>
        </w:rPr>
        <w:t>el año</w:t>
      </w:r>
      <w:r w:rsidRPr="001202B7">
        <w:rPr>
          <w:bCs/>
        </w:rPr>
        <w:t xml:space="preserve"> </w:t>
      </w:r>
      <w:r w:rsidR="001202B7" w:rsidRPr="001202B7">
        <w:rPr>
          <w:bCs/>
        </w:rPr>
        <w:t>20</w:t>
      </w:r>
      <w:r w:rsidRPr="001202B7">
        <w:rPr>
          <w:bCs/>
        </w:rPr>
        <w:t xml:space="preserve">23 </w:t>
      </w:r>
      <w:r w:rsidR="001202B7" w:rsidRPr="001202B7">
        <w:rPr>
          <w:bCs/>
        </w:rPr>
        <w:t>estuvieron</w:t>
      </w:r>
      <w:r w:rsidRPr="001202B7">
        <w:rPr>
          <w:bCs/>
        </w:rPr>
        <w:t xml:space="preserve"> por encima de los 500 euros por tonelada que</w:t>
      </w:r>
      <w:r w:rsidR="001202B7" w:rsidRPr="001202B7">
        <w:rPr>
          <w:bCs/>
        </w:rPr>
        <w:t>,</w:t>
      </w:r>
      <w:r w:rsidRPr="001202B7">
        <w:rPr>
          <w:bCs/>
        </w:rPr>
        <w:t xml:space="preserve"> pese a la bajada respecto al año anterior</w:t>
      </w:r>
      <w:r w:rsidR="001202B7" w:rsidRPr="001202B7">
        <w:rPr>
          <w:bCs/>
        </w:rPr>
        <w:t>,</w:t>
      </w:r>
      <w:r w:rsidRPr="001202B7">
        <w:rPr>
          <w:bCs/>
        </w:rPr>
        <w:t xml:space="preserve"> siguen estando </w:t>
      </w:r>
      <w:r w:rsidR="001202B7" w:rsidRPr="001202B7">
        <w:rPr>
          <w:bCs/>
        </w:rPr>
        <w:t xml:space="preserve">aún </w:t>
      </w:r>
      <w:r w:rsidRPr="001202B7">
        <w:rPr>
          <w:bCs/>
        </w:rPr>
        <w:t>un 40% más caros que en 2021.</w:t>
      </w:r>
    </w:p>
    <w:p w14:paraId="3744C9E5" w14:textId="77777777" w:rsidR="0098377A" w:rsidRDefault="0098377A" w:rsidP="00D81AB5">
      <w:pPr>
        <w:rPr>
          <w:bCs/>
          <w:color w:val="FF0000"/>
        </w:rPr>
      </w:pPr>
    </w:p>
    <w:p w14:paraId="6AC194DE" w14:textId="77777777" w:rsidR="00130036" w:rsidRPr="00130036" w:rsidRDefault="00130036" w:rsidP="00130036">
      <w:pPr>
        <w:rPr>
          <w:bCs/>
        </w:rPr>
      </w:pPr>
      <w:r w:rsidRPr="00130036">
        <w:rPr>
          <w:bCs/>
        </w:rPr>
        <w:t xml:space="preserve">Siendo la del abono mineral la factura más importante en los insumos del sector agrario, le siguen la del gasóleo y la de la electricidad que mueve toda la maquinaria y los sistemas de riego. El gasóleo agrícola cuesta hoy a los agricultores un 33% menos que hace un año, y la electricidad dependerá de los contratos de cada suministro. En el caso de comunidades de regantes dependerá de los contratos que mantengan con las compañías eléctricas, de media un 45% inferior. </w:t>
      </w:r>
    </w:p>
    <w:p w14:paraId="4412671A" w14:textId="2ADF0120" w:rsidR="00EB6FFF" w:rsidRDefault="00130036" w:rsidP="00130036">
      <w:pPr>
        <w:rPr>
          <w:bCs/>
        </w:rPr>
      </w:pPr>
      <w:r w:rsidRPr="00130036">
        <w:rPr>
          <w:bCs/>
        </w:rPr>
        <w:t>La escalada del</w:t>
      </w:r>
      <w:r w:rsidRPr="00130036">
        <w:rPr>
          <w:b/>
        </w:rPr>
        <w:t xml:space="preserve"> precio del gasóleo B </w:t>
      </w:r>
      <w:r w:rsidRPr="00130036">
        <w:rPr>
          <w:bCs/>
        </w:rPr>
        <w:t>está en remisión y de media el agricultor ha pagado 1,12</w:t>
      </w:r>
      <w:r>
        <w:rPr>
          <w:bCs/>
        </w:rPr>
        <w:t>5</w:t>
      </w:r>
      <w:r w:rsidRPr="00130036">
        <w:rPr>
          <w:bCs/>
        </w:rPr>
        <w:t xml:space="preserve"> euros/litro por este insumo</w:t>
      </w:r>
      <w:r>
        <w:rPr>
          <w:bCs/>
        </w:rPr>
        <w:t xml:space="preserve"> a lo largo del año, rebaja por la que se han eliminado las ayudas concedidas el año anterior. </w:t>
      </w:r>
    </w:p>
    <w:p w14:paraId="08425480" w14:textId="77777777" w:rsidR="00130036" w:rsidRDefault="00130036" w:rsidP="00130036">
      <w:pPr>
        <w:rPr>
          <w:bCs/>
        </w:rPr>
      </w:pPr>
    </w:p>
    <w:p w14:paraId="7A5685F4" w14:textId="1EFF44BC" w:rsidR="00EB6FFF" w:rsidRPr="00EB6FFF" w:rsidRDefault="00EB6FFF" w:rsidP="00EB6FFF">
      <w:pPr>
        <w:rPr>
          <w:bCs/>
        </w:rPr>
      </w:pPr>
      <w:r>
        <w:rPr>
          <w:bCs/>
        </w:rPr>
        <w:lastRenderedPageBreak/>
        <w:t xml:space="preserve">En cuanto a la </w:t>
      </w:r>
      <w:r w:rsidRPr="00EB6FFF">
        <w:rPr>
          <w:b/>
        </w:rPr>
        <w:t>doble tarifa eléctrica</w:t>
      </w:r>
      <w:r>
        <w:rPr>
          <w:bCs/>
        </w:rPr>
        <w:t>, u</w:t>
      </w:r>
      <w:r w:rsidRPr="00EB6FFF">
        <w:rPr>
          <w:bCs/>
        </w:rPr>
        <w:t xml:space="preserve">na sentencia del Tribunal Supremo obligaba al MITECO, a que antes de octubre de 2023, elaborase, aprobase y promulgase la norma reglamentaria que le obliga a desarrollar un contrato de </w:t>
      </w:r>
      <w:r w:rsidRPr="00EB6FFF">
        <w:rPr>
          <w:b/>
          <w:bCs/>
        </w:rPr>
        <w:t>acceso eléctrico para el riego con una doble potencia</w:t>
      </w:r>
      <w:r w:rsidRPr="00EB6FFF">
        <w:rPr>
          <w:bCs/>
        </w:rPr>
        <w:t>. Este contrato permitiría un ahorro sustancial a los regantes al contar con la contratación de una potencia mucho más barata en los períodos fuera del calendario de riegos. Sin embargo, a fecha de hoy no se ha aprobado dicha norma.</w:t>
      </w:r>
    </w:p>
    <w:p w14:paraId="645DCD89" w14:textId="77777777" w:rsidR="00EB6FFF" w:rsidRPr="00EB6FFF" w:rsidRDefault="00EB6FFF" w:rsidP="00EB6FFF">
      <w:pPr>
        <w:rPr>
          <w:bCs/>
        </w:rPr>
      </w:pPr>
      <w:r w:rsidRPr="00EB6FFF">
        <w:rPr>
          <w:bCs/>
        </w:rPr>
        <w:t xml:space="preserve">En esta misma línea, en la Ley de aplicación de la PAC se introdujo una disposición final que permite a las explotaciones agrarias, siempre que sean autónomos o empresas, contratar dos potencias eléctricas diferentes en un mismo año, si bien obliga a permanecer con la nueva potencia al menos tres meses, por lo que es importante que las comercializadoras de electricidad den las autorizaciones lo más rápidamente posible. </w:t>
      </w:r>
    </w:p>
    <w:p w14:paraId="506C2884" w14:textId="7DA2F02F" w:rsidR="00EB6FFF" w:rsidRPr="001D547A" w:rsidRDefault="00EB6FFF" w:rsidP="001D547A">
      <w:pPr>
        <w:rPr>
          <w:bCs/>
        </w:rPr>
      </w:pPr>
    </w:p>
    <w:p w14:paraId="6A847EF2" w14:textId="77777777" w:rsidR="00A20638" w:rsidRDefault="00D81AB5" w:rsidP="00D81AB5">
      <w:pPr>
        <w:rPr>
          <w:bCs/>
        </w:rPr>
      </w:pPr>
      <w:r w:rsidRPr="001D547A">
        <w:rPr>
          <w:bCs/>
        </w:rPr>
        <w:t xml:space="preserve">A estos costes desorbitados, habría que añadir </w:t>
      </w:r>
      <w:r w:rsidRPr="001D547A">
        <w:rPr>
          <w:b/>
          <w:bCs/>
        </w:rPr>
        <w:t>otros insumos</w:t>
      </w:r>
      <w:r w:rsidRPr="001D547A">
        <w:rPr>
          <w:bCs/>
        </w:rPr>
        <w:t xml:space="preserve"> también disparados, como el pienso en el caso de los ganaderos, o los servicios a terceros, el mantenimiento de instalaciones, los servicios veterinarios, los fitosanitarios o las semillas, la renta de los agricultores va a sufrir en todo caso un descalabro, que será mayor en la medida en la que no se puedan repercutir estos mayores costes en la venta de los productos. Esta situación no deseada llevará a una caída de renta de los productores y a una subida de los alimentos para los consumidores, unos consumidores que, por su menor capacidad de compra debido a la inflación, comprarán menos y harán caer la demanda.</w:t>
      </w:r>
      <w:r w:rsidR="005C6FA5">
        <w:rPr>
          <w:bCs/>
        </w:rPr>
        <w:t xml:space="preserve"> </w:t>
      </w:r>
    </w:p>
    <w:p w14:paraId="6FCC9693" w14:textId="388F3F84" w:rsidR="00D81AB5" w:rsidRDefault="005C6FA5" w:rsidP="00D81AB5">
      <w:pPr>
        <w:rPr>
          <w:bCs/>
        </w:rPr>
      </w:pPr>
      <w:r>
        <w:rPr>
          <w:bCs/>
        </w:rPr>
        <w:t xml:space="preserve">Desde ASAJA se pidió a </w:t>
      </w:r>
      <w:proofErr w:type="spellStart"/>
      <w:r>
        <w:rPr>
          <w:bCs/>
        </w:rPr>
        <w:t>Geslive</w:t>
      </w:r>
      <w:proofErr w:type="spellEnd"/>
      <w:r>
        <w:rPr>
          <w:bCs/>
        </w:rPr>
        <w:t xml:space="preserve"> una moratoria que exima al agricultor del pago del canon de reutilización de las semillas. </w:t>
      </w:r>
      <w:r w:rsidRPr="005C6FA5">
        <w:rPr>
          <w:bCs/>
        </w:rPr>
        <w:t xml:space="preserve">Como referencia, y teniendo en cuenta que son necesarios alrededor de 200 kilogramos de semilla por hectárea, el canon de los </w:t>
      </w:r>
      <w:proofErr w:type="spellStart"/>
      <w:r w:rsidRPr="005C6FA5">
        <w:rPr>
          <w:bCs/>
        </w:rPr>
        <w:t>semillistas</w:t>
      </w:r>
      <w:proofErr w:type="spellEnd"/>
      <w:r w:rsidRPr="005C6FA5">
        <w:rPr>
          <w:bCs/>
        </w:rPr>
        <w:t xml:space="preserve"> supone un gasto de 600 euros para una explotación cerealista media, de unas 200 hectáreas, aunque el agricultor utilice la semilla producida por él mismo en su explotación.</w:t>
      </w:r>
    </w:p>
    <w:p w14:paraId="3EEB6BCA" w14:textId="77777777" w:rsidR="00A20638" w:rsidRPr="001D547A" w:rsidRDefault="00A20638" w:rsidP="00D81AB5">
      <w:pPr>
        <w:rPr>
          <w:bCs/>
        </w:rPr>
      </w:pPr>
    </w:p>
    <w:p w14:paraId="689AB14E" w14:textId="6892FBD2" w:rsidR="002D3A9C" w:rsidRPr="002D3A9C" w:rsidRDefault="00D81AB5" w:rsidP="002D3A9C">
      <w:pPr>
        <w:rPr>
          <w:bCs/>
        </w:rPr>
      </w:pPr>
      <w:r w:rsidRPr="001D547A">
        <w:rPr>
          <w:bCs/>
        </w:rPr>
        <w:t xml:space="preserve">La </w:t>
      </w:r>
      <w:r w:rsidRPr="001D547A">
        <w:rPr>
          <w:b/>
          <w:bCs/>
        </w:rPr>
        <w:t>maquinaria agrícola</w:t>
      </w:r>
      <w:r w:rsidRPr="001D547A">
        <w:rPr>
          <w:bCs/>
        </w:rPr>
        <w:t xml:space="preserve"> es sin duda una de las inversiones más importante que </w:t>
      </w:r>
      <w:r w:rsidRPr="002D3A9C">
        <w:rPr>
          <w:bCs/>
        </w:rPr>
        <w:t xml:space="preserve">realizan los agricultores y ganaderos para llevar a cabo su actividad, tanto por su necesidad como por su coste. Sin embargo, desde hace años se ha consolidado en las ventas de maquinaria y aperos un sistema perverso que impide la competencia y frena los principios de libre circulación de bienes y servicios que marca la legislación. Existe un acuerdo sin luz ni taquígrafos, pero sí de facto, por el que los concesionarios se reparten el territorio de Castilla y León, impidiendo al potencial comprador adquirir cualquier producto en el establecimiento que prefiera y le sea más ventajoso por las condiciones que ofrece. </w:t>
      </w:r>
      <w:r w:rsidR="002D3A9C" w:rsidRPr="002D3A9C">
        <w:rPr>
          <w:bCs/>
        </w:rPr>
        <w:t xml:space="preserve">En el mes de octubre se conocía que por fin avanzaba la petición de ASAJA de investigar el reparto de zonas de influencia entre concesionarios. </w:t>
      </w:r>
      <w:r w:rsidR="002D3A9C" w:rsidRPr="002D3A9C">
        <w:t>La Comisión Nacional de los Mercados y la Competencia (CNMC) confirmaba que investiga posibles prácticas anticompetitivas y acuerdos de reparto del mercado de la distribución de maquinaria agrícola en España. Las prácticas consistirían en «el reparto del mercado a través de la restricción de las ventas pasivas a clientes situados fuera del área especificada en los contratos de distribución»</w:t>
      </w:r>
    </w:p>
    <w:p w14:paraId="51FD7F90" w14:textId="77777777" w:rsidR="00561A22" w:rsidRDefault="00561A22" w:rsidP="00EB6FFF">
      <w:pPr>
        <w:rPr>
          <w:bCs/>
        </w:rPr>
      </w:pPr>
    </w:p>
    <w:p w14:paraId="09E30E56" w14:textId="5E12B00A" w:rsidR="00D81AB5" w:rsidRPr="00613319" w:rsidRDefault="00D81AB5" w:rsidP="00D81AB5">
      <w:pPr>
        <w:rPr>
          <w:bCs/>
        </w:rPr>
      </w:pPr>
      <w:r w:rsidRPr="005C6FA5">
        <w:rPr>
          <w:bCs/>
        </w:rPr>
        <w:t xml:space="preserve">El </w:t>
      </w:r>
      <w:r w:rsidR="005C6FA5" w:rsidRPr="005C6FA5">
        <w:rPr>
          <w:bCs/>
        </w:rPr>
        <w:t>7</w:t>
      </w:r>
      <w:r w:rsidRPr="005C6FA5">
        <w:rPr>
          <w:bCs/>
        </w:rPr>
        <w:t xml:space="preserve"> de julio se inició la tramitación del </w:t>
      </w:r>
      <w:r w:rsidRPr="005C6FA5">
        <w:rPr>
          <w:b/>
          <w:bCs/>
        </w:rPr>
        <w:t xml:space="preserve">Plan </w:t>
      </w:r>
      <w:proofErr w:type="spellStart"/>
      <w:r w:rsidRPr="005C6FA5">
        <w:rPr>
          <w:b/>
          <w:bCs/>
        </w:rPr>
        <w:t>Renove</w:t>
      </w:r>
      <w:proofErr w:type="spellEnd"/>
      <w:r w:rsidRPr="005C6FA5">
        <w:rPr>
          <w:b/>
          <w:bCs/>
        </w:rPr>
        <w:t xml:space="preserve"> 202</w:t>
      </w:r>
      <w:r w:rsidR="005C6FA5" w:rsidRPr="005C6FA5">
        <w:rPr>
          <w:b/>
          <w:bCs/>
        </w:rPr>
        <w:t>3</w:t>
      </w:r>
      <w:r w:rsidRPr="005C6FA5">
        <w:rPr>
          <w:bCs/>
        </w:rPr>
        <w:t xml:space="preserve"> por el Ministerio de Agricultura, Pesca y Alimentación </w:t>
      </w:r>
      <w:r w:rsidR="005C6FA5" w:rsidRPr="005C6FA5">
        <w:rPr>
          <w:bCs/>
        </w:rPr>
        <w:t xml:space="preserve">con un presupuesto de 9,5 millones de euros </w:t>
      </w:r>
      <w:r w:rsidR="005C6FA5" w:rsidRPr="005C6FA5">
        <w:rPr>
          <w:bCs/>
        </w:rPr>
        <w:lastRenderedPageBreak/>
        <w:t xml:space="preserve">de los cuales </w:t>
      </w:r>
      <w:r w:rsidR="00EB6FFF" w:rsidRPr="00EB6FFF">
        <w:rPr>
          <w:bCs/>
        </w:rPr>
        <w:t>6,5 millones corresponden a expedientes de nuestra Comunidad, fundamentalmente máquinas de siembra directa. Esto pone de manifiesto es que el campo de Castilla y León invierte porque ha apostado por una agricultura y ganadería profesional en la que prevalece la mejoras y la innovación, dimensionando las explotaciones y en consecuencia necesitando disponer de máquinas más grandes y con más tecnología.</w:t>
      </w:r>
      <w:r w:rsidR="00561A22">
        <w:rPr>
          <w:bCs/>
        </w:rPr>
        <w:t xml:space="preserve"> </w:t>
      </w:r>
      <w:r w:rsidRPr="00613319">
        <w:rPr>
          <w:bCs/>
        </w:rPr>
        <w:t>Una de las principales críticas es que las ayudas se conceden en régimen de concesión directa, es decir, por orden de presentación, además de que sea necesaria tener comprada la maquinaria previa a la presentación de la solicitud, sin saber o no si te van a conceder la subvención.</w:t>
      </w:r>
      <w:r w:rsidR="00613319" w:rsidRPr="00613319">
        <w:rPr>
          <w:bCs/>
        </w:rPr>
        <w:t xml:space="preserve"> Sin embargo</w:t>
      </w:r>
      <w:r w:rsidR="00613319">
        <w:rPr>
          <w:bCs/>
        </w:rPr>
        <w:t>,</w:t>
      </w:r>
      <w:r w:rsidR="00613319" w:rsidRPr="00613319">
        <w:rPr>
          <w:bCs/>
        </w:rPr>
        <w:t xml:space="preserve"> para esta convocatoria se ha realizado un cambio importante y es que se ha admitido que la máquina a entregar deberá achatarrarse.</w:t>
      </w:r>
    </w:p>
    <w:p w14:paraId="21614227" w14:textId="77777777" w:rsidR="005A3C77" w:rsidRPr="00747EF0" w:rsidRDefault="005A3C77" w:rsidP="005A3C77">
      <w:pPr>
        <w:rPr>
          <w:b/>
          <w:bCs/>
          <w:sz w:val="22"/>
          <w:szCs w:val="22"/>
        </w:rPr>
      </w:pPr>
      <w:bookmarkStart w:id="9" w:name="_Hlk155265452"/>
    </w:p>
    <w:p w14:paraId="6411AADB" w14:textId="77777777" w:rsidR="005A3C77" w:rsidRDefault="005A3C77" w:rsidP="005A3C77">
      <w:pPr>
        <w:jc w:val="center"/>
        <w:rPr>
          <w:b/>
        </w:rPr>
      </w:pPr>
      <w:r w:rsidRPr="00080D68">
        <w:rPr>
          <w:b/>
        </w:rPr>
        <w:t>POLÍTICA HIDRÁULICA</w:t>
      </w:r>
    </w:p>
    <w:p w14:paraId="46519406" w14:textId="77777777" w:rsidR="005A3C77" w:rsidRPr="00080D68" w:rsidRDefault="005A3C77" w:rsidP="005A3C77">
      <w:pPr>
        <w:jc w:val="center"/>
        <w:rPr>
          <w:b/>
        </w:rPr>
      </w:pPr>
    </w:p>
    <w:p w14:paraId="14D491BE" w14:textId="77777777" w:rsidR="005A3C77" w:rsidRDefault="005A3C77" w:rsidP="005A3C77">
      <w:r w:rsidRPr="00080D68">
        <w:t xml:space="preserve">Dentro del plan anual 2023 del Instituto Tecnológico Agrario de Castilla y León (ITACYL) se han iniciado durante el año diferentes actuaciones de </w:t>
      </w:r>
      <w:r w:rsidRPr="00080D68">
        <w:rPr>
          <w:b/>
          <w:bCs/>
        </w:rPr>
        <w:t xml:space="preserve">desarrollo de zonas regables y modernización de regadíos. </w:t>
      </w:r>
      <w:r w:rsidRPr="00080D68">
        <w:t xml:space="preserve">A principios de año se aprobó el convenio para el inicio de obras de modernización y consolidación de regadíos en la Comunidad de Regantes del Canal de Inés y Canal de </w:t>
      </w:r>
      <w:proofErr w:type="spellStart"/>
      <w:r w:rsidRPr="00080D68">
        <w:t>Eza</w:t>
      </w:r>
      <w:proofErr w:type="spellEnd"/>
      <w:r w:rsidRPr="00080D68">
        <w:t xml:space="preserve"> (Soria), que beneficiarán a 400 regantes y 1.500 hectáreas de tres municipios. También en el primer trimestre se licitaron las obras para modernización de los regadíos de Llamas de la Ribera (León) para transformar el riego por gravedad en riego por aspersión y mejorar 878 hectáreas. En Palencia continúa la espera por la modernización del regadío y concentración parcelaria de la Comunidad de Regantes de Carrión-Saldaña-</w:t>
      </w:r>
      <w:proofErr w:type="spellStart"/>
      <w:r w:rsidRPr="00080D68">
        <w:t>Villamoronta</w:t>
      </w:r>
      <w:proofErr w:type="spellEnd"/>
      <w:r w:rsidRPr="00080D68">
        <w:t xml:space="preserve"> que afectaría a más de 12.000 hectáreas. A mediados de año, la Junta de Castilla y León aprobó la concesión de más de 500.000€ en ayudas para financiar el interés de los préstamos contraídos por cuatro comunidades de regantes para la ejecución de obras de modernización y consolidación de regadíos en las provincias de Burgos, Soria, Valladolid y Zamora, que afectarían a 5.000 regantes y comprenderían más de 10.500 hectáreas. En septiembre desde la Consejería formalizaron el contrato de obras para la modernización del regadío en la Comunidad de regantes del Canal de Velilla de la Reina (León) por un importe de casi 3,8 millones de euros que acogerá 812 hectáreas y beneficiará a 371 usuarios. También en ese periodo de iniciaron las obras de la tercera fase del proyecto de modernización de regadío de El </w:t>
      </w:r>
      <w:proofErr w:type="spellStart"/>
      <w:r w:rsidRPr="00080D68">
        <w:t>Carracillo</w:t>
      </w:r>
      <w:proofErr w:type="spellEnd"/>
      <w:r w:rsidRPr="00080D68">
        <w:t xml:space="preserve"> (Segovia) que permitirá regar 3.000 hectáreas, 1.500 en cada campaña de riego, para impulsar los cultivos hortícolas de la zona. Por último, se aprobó la reconcentración parcelaria del Canal del Esla (León-Zamora) para concentrar y modernizar el regadío de 11.163 hectáreas pertenecientes a 4.388 propietarios con un presupuesto de más de 77 millones de euros.</w:t>
      </w:r>
    </w:p>
    <w:p w14:paraId="39E7D501" w14:textId="77777777" w:rsidR="005A3C77" w:rsidRPr="00080D68" w:rsidRDefault="005A3C77" w:rsidP="005A3C77"/>
    <w:p w14:paraId="0DE35CEF" w14:textId="77777777" w:rsidR="005A3C77" w:rsidRPr="00080D68" w:rsidRDefault="005A3C77" w:rsidP="005A3C77">
      <w:r w:rsidRPr="00080D68">
        <w:t xml:space="preserve">Respecto al uso del agua, en abril de 2023 la </w:t>
      </w:r>
      <w:r w:rsidRPr="00080D68">
        <w:rPr>
          <w:b/>
          <w:bCs/>
        </w:rPr>
        <w:t>Confederación Hidrográfica del Duero</w:t>
      </w:r>
      <w:r w:rsidRPr="00080D68">
        <w:t xml:space="preserve"> publicó las medidas a implantar en los ríos de los sistemas de explotación Pisuerga y Bajo Duero el uso racional del agua durante la campaña de regadío 2023 como consecuencia de la sequía. Se determinó que la dotación máxima asignada por hectárea sería de 3.500 m</w:t>
      </w:r>
      <w:r w:rsidRPr="00080D68">
        <w:rPr>
          <w:vertAlign w:val="superscript"/>
        </w:rPr>
        <w:t>3</w:t>
      </w:r>
      <w:r w:rsidRPr="00080D68">
        <w:t xml:space="preserve"> /</w:t>
      </w:r>
      <w:proofErr w:type="spellStart"/>
      <w:r w:rsidRPr="00080D68">
        <w:t>ha</w:t>
      </w:r>
      <w:proofErr w:type="spellEnd"/>
      <w:r w:rsidRPr="00080D68">
        <w:t xml:space="preserve">. Para los regadíos de la UTE Torío-Bernesga las detracciones de agua se ajustarían a los turnos establecidos en el calendario de riego y no se podría derivar agua del cauce del Torío para riego </w:t>
      </w:r>
      <w:r w:rsidRPr="00080D68">
        <w:lastRenderedPageBreak/>
        <w:t>cuando el caudal circulante por la estación de aforo de Pardavé estuviese por debajo de los 0,54 m</w:t>
      </w:r>
      <w:r w:rsidRPr="00080D68">
        <w:rPr>
          <w:vertAlign w:val="superscript"/>
        </w:rPr>
        <w:t>3</w:t>
      </w:r>
      <w:r w:rsidRPr="00080D68">
        <w:t>/s (540 l/s). Tampoco derivar agua para riego del río Bernesga cuando el caudal circulante en la estación de aforo de León fuese inferior a 1,150 m</w:t>
      </w:r>
      <w:r w:rsidRPr="00080D68">
        <w:rPr>
          <w:vertAlign w:val="superscript"/>
        </w:rPr>
        <w:t>3</w:t>
      </w:r>
      <w:r w:rsidRPr="00080D68">
        <w:t xml:space="preserve">/s (1150 l/s). </w:t>
      </w:r>
    </w:p>
    <w:p w14:paraId="21E18756" w14:textId="77777777" w:rsidR="005A3C77" w:rsidRDefault="005A3C77" w:rsidP="005A3C77"/>
    <w:p w14:paraId="2B338BF0" w14:textId="33E6373A" w:rsidR="005A3C77" w:rsidRDefault="005A3C77" w:rsidP="005A3C77">
      <w:r>
        <w:t xml:space="preserve">Tras la aprobación por el MITECO del Tercer Ciclo del Plan Hidrológico del Duero, a propuesta de la Confederación Hidrográfica pero rechazado mayoritariamente por el Consejo del Agua, se está constatando lo pernicioso que es para los agricultores y promotores del medio rural en Castilla y León. Cientos de </w:t>
      </w:r>
      <w:r w:rsidRPr="00561A22">
        <w:rPr>
          <w:b/>
          <w:bCs/>
        </w:rPr>
        <w:t>solicitudes de concesión de agua</w:t>
      </w:r>
      <w:r>
        <w:t xml:space="preserve"> para granjas, regadíos o pequeñas agroindustrias presentadas conforme al anterior Plan Hidrológico desde hace años, han dormido el sueño de los justos o se han encontrado con mil requerimientos para dilatarlas en el tiempo a la espera de la aprobación del nuevo Plan, en el que ya no encajan y se ha procedido a su denegación. También el nuevo Plan limita en gran parte de las zonas rurales las posibilidades de obtener autorización de agua, aunque sean cantidades menores para pequeñas granjas o negocios familiares en el medio rural, coartando así casi cualquier posibilidad de emprendimiento.</w:t>
      </w:r>
    </w:p>
    <w:p w14:paraId="58616885" w14:textId="77777777" w:rsidR="005A3C77" w:rsidRDefault="005A3C77" w:rsidP="005A3C77"/>
    <w:p w14:paraId="738C51BF" w14:textId="77777777" w:rsidR="005A3C77" w:rsidRDefault="005A3C77" w:rsidP="005A3C77">
      <w:r>
        <w:t xml:space="preserve">Pese a los avances del último año en la modernización de regadíos comprometida desde hace años, gracias a fondos europeos, </w:t>
      </w:r>
      <w:r w:rsidRPr="005A3C77">
        <w:rPr>
          <w:b/>
          <w:bCs/>
        </w:rPr>
        <w:t xml:space="preserve">nuestra comunidad sigue por debajo de la media </w:t>
      </w:r>
      <w:r>
        <w:t>nacional en superficie de regadío, y sólo la provincia de León se encuentra con ratios aceptables.</w:t>
      </w:r>
    </w:p>
    <w:bookmarkEnd w:id="9"/>
    <w:p w14:paraId="0E70B663" w14:textId="77777777" w:rsidR="00D81AB5" w:rsidRPr="00C6165A" w:rsidRDefault="00D81AB5" w:rsidP="00D81AB5">
      <w:pPr>
        <w:rPr>
          <w:bCs/>
        </w:rPr>
      </w:pPr>
    </w:p>
    <w:p w14:paraId="66A9B0B0" w14:textId="089AF5D3" w:rsidR="00D81AB5" w:rsidRPr="00DA1D07" w:rsidRDefault="00D81AB5" w:rsidP="00D81AB5">
      <w:pPr>
        <w:jc w:val="center"/>
        <w:rPr>
          <w:b/>
          <w:bCs/>
        </w:rPr>
      </w:pPr>
      <w:r w:rsidRPr="00DA1D07">
        <w:rPr>
          <w:b/>
          <w:bCs/>
        </w:rPr>
        <w:t>DESARROLLO RURAL</w:t>
      </w:r>
    </w:p>
    <w:p w14:paraId="3BD55BF8" w14:textId="77777777" w:rsidR="00442DF3" w:rsidRPr="00DA1D07" w:rsidRDefault="00442DF3" w:rsidP="00D81AB5">
      <w:pPr>
        <w:jc w:val="center"/>
        <w:rPr>
          <w:b/>
          <w:bCs/>
        </w:rPr>
      </w:pPr>
    </w:p>
    <w:p w14:paraId="16EC39AA" w14:textId="1CE5F597" w:rsidR="00D81AB5" w:rsidRPr="00DA1D07" w:rsidRDefault="00D81AB5" w:rsidP="00D81AB5">
      <w:pPr>
        <w:rPr>
          <w:bCs/>
        </w:rPr>
      </w:pPr>
      <w:r w:rsidRPr="00DA1D07">
        <w:rPr>
          <w:bCs/>
        </w:rPr>
        <w:t xml:space="preserve">La </w:t>
      </w:r>
      <w:r w:rsidRPr="00EB6FFF">
        <w:rPr>
          <w:b/>
        </w:rPr>
        <w:t>ejecución del Programa de Desarrollo Rural de Castilla y León</w:t>
      </w:r>
      <w:r w:rsidRPr="00DA1D07">
        <w:rPr>
          <w:bCs/>
        </w:rPr>
        <w:t>, en términos económicos, durante el año 202</w:t>
      </w:r>
      <w:r w:rsidR="00DA1D07" w:rsidRPr="00DA1D07">
        <w:rPr>
          <w:bCs/>
        </w:rPr>
        <w:t>2</w:t>
      </w:r>
      <w:r w:rsidRPr="00DA1D07">
        <w:rPr>
          <w:bCs/>
        </w:rPr>
        <w:t xml:space="preserve">, ascendió a más de </w:t>
      </w:r>
      <w:r w:rsidR="00DA1D07" w:rsidRPr="00DA1D07">
        <w:rPr>
          <w:bCs/>
        </w:rPr>
        <w:t>272</w:t>
      </w:r>
      <w:r w:rsidRPr="00DA1D07">
        <w:rPr>
          <w:bCs/>
        </w:rPr>
        <w:t xml:space="preserve"> millones de euros, lo cual, de manera acumulada a los años anteriores (2014-202</w:t>
      </w:r>
      <w:r w:rsidR="00DA1D07" w:rsidRPr="00DA1D07">
        <w:rPr>
          <w:bCs/>
        </w:rPr>
        <w:t>2</w:t>
      </w:r>
      <w:r w:rsidRPr="00DA1D07">
        <w:rPr>
          <w:bCs/>
        </w:rPr>
        <w:t xml:space="preserve">), supone un total de más de </w:t>
      </w:r>
      <w:r w:rsidR="00DA1D07" w:rsidRPr="00DA1D07">
        <w:rPr>
          <w:bCs/>
        </w:rPr>
        <w:t>1.525</w:t>
      </w:r>
      <w:r w:rsidRPr="00DA1D07">
        <w:rPr>
          <w:bCs/>
        </w:rPr>
        <w:t xml:space="preserve"> millones de euros a fecha </w:t>
      </w:r>
      <w:r w:rsidR="00DA1D07" w:rsidRPr="00DA1D07">
        <w:rPr>
          <w:bCs/>
        </w:rPr>
        <w:t>31 de diciembre de 2022</w:t>
      </w:r>
      <w:r w:rsidRPr="00DA1D07">
        <w:rPr>
          <w:bCs/>
        </w:rPr>
        <w:t>.</w:t>
      </w:r>
    </w:p>
    <w:p w14:paraId="0F547937" w14:textId="0D888632" w:rsidR="00DA1D07" w:rsidRDefault="00D81AB5" w:rsidP="00DA1D07">
      <w:r w:rsidRPr="00DA1D07">
        <w:rPr>
          <w:bCs/>
        </w:rPr>
        <w:t>La normativa europea que regula los PDR, estableció inicialmente que éstos finalizaran en el año 2023, aunque la modificación de la normativa comunitaria aprobada a finales del año 2020 ha prolongado la vigencia de los Programas hasta el año 2025.</w:t>
      </w:r>
      <w:r w:rsidR="00561A22">
        <w:rPr>
          <w:bCs/>
        </w:rPr>
        <w:t xml:space="preserve"> </w:t>
      </w:r>
      <w:r w:rsidR="00DA1D07" w:rsidRPr="00DA1D07">
        <w:t>Este importe de 2022 ha sido destinado a medidas enfocadas a apoyar a las inversiones de modernización en las explotaciones agrarias, que, sumando las inversiones realizadas en las anualidades anteriores, ha ayudado a un total de 3.209 explotaciones</w:t>
      </w:r>
      <w:r w:rsidR="00DA1D07">
        <w:t xml:space="preserve">. </w:t>
      </w:r>
    </w:p>
    <w:p w14:paraId="566A620B" w14:textId="77777777" w:rsidR="00561A22" w:rsidRPr="00561A22" w:rsidRDefault="00561A22" w:rsidP="00DA1D07">
      <w:pPr>
        <w:rPr>
          <w:bCs/>
        </w:rPr>
      </w:pPr>
    </w:p>
    <w:p w14:paraId="773F1E73" w14:textId="04B135B8" w:rsidR="007460F3" w:rsidRDefault="00DA1D07" w:rsidP="00DA1D07">
      <w:r w:rsidRPr="00DA1D07">
        <w:t xml:space="preserve">El </w:t>
      </w:r>
      <w:r w:rsidRPr="00DA1D07">
        <w:rPr>
          <w:b/>
          <w:bCs/>
        </w:rPr>
        <w:t>instrumento financiero</w:t>
      </w:r>
      <w:r w:rsidRPr="00DA1D07">
        <w:t xml:space="preserve">, una actuación prevista en el </w:t>
      </w:r>
      <w:r w:rsidR="00F75F27">
        <w:t>PDR</w:t>
      </w:r>
      <w:r w:rsidRPr="00DA1D07">
        <w:t xml:space="preserve"> que proporciona financiación, se amplió para incluir la concesión de préstamos de hasta 200.000€ para capital circulante sin inversiones</w:t>
      </w:r>
      <w:r w:rsidR="00FA2902">
        <w:t xml:space="preserve"> </w:t>
      </w:r>
      <w:r w:rsidR="00FA2902" w:rsidRPr="00DA1D07">
        <w:t>como consecuencia de la crisis ocasionada por la Covid-19</w:t>
      </w:r>
      <w:r w:rsidR="00FA2902">
        <w:t>, y</w:t>
      </w:r>
      <w:r w:rsidRPr="00DA1D07">
        <w:t xml:space="preserve"> que se mantiene hasta diciembre de 2025. </w:t>
      </w:r>
      <w:r w:rsidR="00FA2902">
        <w:t>A fecha</w:t>
      </w:r>
      <w:r w:rsidRPr="00F75F27">
        <w:t xml:space="preserve"> 31 de diciembre de 2022 se han formalizado préstamos por importe de más de 139 millones de </w:t>
      </w:r>
      <w:r w:rsidR="00FA2902">
        <w:t>euros</w:t>
      </w:r>
      <w:r w:rsidRPr="00F75F27">
        <w:t xml:space="preserve">. </w:t>
      </w:r>
      <w:r w:rsidR="00F75F27" w:rsidRPr="00F75F27">
        <w:t>Del total de préstamos firmado</w:t>
      </w:r>
      <w:r w:rsidR="00FA2902">
        <w:t>s</w:t>
      </w:r>
      <w:r w:rsidR="00F75F27" w:rsidRPr="00F75F27">
        <w:t xml:space="preserve">, </w:t>
      </w:r>
      <w:r w:rsidRPr="00F75F27">
        <w:t xml:space="preserve">48 </w:t>
      </w:r>
      <w:r w:rsidR="00F75F27" w:rsidRPr="00F75F27">
        <w:t xml:space="preserve">corresponden a </w:t>
      </w:r>
      <w:r w:rsidRPr="00F75F27">
        <w:t>Industrias agroalimentarias y forestales y el resto a préstamos firmados por 857 beneficiarios agricultores y ganaderos de los que 37 son jóvenes que se incorporan al sector agrario.</w:t>
      </w:r>
    </w:p>
    <w:p w14:paraId="1734C38A" w14:textId="77777777" w:rsidR="00561A22" w:rsidRPr="00F75F27" w:rsidRDefault="00561A22" w:rsidP="00DA1D07"/>
    <w:p w14:paraId="359C7095" w14:textId="6DF1EDB2" w:rsidR="00EB6FFF" w:rsidRDefault="00EB6FFF" w:rsidP="00EB6FFF">
      <w:pPr>
        <w:rPr>
          <w:bCs/>
        </w:rPr>
      </w:pPr>
      <w:r w:rsidRPr="00EB6FFF">
        <w:rPr>
          <w:bCs/>
        </w:rPr>
        <w:lastRenderedPageBreak/>
        <w:t xml:space="preserve">Respecto a la </w:t>
      </w:r>
      <w:r w:rsidRPr="00EB6FFF">
        <w:rPr>
          <w:b/>
          <w:bCs/>
        </w:rPr>
        <w:t>incorporación de jóvenes</w:t>
      </w:r>
      <w:r w:rsidRPr="00EB6FFF">
        <w:rPr>
          <w:bCs/>
        </w:rPr>
        <w:t xml:space="preserve"> al sector, se han generado pagos a 958 jóvenes lo que implica que </w:t>
      </w:r>
      <w:r w:rsidR="000F132B">
        <w:rPr>
          <w:bCs/>
        </w:rPr>
        <w:t>en el</w:t>
      </w:r>
      <w:r w:rsidRPr="00EB6FFF">
        <w:rPr>
          <w:bCs/>
        </w:rPr>
        <w:t xml:space="preserve"> PDR</w:t>
      </w:r>
      <w:r w:rsidR="000F132B">
        <w:rPr>
          <w:bCs/>
        </w:rPr>
        <w:t xml:space="preserve"> 2014-2023</w:t>
      </w:r>
      <w:r w:rsidRPr="00EB6FFF">
        <w:rPr>
          <w:bCs/>
        </w:rPr>
        <w:t xml:space="preserve"> se han incorporado 4.721 jóvenes, de los cuales el 27,5% son mujeres. Para la incorporación al sector en muchos casos se hace necesario realizar acciones de formación profesional y adquisición de competencias, mediante la formación y asesoramiento de agricultores, ganaderos y silvicultores, siendo 6.794 el número de asesorados en el año 2022. </w:t>
      </w:r>
    </w:p>
    <w:p w14:paraId="155BFB58" w14:textId="77777777" w:rsidR="00561A22" w:rsidRPr="00EB6FFF" w:rsidRDefault="00561A22" w:rsidP="00EB6FFF">
      <w:pPr>
        <w:rPr>
          <w:bCs/>
        </w:rPr>
      </w:pPr>
    </w:p>
    <w:p w14:paraId="1C911B67" w14:textId="40C68E2B" w:rsidR="00EB6FFF" w:rsidRPr="00EB6FFF" w:rsidRDefault="00EB6FFF" w:rsidP="00EB6FFF">
      <w:pPr>
        <w:rPr>
          <w:bCs/>
        </w:rPr>
      </w:pPr>
      <w:r w:rsidRPr="00EB6FFF">
        <w:rPr>
          <w:bCs/>
        </w:rPr>
        <w:t xml:space="preserve">Después de casi dos años y apurando los últimos meses del 2023, la Consejería de Agricultura, Ganadería y Desarrollo Rural publicó en octubre la </w:t>
      </w:r>
      <w:r w:rsidRPr="00EB6FFF">
        <w:rPr>
          <w:b/>
        </w:rPr>
        <w:t>convocatoria de subvenciones destinadas a la mejora de estructuras de producción y modernización de las explotaciones agrarias entre las que se incluye también la incorporación de jóvenes.</w:t>
      </w:r>
      <w:r w:rsidRPr="00EB6FFF">
        <w:rPr>
          <w:bCs/>
        </w:rPr>
        <w:t> </w:t>
      </w:r>
      <w:r w:rsidR="00561A22">
        <w:rPr>
          <w:bCs/>
        </w:rPr>
        <w:t xml:space="preserve"> </w:t>
      </w:r>
      <w:r w:rsidRPr="00EB6FFF">
        <w:rPr>
          <w:bCs/>
        </w:rPr>
        <w:t>Esta primera convocatoria del PEPAC 2023-2027, presentó diversas novedades que podrán combinarse entre sí. Las tres intervenciones para este periodo se agrupan en:</w:t>
      </w:r>
      <w:r w:rsidRPr="00EB6FFF">
        <w:rPr>
          <w:b/>
          <w:bCs/>
        </w:rPr>
        <w:t xml:space="preserve"> </w:t>
      </w:r>
      <w:r w:rsidRPr="00EB6FFF">
        <w:rPr>
          <w:bCs/>
        </w:rPr>
        <w:t>Ayudas a inversiones productivas en explotaciones agrarias vinculadas a contribuir la mitigación-adaptación al cambio climático, uso eficiente de los recursos naturales y bienestar animal; Ayudas a inversiones en modernización y/o mejora de explotaciones agrarias y Establecimiento de personas jóvenes agricultores.</w:t>
      </w:r>
    </w:p>
    <w:p w14:paraId="14C2DD35" w14:textId="108283A8" w:rsidR="00EB6FFF" w:rsidRDefault="00EB6FFF" w:rsidP="00EB6FFF">
      <w:pPr>
        <w:rPr>
          <w:bCs/>
        </w:rPr>
      </w:pPr>
      <w:r w:rsidRPr="00EB6FFF">
        <w:rPr>
          <w:bCs/>
        </w:rPr>
        <w:t>ASAJA considera muy importantes estas ayudas, esenciales para el relevo generacional en el campo. Sin embargo, hay problemas muy importantes y de difícil solución que frenan la incorporación de jóvenes al sector. El primer factor limitante es la falta de tierras libres y pastos que alimenta la espiral inflacionista de los precios de la tierra. Esta falta de tierra también se ve agravada por la jubilación tardía de los agricultores y ganaderos. Por ello, ante la dificultad de sumar hectáreas de tierras o pastos, apuestan por la ganadería intensiva, un modelo muy eficiente, pero también plagado de dificultades y presiones de todo tipo. El segundo problema es que la inversión que precisan es muy superior a la ayuda que reciben, por lo que tienen que contar con la financiación de los bancos, que no suelen confiar en los jóvenes. Se les ofrece poco dinero, y caro, y se les exige garantías, por lo que sin el apoyo familiar es prácticamente imposible conseguir crédito. En este punto, es importante destacar que la tasa de morosidad en el sector agrario es de las más bajas.</w:t>
      </w:r>
    </w:p>
    <w:p w14:paraId="32E73E93" w14:textId="77777777" w:rsidR="00561A22" w:rsidRDefault="00561A22" w:rsidP="00EB6FFF">
      <w:pPr>
        <w:rPr>
          <w:bCs/>
        </w:rPr>
      </w:pPr>
    </w:p>
    <w:p w14:paraId="12ACF646" w14:textId="390436AC" w:rsidR="00EB6FFF" w:rsidRPr="00EB6FFF" w:rsidRDefault="00EB6FFF" w:rsidP="00EB6FFF">
      <w:pPr>
        <w:rPr>
          <w:bCs/>
        </w:rPr>
      </w:pPr>
      <w:r w:rsidRPr="00EB6FFF">
        <w:rPr>
          <w:bCs/>
        </w:rPr>
        <w:t xml:space="preserve">Con la idea de </w:t>
      </w:r>
      <w:r w:rsidRPr="00EB6FFF">
        <w:rPr>
          <w:b/>
        </w:rPr>
        <w:t>favorecer el relevo generacional</w:t>
      </w:r>
      <w:r w:rsidRPr="00EB6FFF">
        <w:rPr>
          <w:bCs/>
        </w:rPr>
        <w:t xml:space="preserve"> y ayudar a los agricultores </w:t>
      </w:r>
      <w:r w:rsidR="0098377A">
        <w:rPr>
          <w:bCs/>
        </w:rPr>
        <w:t xml:space="preserve">en edad de jubilación </w:t>
      </w:r>
      <w:r w:rsidRPr="00EB6FFF">
        <w:rPr>
          <w:bCs/>
        </w:rPr>
        <w:t xml:space="preserve">a cesar y transmitir su explotación se convocó por primera vez </w:t>
      </w:r>
      <w:r w:rsidR="0098377A">
        <w:rPr>
          <w:bCs/>
        </w:rPr>
        <w:t>la ayuda de cooperación para la sucesión de explotaciones agrarias,</w:t>
      </w:r>
      <w:r w:rsidR="0098377A" w:rsidRPr="00EB6FFF">
        <w:rPr>
          <w:bCs/>
        </w:rPr>
        <w:t xml:space="preserve"> </w:t>
      </w:r>
      <w:r w:rsidRPr="00EB6FFF">
        <w:rPr>
          <w:bCs/>
        </w:rPr>
        <w:t>una ayuda novedosa y demandada desde ASAJA desde hace años, si bien excluye la cesión de padres a hijos, justo la más frecuente en la agricultura y ganadería.</w:t>
      </w:r>
    </w:p>
    <w:p w14:paraId="4BFE6B3C" w14:textId="6639AC37" w:rsidR="00EB6FFF" w:rsidRDefault="00EB6FFF" w:rsidP="00EB6FFF">
      <w:pPr>
        <w:rPr>
          <w:bCs/>
        </w:rPr>
      </w:pPr>
      <w:r w:rsidRPr="00EB6FFF">
        <w:rPr>
          <w:bCs/>
        </w:rPr>
        <w:t>Los cedentes tendrán que estar en situación de jubilarse, y no tener más de 72 años, si bien ASAJA solicita que en las próximas convocatorias se recorten los 72 años a los aproximadamente 65 que marcan la edad legal de jubilación. Los cesionarios, que no superarán los 57 años, serán agricultores activos en la Seguridad Social por su actividad agraria y deben explotar de forma directa la explotación cedida durante no menos de cinco años. La ayuda total compensará una parte del coste de oportunidad que supone la cesión, y oscilará entre los 17.750 y 85.000 euros distribuidos en los cinco años del compromiso. Esto supone un complemento mensual a la jubilación de entre 300 y 1.400 euros, en función de la producción estándar de la explotación que se cede.</w:t>
      </w:r>
    </w:p>
    <w:p w14:paraId="3064D1BA" w14:textId="77777777" w:rsidR="00EB6FFF" w:rsidRDefault="00EB6FFF" w:rsidP="00EB6FFF">
      <w:pPr>
        <w:rPr>
          <w:bCs/>
        </w:rPr>
      </w:pPr>
    </w:p>
    <w:p w14:paraId="5366F882" w14:textId="77777777" w:rsidR="00B50168" w:rsidRDefault="00B50168" w:rsidP="00B50168">
      <w:pPr>
        <w:jc w:val="center"/>
        <w:rPr>
          <w:b/>
        </w:rPr>
      </w:pPr>
      <w:r w:rsidRPr="00EB6FFF">
        <w:rPr>
          <w:b/>
        </w:rPr>
        <w:t>AFILIACIÓN, SEGURIDAD SOCIAL Y FISCALIDAD</w:t>
      </w:r>
    </w:p>
    <w:p w14:paraId="0F5D14AA" w14:textId="77777777" w:rsidR="00B50168" w:rsidRDefault="00B50168" w:rsidP="00B50168">
      <w:pPr>
        <w:jc w:val="center"/>
        <w:rPr>
          <w:bCs/>
        </w:rPr>
      </w:pPr>
    </w:p>
    <w:p w14:paraId="06CA4B41" w14:textId="30586CC4" w:rsidR="00EB6FFF" w:rsidRPr="00EB6FFF" w:rsidRDefault="00B50168" w:rsidP="00EB6FFF">
      <w:pPr>
        <w:rPr>
          <w:bCs/>
        </w:rPr>
      </w:pPr>
      <w:r>
        <w:rPr>
          <w:bCs/>
        </w:rPr>
        <w:t>S</w:t>
      </w:r>
      <w:r w:rsidR="00EB6FFF" w:rsidRPr="00EB6FFF">
        <w:rPr>
          <w:bCs/>
        </w:rPr>
        <w:t xml:space="preserve">i tenemos en cuenta el </w:t>
      </w:r>
      <w:r w:rsidR="00EB6FFF" w:rsidRPr="00EB6FFF">
        <w:rPr>
          <w:b/>
          <w:bCs/>
        </w:rPr>
        <w:t>número de afiliados a la Seguridad Social en noviembre de 2023</w:t>
      </w:r>
      <w:r w:rsidR="00EB6FFF" w:rsidRPr="00EB6FFF">
        <w:rPr>
          <w:bCs/>
        </w:rPr>
        <w:t xml:space="preserve">, Castilla y León registraba 60.479 afiliados en la actividad agraria, lo que supone un ligero descenso respecto a 2022 (60.910). Castilla y León </w:t>
      </w:r>
      <w:proofErr w:type="gramStart"/>
      <w:r w:rsidR="00EB6FFF" w:rsidRPr="00EB6FFF">
        <w:rPr>
          <w:bCs/>
        </w:rPr>
        <w:t>soporta</w:t>
      </w:r>
      <w:proofErr w:type="gramEnd"/>
      <w:r w:rsidR="00EB6FFF" w:rsidRPr="00EB6FFF">
        <w:rPr>
          <w:bCs/>
        </w:rPr>
        <w:t xml:space="preserve"> el 5,99% del número de afiliados a la seguridad social en esta actividad en España, ligeramente por encima de 2022.</w:t>
      </w:r>
    </w:p>
    <w:p w14:paraId="19B5B017" w14:textId="77777777" w:rsidR="00EB6FFF" w:rsidRPr="00EB6FFF" w:rsidRDefault="00EB6FFF" w:rsidP="00EB6FFF">
      <w:pPr>
        <w:rPr>
          <w:bCs/>
        </w:rPr>
      </w:pPr>
      <w:r w:rsidRPr="00EB6FFF">
        <w:rPr>
          <w:bCs/>
        </w:rPr>
        <w:t>De esos 60.479 afiliados, 37.685 (el 62%) se encuentran inscritos en el RETA (autónomos) y 22.794 (el 38%) en el Régimen general (trabajadores por cuenta ajena), ratios de distribución totalmente opuestos al ámbito nacional, donde en el RETA están tan sólo el 26 % de los afiliados en esta actividad económica y el 74% restante en el régimen general. Esto es debido al tipo de agricultura de Castilla y León, extensiva y de producción continental.</w:t>
      </w:r>
    </w:p>
    <w:tbl>
      <w:tblPr>
        <w:tblStyle w:val="Tablaconcuadrcula"/>
        <w:tblpPr w:leftFromText="141" w:rightFromText="141" w:vertAnchor="text" w:horzAnchor="margin" w:tblpY="439"/>
        <w:tblW w:w="9072" w:type="dxa"/>
        <w:tblLayout w:type="fixed"/>
        <w:tblLook w:val="04A0" w:firstRow="1" w:lastRow="0" w:firstColumn="1" w:lastColumn="0" w:noHBand="0" w:noVBand="1"/>
      </w:tblPr>
      <w:tblGrid>
        <w:gridCol w:w="1276"/>
        <w:gridCol w:w="1134"/>
        <w:gridCol w:w="992"/>
        <w:gridCol w:w="992"/>
        <w:gridCol w:w="1276"/>
        <w:gridCol w:w="1276"/>
        <w:gridCol w:w="992"/>
        <w:gridCol w:w="1134"/>
      </w:tblGrid>
      <w:tr w:rsidR="00B50168" w:rsidRPr="00EB6FFF" w14:paraId="3A0A26DF" w14:textId="77777777" w:rsidTr="00B50168">
        <w:trPr>
          <w:trHeight w:val="743"/>
        </w:trPr>
        <w:tc>
          <w:tcPr>
            <w:tcW w:w="1276" w:type="dxa"/>
            <w:tcBorders>
              <w:top w:val="nil"/>
              <w:left w:val="nil"/>
              <w:bottom w:val="nil"/>
              <w:right w:val="single" w:sz="4" w:space="0" w:color="auto"/>
            </w:tcBorders>
            <w:vAlign w:val="center"/>
          </w:tcPr>
          <w:p w14:paraId="73C40B4B" w14:textId="77777777" w:rsidR="00B50168" w:rsidRPr="00EB6FFF" w:rsidRDefault="00B50168" w:rsidP="00B50168">
            <w:pPr>
              <w:jc w:val="center"/>
              <w:rPr>
                <w:bCs/>
                <w:sz w:val="20"/>
                <w:szCs w:val="20"/>
              </w:rPr>
            </w:pPr>
          </w:p>
        </w:tc>
        <w:tc>
          <w:tcPr>
            <w:tcW w:w="3118" w:type="dxa"/>
            <w:gridSpan w:val="3"/>
            <w:tcBorders>
              <w:left w:val="single" w:sz="4" w:space="0" w:color="auto"/>
            </w:tcBorders>
            <w:vAlign w:val="center"/>
          </w:tcPr>
          <w:p w14:paraId="42F23AA6" w14:textId="77777777" w:rsidR="00B50168" w:rsidRPr="00EB6FFF" w:rsidRDefault="00B50168" w:rsidP="00B50168">
            <w:pPr>
              <w:jc w:val="center"/>
              <w:rPr>
                <w:b/>
                <w:bCs/>
                <w:sz w:val="20"/>
                <w:szCs w:val="20"/>
              </w:rPr>
            </w:pPr>
            <w:r w:rsidRPr="00EB6FFF">
              <w:rPr>
                <w:b/>
                <w:bCs/>
                <w:sz w:val="20"/>
                <w:szCs w:val="20"/>
              </w:rPr>
              <w:t>Régimen General</w:t>
            </w:r>
          </w:p>
        </w:tc>
        <w:tc>
          <w:tcPr>
            <w:tcW w:w="3544" w:type="dxa"/>
            <w:gridSpan w:val="3"/>
            <w:vAlign w:val="center"/>
          </w:tcPr>
          <w:p w14:paraId="61C0DCA0" w14:textId="77777777" w:rsidR="00B50168" w:rsidRPr="00EB6FFF" w:rsidRDefault="00B50168" w:rsidP="00B50168">
            <w:pPr>
              <w:jc w:val="center"/>
              <w:rPr>
                <w:b/>
                <w:bCs/>
                <w:sz w:val="20"/>
                <w:szCs w:val="20"/>
              </w:rPr>
            </w:pPr>
            <w:r w:rsidRPr="00EB6FFF">
              <w:rPr>
                <w:b/>
                <w:bCs/>
                <w:sz w:val="20"/>
                <w:szCs w:val="20"/>
              </w:rPr>
              <w:t>RETA</w:t>
            </w:r>
          </w:p>
        </w:tc>
        <w:tc>
          <w:tcPr>
            <w:tcW w:w="1134" w:type="dxa"/>
            <w:vAlign w:val="center"/>
          </w:tcPr>
          <w:p w14:paraId="3EDCDCA9" w14:textId="77777777" w:rsidR="00B50168" w:rsidRPr="00EB6FFF" w:rsidRDefault="00B50168" w:rsidP="00B50168">
            <w:pPr>
              <w:jc w:val="center"/>
              <w:rPr>
                <w:b/>
                <w:bCs/>
                <w:sz w:val="20"/>
                <w:szCs w:val="20"/>
              </w:rPr>
            </w:pPr>
            <w:proofErr w:type="gramStart"/>
            <w:r w:rsidRPr="00EB6FFF">
              <w:rPr>
                <w:b/>
                <w:bCs/>
                <w:sz w:val="20"/>
                <w:szCs w:val="20"/>
              </w:rPr>
              <w:t>TOTAL</w:t>
            </w:r>
            <w:proofErr w:type="gramEnd"/>
            <w:r w:rsidRPr="00EB6FFF">
              <w:rPr>
                <w:b/>
                <w:bCs/>
                <w:sz w:val="20"/>
                <w:szCs w:val="20"/>
              </w:rPr>
              <w:t xml:space="preserve"> </w:t>
            </w:r>
            <w:r w:rsidRPr="00EB6FFF">
              <w:rPr>
                <w:b/>
                <w:bCs/>
                <w:sz w:val="16"/>
                <w:szCs w:val="16"/>
              </w:rPr>
              <w:t>AFILIADOS</w:t>
            </w:r>
          </w:p>
        </w:tc>
      </w:tr>
      <w:tr w:rsidR="00B50168" w:rsidRPr="00B50168" w14:paraId="60E5653D" w14:textId="77777777" w:rsidTr="00B50168">
        <w:trPr>
          <w:cantSplit/>
          <w:trHeight w:val="2280"/>
        </w:trPr>
        <w:tc>
          <w:tcPr>
            <w:tcW w:w="1276" w:type="dxa"/>
            <w:tcBorders>
              <w:top w:val="nil"/>
              <w:left w:val="nil"/>
              <w:bottom w:val="single" w:sz="4" w:space="0" w:color="auto"/>
              <w:right w:val="single" w:sz="4" w:space="0" w:color="auto"/>
            </w:tcBorders>
            <w:vAlign w:val="center"/>
          </w:tcPr>
          <w:p w14:paraId="32820CEF" w14:textId="77777777" w:rsidR="00B50168" w:rsidRPr="00EB6FFF" w:rsidRDefault="00B50168" w:rsidP="00B50168">
            <w:pPr>
              <w:jc w:val="center"/>
              <w:rPr>
                <w:bCs/>
                <w:sz w:val="20"/>
                <w:szCs w:val="20"/>
              </w:rPr>
            </w:pPr>
          </w:p>
        </w:tc>
        <w:tc>
          <w:tcPr>
            <w:tcW w:w="1134" w:type="dxa"/>
            <w:tcBorders>
              <w:left w:val="single" w:sz="4" w:space="0" w:color="auto"/>
            </w:tcBorders>
            <w:textDirection w:val="btLr"/>
            <w:vAlign w:val="center"/>
          </w:tcPr>
          <w:p w14:paraId="4236F116" w14:textId="77777777" w:rsidR="00B50168" w:rsidRPr="00EB6FFF" w:rsidRDefault="00B50168" w:rsidP="00B50168">
            <w:pPr>
              <w:ind w:left="113" w:right="113"/>
              <w:jc w:val="left"/>
              <w:rPr>
                <w:bCs/>
                <w:sz w:val="20"/>
                <w:szCs w:val="20"/>
              </w:rPr>
            </w:pPr>
            <w:r w:rsidRPr="00EB6FFF">
              <w:rPr>
                <w:b/>
                <w:bCs/>
                <w:sz w:val="20"/>
                <w:szCs w:val="20"/>
              </w:rPr>
              <w:t>Régimen General</w:t>
            </w:r>
            <w:r w:rsidRPr="00EB6FFF">
              <w:rPr>
                <w:bCs/>
                <w:sz w:val="20"/>
                <w:szCs w:val="20"/>
              </w:rPr>
              <w:t xml:space="preserve"> (agricultura, ganadería, silvicultura y pesca)</w:t>
            </w:r>
          </w:p>
        </w:tc>
        <w:tc>
          <w:tcPr>
            <w:tcW w:w="992" w:type="dxa"/>
            <w:textDirection w:val="btLr"/>
            <w:vAlign w:val="center"/>
          </w:tcPr>
          <w:p w14:paraId="50CB9EAD" w14:textId="77777777" w:rsidR="00B50168" w:rsidRPr="00EB6FFF" w:rsidRDefault="00B50168" w:rsidP="00B50168">
            <w:pPr>
              <w:ind w:left="113" w:right="113"/>
              <w:jc w:val="left"/>
              <w:rPr>
                <w:b/>
                <w:bCs/>
                <w:sz w:val="20"/>
                <w:szCs w:val="20"/>
              </w:rPr>
            </w:pPr>
            <w:r w:rsidRPr="00EB6FFF">
              <w:rPr>
                <w:b/>
                <w:bCs/>
                <w:sz w:val="20"/>
                <w:szCs w:val="20"/>
              </w:rPr>
              <w:t>Sistema Especial Agrario</w:t>
            </w:r>
          </w:p>
        </w:tc>
        <w:tc>
          <w:tcPr>
            <w:tcW w:w="992" w:type="dxa"/>
            <w:textDirection w:val="btLr"/>
            <w:vAlign w:val="center"/>
          </w:tcPr>
          <w:p w14:paraId="2E9329D7" w14:textId="77777777" w:rsidR="00B50168" w:rsidRPr="00EB6FFF" w:rsidRDefault="00B50168" w:rsidP="00B50168">
            <w:pPr>
              <w:ind w:left="113" w:right="113"/>
              <w:jc w:val="left"/>
              <w:rPr>
                <w:b/>
                <w:bCs/>
                <w:sz w:val="20"/>
                <w:szCs w:val="20"/>
              </w:rPr>
            </w:pPr>
            <w:r w:rsidRPr="00EB6FFF">
              <w:rPr>
                <w:b/>
                <w:bCs/>
                <w:sz w:val="20"/>
                <w:szCs w:val="20"/>
              </w:rPr>
              <w:t>Total</w:t>
            </w:r>
          </w:p>
        </w:tc>
        <w:tc>
          <w:tcPr>
            <w:tcW w:w="1276" w:type="dxa"/>
            <w:textDirection w:val="btLr"/>
            <w:vAlign w:val="center"/>
          </w:tcPr>
          <w:p w14:paraId="5EB8F286" w14:textId="77777777" w:rsidR="00B50168" w:rsidRPr="00EB6FFF" w:rsidRDefault="00B50168" w:rsidP="00B50168">
            <w:pPr>
              <w:ind w:left="113" w:right="113"/>
              <w:jc w:val="left"/>
              <w:rPr>
                <w:bCs/>
                <w:sz w:val="20"/>
                <w:szCs w:val="20"/>
              </w:rPr>
            </w:pPr>
            <w:r w:rsidRPr="00EB6FFF">
              <w:rPr>
                <w:b/>
                <w:bCs/>
                <w:sz w:val="20"/>
                <w:szCs w:val="20"/>
              </w:rPr>
              <w:t xml:space="preserve">RETA </w:t>
            </w:r>
            <w:r w:rsidRPr="00EB6FFF">
              <w:rPr>
                <w:bCs/>
                <w:sz w:val="20"/>
                <w:szCs w:val="20"/>
              </w:rPr>
              <w:t>(agricultura, ganadería silvicultura y pesca)</w:t>
            </w:r>
          </w:p>
        </w:tc>
        <w:tc>
          <w:tcPr>
            <w:tcW w:w="1276" w:type="dxa"/>
            <w:textDirection w:val="btLr"/>
            <w:vAlign w:val="center"/>
          </w:tcPr>
          <w:p w14:paraId="783CDB37" w14:textId="77777777" w:rsidR="00B50168" w:rsidRPr="00EB6FFF" w:rsidRDefault="00B50168" w:rsidP="00B50168">
            <w:pPr>
              <w:ind w:left="113" w:right="113"/>
              <w:jc w:val="left"/>
              <w:rPr>
                <w:b/>
                <w:bCs/>
                <w:sz w:val="20"/>
                <w:szCs w:val="20"/>
              </w:rPr>
            </w:pPr>
            <w:r w:rsidRPr="00EB6FFF">
              <w:rPr>
                <w:b/>
                <w:bCs/>
                <w:sz w:val="20"/>
                <w:szCs w:val="20"/>
              </w:rPr>
              <w:t>Sistema Especial de Trabajadores por cuenta propia agrarios (SETA)</w:t>
            </w:r>
          </w:p>
        </w:tc>
        <w:tc>
          <w:tcPr>
            <w:tcW w:w="992" w:type="dxa"/>
            <w:textDirection w:val="btLr"/>
            <w:vAlign w:val="center"/>
          </w:tcPr>
          <w:p w14:paraId="51B2B355" w14:textId="77777777" w:rsidR="00B50168" w:rsidRPr="00EB6FFF" w:rsidRDefault="00B50168" w:rsidP="00B50168">
            <w:pPr>
              <w:ind w:left="113" w:right="113"/>
              <w:jc w:val="left"/>
              <w:rPr>
                <w:b/>
                <w:bCs/>
                <w:sz w:val="20"/>
                <w:szCs w:val="20"/>
              </w:rPr>
            </w:pPr>
            <w:r w:rsidRPr="00EB6FFF">
              <w:rPr>
                <w:b/>
                <w:bCs/>
                <w:sz w:val="20"/>
                <w:szCs w:val="20"/>
              </w:rPr>
              <w:t>Total</w:t>
            </w:r>
          </w:p>
        </w:tc>
        <w:tc>
          <w:tcPr>
            <w:tcW w:w="1134" w:type="dxa"/>
            <w:vAlign w:val="center"/>
          </w:tcPr>
          <w:p w14:paraId="4F96A283" w14:textId="77777777" w:rsidR="00B50168" w:rsidRPr="00EB6FFF" w:rsidRDefault="00B50168" w:rsidP="00B50168">
            <w:pPr>
              <w:jc w:val="left"/>
              <w:rPr>
                <w:bCs/>
                <w:sz w:val="20"/>
                <w:szCs w:val="20"/>
              </w:rPr>
            </w:pPr>
          </w:p>
        </w:tc>
      </w:tr>
      <w:tr w:rsidR="00B50168" w:rsidRPr="00B50168" w14:paraId="6CAB56A5" w14:textId="77777777" w:rsidTr="00B50168">
        <w:trPr>
          <w:trHeight w:val="810"/>
        </w:trPr>
        <w:tc>
          <w:tcPr>
            <w:tcW w:w="1276" w:type="dxa"/>
            <w:tcBorders>
              <w:top w:val="single" w:sz="4" w:space="0" w:color="auto"/>
            </w:tcBorders>
            <w:vAlign w:val="center"/>
          </w:tcPr>
          <w:p w14:paraId="5B69B358" w14:textId="77777777" w:rsidR="00B50168" w:rsidRPr="00EB6FFF" w:rsidRDefault="00B50168" w:rsidP="00B50168">
            <w:pPr>
              <w:jc w:val="center"/>
              <w:rPr>
                <w:b/>
                <w:bCs/>
                <w:sz w:val="20"/>
                <w:szCs w:val="20"/>
              </w:rPr>
            </w:pPr>
            <w:r w:rsidRPr="00EB6FFF">
              <w:rPr>
                <w:b/>
                <w:bCs/>
                <w:sz w:val="20"/>
                <w:szCs w:val="20"/>
              </w:rPr>
              <w:t>Castilla y León</w:t>
            </w:r>
          </w:p>
        </w:tc>
        <w:tc>
          <w:tcPr>
            <w:tcW w:w="1134" w:type="dxa"/>
            <w:vAlign w:val="center"/>
          </w:tcPr>
          <w:p w14:paraId="01121D2D" w14:textId="77777777" w:rsidR="00B50168" w:rsidRPr="00EB6FFF" w:rsidRDefault="00B50168" w:rsidP="00B50168">
            <w:pPr>
              <w:jc w:val="center"/>
              <w:rPr>
                <w:b/>
                <w:bCs/>
                <w:sz w:val="20"/>
                <w:szCs w:val="20"/>
              </w:rPr>
            </w:pPr>
            <w:r w:rsidRPr="00EB6FFF">
              <w:rPr>
                <w:b/>
                <w:bCs/>
                <w:sz w:val="20"/>
                <w:szCs w:val="20"/>
              </w:rPr>
              <w:t>9.615</w:t>
            </w:r>
          </w:p>
        </w:tc>
        <w:tc>
          <w:tcPr>
            <w:tcW w:w="992" w:type="dxa"/>
            <w:vAlign w:val="center"/>
          </w:tcPr>
          <w:p w14:paraId="2EF5F189" w14:textId="77777777" w:rsidR="00B50168" w:rsidRPr="00EB6FFF" w:rsidRDefault="00B50168" w:rsidP="00B50168">
            <w:pPr>
              <w:jc w:val="center"/>
              <w:rPr>
                <w:b/>
                <w:bCs/>
                <w:sz w:val="20"/>
                <w:szCs w:val="20"/>
              </w:rPr>
            </w:pPr>
            <w:r w:rsidRPr="00EB6FFF">
              <w:rPr>
                <w:b/>
                <w:bCs/>
                <w:sz w:val="20"/>
                <w:szCs w:val="20"/>
              </w:rPr>
              <w:t>13.179</w:t>
            </w:r>
          </w:p>
        </w:tc>
        <w:tc>
          <w:tcPr>
            <w:tcW w:w="992" w:type="dxa"/>
            <w:vAlign w:val="center"/>
          </w:tcPr>
          <w:p w14:paraId="2C3FD25D" w14:textId="77777777" w:rsidR="00B50168" w:rsidRPr="00EB6FFF" w:rsidRDefault="00B50168" w:rsidP="00B50168">
            <w:pPr>
              <w:jc w:val="center"/>
              <w:rPr>
                <w:b/>
                <w:bCs/>
                <w:sz w:val="20"/>
                <w:szCs w:val="20"/>
              </w:rPr>
            </w:pPr>
            <w:r w:rsidRPr="00EB6FFF">
              <w:rPr>
                <w:b/>
                <w:bCs/>
                <w:sz w:val="20"/>
                <w:szCs w:val="20"/>
              </w:rPr>
              <w:t>22.794</w:t>
            </w:r>
          </w:p>
        </w:tc>
        <w:tc>
          <w:tcPr>
            <w:tcW w:w="1276" w:type="dxa"/>
            <w:vAlign w:val="center"/>
          </w:tcPr>
          <w:p w14:paraId="2776049A" w14:textId="77777777" w:rsidR="00B50168" w:rsidRPr="00EB6FFF" w:rsidRDefault="00B50168" w:rsidP="00B50168">
            <w:pPr>
              <w:jc w:val="center"/>
              <w:rPr>
                <w:b/>
                <w:bCs/>
                <w:sz w:val="20"/>
                <w:szCs w:val="20"/>
              </w:rPr>
            </w:pPr>
            <w:r w:rsidRPr="00EB6FFF">
              <w:rPr>
                <w:b/>
                <w:bCs/>
                <w:sz w:val="20"/>
                <w:szCs w:val="20"/>
              </w:rPr>
              <w:t>10.647</w:t>
            </w:r>
          </w:p>
        </w:tc>
        <w:tc>
          <w:tcPr>
            <w:tcW w:w="1276" w:type="dxa"/>
            <w:vAlign w:val="center"/>
          </w:tcPr>
          <w:p w14:paraId="759B5CB9" w14:textId="77777777" w:rsidR="00B50168" w:rsidRPr="00EB6FFF" w:rsidRDefault="00B50168" w:rsidP="00B50168">
            <w:pPr>
              <w:jc w:val="center"/>
              <w:rPr>
                <w:b/>
                <w:bCs/>
                <w:sz w:val="20"/>
                <w:szCs w:val="20"/>
              </w:rPr>
            </w:pPr>
            <w:r w:rsidRPr="00EB6FFF">
              <w:rPr>
                <w:b/>
                <w:bCs/>
                <w:sz w:val="20"/>
                <w:szCs w:val="20"/>
              </w:rPr>
              <w:t>27.038</w:t>
            </w:r>
          </w:p>
        </w:tc>
        <w:tc>
          <w:tcPr>
            <w:tcW w:w="992" w:type="dxa"/>
            <w:vAlign w:val="center"/>
          </w:tcPr>
          <w:p w14:paraId="6441266B" w14:textId="77777777" w:rsidR="00B50168" w:rsidRPr="00EB6FFF" w:rsidRDefault="00B50168" w:rsidP="00B50168">
            <w:pPr>
              <w:jc w:val="center"/>
              <w:rPr>
                <w:b/>
                <w:bCs/>
                <w:sz w:val="20"/>
                <w:szCs w:val="20"/>
              </w:rPr>
            </w:pPr>
            <w:r w:rsidRPr="00EB6FFF">
              <w:rPr>
                <w:b/>
                <w:bCs/>
                <w:sz w:val="20"/>
                <w:szCs w:val="20"/>
              </w:rPr>
              <w:t>37.685</w:t>
            </w:r>
          </w:p>
        </w:tc>
        <w:tc>
          <w:tcPr>
            <w:tcW w:w="1134" w:type="dxa"/>
            <w:vAlign w:val="center"/>
          </w:tcPr>
          <w:p w14:paraId="326BCD2F" w14:textId="77777777" w:rsidR="00B50168" w:rsidRPr="00EB6FFF" w:rsidRDefault="00B50168" w:rsidP="00B50168">
            <w:pPr>
              <w:jc w:val="center"/>
              <w:rPr>
                <w:b/>
                <w:bCs/>
                <w:sz w:val="20"/>
                <w:szCs w:val="20"/>
              </w:rPr>
            </w:pPr>
            <w:r w:rsidRPr="00EB6FFF">
              <w:rPr>
                <w:b/>
                <w:bCs/>
                <w:sz w:val="20"/>
                <w:szCs w:val="20"/>
              </w:rPr>
              <w:t>60.479</w:t>
            </w:r>
          </w:p>
        </w:tc>
      </w:tr>
      <w:tr w:rsidR="00B50168" w:rsidRPr="00B50168" w14:paraId="4B842A1C" w14:textId="77777777" w:rsidTr="00B50168">
        <w:trPr>
          <w:trHeight w:val="465"/>
        </w:trPr>
        <w:tc>
          <w:tcPr>
            <w:tcW w:w="1276" w:type="dxa"/>
            <w:vAlign w:val="center"/>
          </w:tcPr>
          <w:p w14:paraId="0427D83A" w14:textId="77777777" w:rsidR="00B50168" w:rsidRPr="00EB6FFF" w:rsidRDefault="00B50168" w:rsidP="00B50168">
            <w:pPr>
              <w:jc w:val="center"/>
              <w:rPr>
                <w:bCs/>
                <w:sz w:val="20"/>
                <w:szCs w:val="20"/>
              </w:rPr>
            </w:pPr>
            <w:r w:rsidRPr="00EB6FFF">
              <w:rPr>
                <w:bCs/>
                <w:sz w:val="20"/>
                <w:szCs w:val="20"/>
              </w:rPr>
              <w:t>España</w:t>
            </w:r>
          </w:p>
        </w:tc>
        <w:tc>
          <w:tcPr>
            <w:tcW w:w="1134" w:type="dxa"/>
            <w:vAlign w:val="center"/>
          </w:tcPr>
          <w:p w14:paraId="079EEC49" w14:textId="77777777" w:rsidR="00B50168" w:rsidRPr="00EB6FFF" w:rsidRDefault="00B50168" w:rsidP="00B50168">
            <w:pPr>
              <w:jc w:val="center"/>
              <w:rPr>
                <w:bCs/>
                <w:sz w:val="20"/>
                <w:szCs w:val="20"/>
              </w:rPr>
            </w:pPr>
            <w:r w:rsidRPr="00EB6FFF">
              <w:rPr>
                <w:bCs/>
                <w:sz w:val="20"/>
                <w:szCs w:val="20"/>
              </w:rPr>
              <w:t>79.424</w:t>
            </w:r>
          </w:p>
        </w:tc>
        <w:tc>
          <w:tcPr>
            <w:tcW w:w="992" w:type="dxa"/>
            <w:vAlign w:val="center"/>
          </w:tcPr>
          <w:p w14:paraId="76DB5D5F" w14:textId="77777777" w:rsidR="00B50168" w:rsidRPr="00EB6FFF" w:rsidRDefault="00B50168" w:rsidP="00B50168">
            <w:pPr>
              <w:jc w:val="center"/>
              <w:rPr>
                <w:bCs/>
                <w:sz w:val="20"/>
                <w:szCs w:val="20"/>
              </w:rPr>
            </w:pPr>
            <w:r w:rsidRPr="00EB6FFF">
              <w:rPr>
                <w:bCs/>
                <w:sz w:val="20"/>
                <w:szCs w:val="20"/>
              </w:rPr>
              <w:t>671.937</w:t>
            </w:r>
          </w:p>
        </w:tc>
        <w:tc>
          <w:tcPr>
            <w:tcW w:w="992" w:type="dxa"/>
            <w:vAlign w:val="center"/>
          </w:tcPr>
          <w:p w14:paraId="5899EFD5" w14:textId="77777777" w:rsidR="00B50168" w:rsidRPr="00EB6FFF" w:rsidRDefault="00B50168" w:rsidP="00B50168">
            <w:pPr>
              <w:jc w:val="center"/>
              <w:rPr>
                <w:bCs/>
                <w:sz w:val="20"/>
                <w:szCs w:val="20"/>
              </w:rPr>
            </w:pPr>
            <w:r w:rsidRPr="00EB6FFF">
              <w:rPr>
                <w:bCs/>
                <w:sz w:val="20"/>
                <w:szCs w:val="20"/>
              </w:rPr>
              <w:t>751.361</w:t>
            </w:r>
          </w:p>
        </w:tc>
        <w:tc>
          <w:tcPr>
            <w:tcW w:w="1276" w:type="dxa"/>
            <w:vAlign w:val="center"/>
          </w:tcPr>
          <w:p w14:paraId="2492B4FE" w14:textId="77777777" w:rsidR="00B50168" w:rsidRPr="00EB6FFF" w:rsidRDefault="00B50168" w:rsidP="00B50168">
            <w:pPr>
              <w:jc w:val="center"/>
              <w:rPr>
                <w:bCs/>
                <w:sz w:val="20"/>
                <w:szCs w:val="20"/>
              </w:rPr>
            </w:pPr>
            <w:r w:rsidRPr="00EB6FFF">
              <w:rPr>
                <w:bCs/>
                <w:sz w:val="20"/>
                <w:szCs w:val="20"/>
              </w:rPr>
              <w:t>90.233</w:t>
            </w:r>
          </w:p>
        </w:tc>
        <w:tc>
          <w:tcPr>
            <w:tcW w:w="1276" w:type="dxa"/>
            <w:vAlign w:val="center"/>
          </w:tcPr>
          <w:p w14:paraId="2B363C5B" w14:textId="77777777" w:rsidR="00B50168" w:rsidRPr="00EB6FFF" w:rsidRDefault="00B50168" w:rsidP="00B50168">
            <w:pPr>
              <w:jc w:val="center"/>
              <w:rPr>
                <w:bCs/>
                <w:sz w:val="20"/>
                <w:szCs w:val="20"/>
              </w:rPr>
            </w:pPr>
            <w:r w:rsidRPr="00EB6FFF">
              <w:rPr>
                <w:bCs/>
                <w:sz w:val="20"/>
                <w:szCs w:val="20"/>
              </w:rPr>
              <w:t>168.857</w:t>
            </w:r>
          </w:p>
        </w:tc>
        <w:tc>
          <w:tcPr>
            <w:tcW w:w="992" w:type="dxa"/>
            <w:vAlign w:val="center"/>
          </w:tcPr>
          <w:p w14:paraId="5AB63EDB" w14:textId="77777777" w:rsidR="00B50168" w:rsidRPr="00EB6FFF" w:rsidRDefault="00B50168" w:rsidP="00B50168">
            <w:pPr>
              <w:jc w:val="center"/>
              <w:rPr>
                <w:bCs/>
                <w:sz w:val="20"/>
                <w:szCs w:val="20"/>
              </w:rPr>
            </w:pPr>
            <w:r w:rsidRPr="00EB6FFF">
              <w:rPr>
                <w:bCs/>
                <w:sz w:val="20"/>
                <w:szCs w:val="20"/>
              </w:rPr>
              <w:t>259.090</w:t>
            </w:r>
          </w:p>
        </w:tc>
        <w:tc>
          <w:tcPr>
            <w:tcW w:w="1134" w:type="dxa"/>
            <w:vAlign w:val="center"/>
          </w:tcPr>
          <w:p w14:paraId="1C96428F" w14:textId="77777777" w:rsidR="00B50168" w:rsidRPr="00EB6FFF" w:rsidRDefault="00B50168" w:rsidP="00B50168">
            <w:pPr>
              <w:jc w:val="center"/>
              <w:rPr>
                <w:bCs/>
                <w:sz w:val="20"/>
                <w:szCs w:val="20"/>
              </w:rPr>
            </w:pPr>
            <w:r w:rsidRPr="00EB6FFF">
              <w:rPr>
                <w:bCs/>
                <w:sz w:val="20"/>
                <w:szCs w:val="20"/>
              </w:rPr>
              <w:t>1.010.451</w:t>
            </w:r>
          </w:p>
        </w:tc>
      </w:tr>
    </w:tbl>
    <w:p w14:paraId="6151D538" w14:textId="77777777" w:rsidR="00EB6FFF" w:rsidRPr="00EB6FFF" w:rsidRDefault="00EB6FFF" w:rsidP="00EB6FFF">
      <w:pPr>
        <w:rPr>
          <w:bCs/>
        </w:rPr>
      </w:pPr>
    </w:p>
    <w:p w14:paraId="72E6069E" w14:textId="77777777" w:rsidR="00B50168" w:rsidRPr="00B50168" w:rsidRDefault="00B50168" w:rsidP="00B50168">
      <w:pPr>
        <w:jc w:val="center"/>
        <w:rPr>
          <w:bCs/>
          <w:i/>
          <w:iCs/>
          <w:sz w:val="18"/>
          <w:szCs w:val="18"/>
        </w:rPr>
      </w:pPr>
      <w:r w:rsidRPr="00B50168">
        <w:rPr>
          <w:bCs/>
          <w:i/>
          <w:iCs/>
          <w:sz w:val="18"/>
          <w:szCs w:val="18"/>
        </w:rPr>
        <w:t>N.º de afiliados a la Seguridad Social en la actividad agraria. Media noviembre de 2023</w:t>
      </w:r>
    </w:p>
    <w:p w14:paraId="42735479" w14:textId="77777777" w:rsidR="00B50168" w:rsidRDefault="00B50168" w:rsidP="00EB6FFF">
      <w:pPr>
        <w:rPr>
          <w:bCs/>
        </w:rPr>
      </w:pPr>
    </w:p>
    <w:p w14:paraId="1B6DBA3C" w14:textId="4C665FE5" w:rsidR="00EB6FFF" w:rsidRPr="00EB6FFF" w:rsidRDefault="00EB6FFF" w:rsidP="00EB6FFF">
      <w:pPr>
        <w:rPr>
          <w:bCs/>
        </w:rPr>
      </w:pPr>
      <w:r w:rsidRPr="00EB6FFF">
        <w:rPr>
          <w:bCs/>
        </w:rPr>
        <w:t>Los datos muestran que este descenso de autónomos se debe al descenso de los afiliados al SETA que no compensa los leves incrementos de los autónomos del RETA (agravado además porque que aquí también se incluyen los forestales y los de la acuicultura). Por ello, desde ASAJA solicitamos que se revisen las condiciones del sistema especial agrario para que no continue la p</w:t>
      </w:r>
      <w:r w:rsidR="002D3A9C">
        <w:rPr>
          <w:bCs/>
        </w:rPr>
        <w:t>é</w:t>
      </w:r>
      <w:r w:rsidRPr="00EB6FFF">
        <w:rPr>
          <w:bCs/>
        </w:rPr>
        <w:t>rdida de activos en un sector tan importante para la economía como es el sector agrario.</w:t>
      </w:r>
    </w:p>
    <w:p w14:paraId="5B8E510F" w14:textId="77777777" w:rsidR="00EB6FFF" w:rsidRDefault="00EB6FFF" w:rsidP="00EB6FFF">
      <w:pPr>
        <w:rPr>
          <w:bCs/>
        </w:rPr>
      </w:pPr>
      <w:r w:rsidRPr="00EB6FFF">
        <w:rPr>
          <w:bCs/>
          <w:u w:val="single"/>
        </w:rPr>
        <w:t>Respecto a la afiliación extranjera</w:t>
      </w:r>
      <w:r w:rsidRPr="00EB6FFF">
        <w:rPr>
          <w:bCs/>
        </w:rPr>
        <w:t xml:space="preserve"> se observa un incremento de la afiliación extranjera en el sector agrario respecto al año anterior tanto en España (2.709 afiliados más) como en nuestra Comunidad (157 más). En ambos casos, el mayor porcentaje de extranjeros se encuentran en el régimen general, siendo también mayor el porcentaje de extranjeros en el régimen general en Castilla y León que en España. En concreto, en España en el Sistema Especial Agrario (SEA) el 33% son extranjeros y el 67% españoles y en Castilla y León ese porcentaje es del 42% extranjeros y el 58% españoles. En el régimen general en la actividad agraria, el porcentaje para España es del 23% extranjeros y 77% de españoles y para nuestra Comunidad sería del 30% y 70% respectivamente.</w:t>
      </w:r>
    </w:p>
    <w:p w14:paraId="159D5149" w14:textId="77777777" w:rsidR="00561A22" w:rsidRPr="00EB6FFF" w:rsidRDefault="00561A22" w:rsidP="00EB6FFF">
      <w:pPr>
        <w:rPr>
          <w:bCs/>
        </w:rPr>
      </w:pPr>
    </w:p>
    <w:p w14:paraId="120828B8" w14:textId="5A307E52" w:rsidR="00EB6FFF" w:rsidRDefault="000D68B3" w:rsidP="00EB6FFF">
      <w:pPr>
        <w:rPr>
          <w:bCs/>
        </w:rPr>
      </w:pPr>
      <w:r w:rsidRPr="000D68B3">
        <w:t>Respecto al</w:t>
      </w:r>
      <w:r>
        <w:rPr>
          <w:b/>
          <w:bCs/>
        </w:rPr>
        <w:t xml:space="preserve"> </w:t>
      </w:r>
      <w:r w:rsidR="00EB6FFF" w:rsidRPr="00EB6FFF">
        <w:rPr>
          <w:b/>
          <w:bCs/>
        </w:rPr>
        <w:t>Salario mínimo interprofesional</w:t>
      </w:r>
      <w:r w:rsidRPr="000D68B3">
        <w:t>, e</w:t>
      </w:r>
      <w:r w:rsidR="00EB6FFF" w:rsidRPr="000D68B3">
        <w:t>l</w:t>
      </w:r>
      <w:r w:rsidR="00EB6FFF" w:rsidRPr="00EB6FFF">
        <w:rPr>
          <w:bCs/>
        </w:rPr>
        <w:t xml:space="preserve"> SMI para el 2023 se estableció en 1.080 euros al mes en 14 pagas, por lo tanto, 15.120 euros brutos al año. Para los trabajadores temporeros a los que se les pague la parte proporcional de domingos y festivos, así como las gratificaciones extraordinarias, el salario diario no podrá ser inferior a 51,51 euros, y se ha de añadir la parte correspondiente a vacaciones no disfrutadas. </w:t>
      </w:r>
    </w:p>
    <w:p w14:paraId="03694000" w14:textId="77777777" w:rsidR="00561A22" w:rsidRPr="000D68B3" w:rsidRDefault="00561A22" w:rsidP="00EB6FFF">
      <w:pPr>
        <w:rPr>
          <w:b/>
          <w:bCs/>
        </w:rPr>
      </w:pPr>
    </w:p>
    <w:p w14:paraId="68F4E6C7" w14:textId="33461791" w:rsidR="00EB6FFF" w:rsidRDefault="000D68B3" w:rsidP="00EB6FFF">
      <w:pPr>
        <w:rPr>
          <w:bCs/>
        </w:rPr>
      </w:pPr>
      <w:r w:rsidRPr="000D68B3">
        <w:t>En cuanto a la</w:t>
      </w:r>
      <w:r>
        <w:rPr>
          <w:b/>
          <w:bCs/>
        </w:rPr>
        <w:t xml:space="preserve"> S</w:t>
      </w:r>
      <w:r w:rsidR="00EB6FFF" w:rsidRPr="00EB6FFF">
        <w:rPr>
          <w:b/>
          <w:bCs/>
        </w:rPr>
        <w:t>eguridad Social</w:t>
      </w:r>
      <w:r w:rsidRPr="005B3A25">
        <w:t xml:space="preserve">, </w:t>
      </w:r>
      <w:r w:rsidR="005B3A25" w:rsidRPr="005B3A25">
        <w:t>en 2023</w:t>
      </w:r>
      <w:r w:rsidR="00EB6FFF" w:rsidRPr="00EB6FFF">
        <w:rPr>
          <w:bCs/>
        </w:rPr>
        <w:t xml:space="preserve"> ha entrado en vigor el </w:t>
      </w:r>
      <w:r w:rsidR="00EB6FFF" w:rsidRPr="00EB6FFF">
        <w:rPr>
          <w:b/>
          <w:bCs/>
        </w:rPr>
        <w:t>nuevo sistema de cotización para los trabajadores por cuenta propia o autónomos.</w:t>
      </w:r>
      <w:r w:rsidR="00561A22">
        <w:rPr>
          <w:b/>
          <w:bCs/>
        </w:rPr>
        <w:t xml:space="preserve"> </w:t>
      </w:r>
      <w:r w:rsidR="00EB6FFF" w:rsidRPr="00EB6FFF">
        <w:rPr>
          <w:bCs/>
        </w:rPr>
        <w:t>Ahora la base de cotización se determina por el volumen neto de ingresos que se obtiene en la actividad agropecuaria y si fuera el caso también en otras actividades secundarias como trabajadores por cuenta propia.</w:t>
      </w:r>
      <w:r w:rsidR="00561A22">
        <w:rPr>
          <w:b/>
          <w:bCs/>
        </w:rPr>
        <w:t xml:space="preserve"> </w:t>
      </w:r>
      <w:r w:rsidR="00EB6FFF" w:rsidRPr="00EB6FFF">
        <w:rPr>
          <w:bCs/>
        </w:rPr>
        <w:t xml:space="preserve">Los profesionales no saben cuánto tienen que pagar hasta que en el 2024 se haga la declaración del IRPF, por lo que algunos agricultores verán cómo se le hace una corrección en su cotización reclamando cuotas adicionales de meses pasados. Este sistema de recaudación, un tanto complicado administrativamente, ocasionará muchos problemas de gestión al sector, que tendrá que adaptarse cuanto antes para no verse perjudicado en el pago de subvenciones a las que se tiene derecho. </w:t>
      </w:r>
    </w:p>
    <w:p w14:paraId="400DAAC2" w14:textId="77777777" w:rsidR="00561A22" w:rsidRPr="00561A22" w:rsidRDefault="00561A22" w:rsidP="00EB6FFF">
      <w:pPr>
        <w:rPr>
          <w:b/>
          <w:bCs/>
        </w:rPr>
      </w:pPr>
    </w:p>
    <w:p w14:paraId="6E00D1F8" w14:textId="599DBD01" w:rsidR="00EB6FFF" w:rsidRPr="00EB6FFF" w:rsidRDefault="00EB6FFF" w:rsidP="00EB6FFF">
      <w:pPr>
        <w:rPr>
          <w:bCs/>
        </w:rPr>
      </w:pPr>
      <w:r w:rsidRPr="00EB6FFF">
        <w:rPr>
          <w:bCs/>
        </w:rPr>
        <w:t xml:space="preserve">El sector agrario tiene que aspirar a tener pensiones superiores a la media del país, pensiones acordes con el trabajo desempeñado, y quizás para ello, en algunos casos, será necesario pagar algo más. Cierto que para pagar más hay que poder, hay que tener margen en la venta de los productos. Respecto a las </w:t>
      </w:r>
      <w:r w:rsidRPr="00EB6FFF">
        <w:rPr>
          <w:b/>
          <w:bCs/>
        </w:rPr>
        <w:t>pensiones de jubilación</w:t>
      </w:r>
      <w:r w:rsidRPr="00EB6FFF">
        <w:rPr>
          <w:bCs/>
        </w:rPr>
        <w:t xml:space="preserve"> de los autónomos y asalariados del campo</w:t>
      </w:r>
      <w:r w:rsidR="002D3A9C">
        <w:rPr>
          <w:bCs/>
        </w:rPr>
        <w:t>, h</w:t>
      </w:r>
      <w:r w:rsidRPr="00EB6FFF">
        <w:rPr>
          <w:bCs/>
        </w:rPr>
        <w:t>oy en día, no se les permite la integración de lagunas en los periodos en los que no existe la obligación de cotizar, computando como cero la base de esos meses en lo que no ha habido cotización, mientras que, en el régimen general, excepto para los agrícolas por cuenta ajena, esos meses se cotizaría por el 100% de la base mínima para mayores de 18 años durante 48 meses y el resto de las mensualidades al 50% de la citada base mínima.</w:t>
      </w:r>
      <w:r w:rsidR="00561A22">
        <w:rPr>
          <w:bCs/>
        </w:rPr>
        <w:t xml:space="preserve"> </w:t>
      </w:r>
      <w:r w:rsidRPr="00EB6FFF">
        <w:rPr>
          <w:bCs/>
        </w:rPr>
        <w:t>Al no existir esa integración se está penalizando a los trabajadores autónomos (mayoría en Castilla y León) y a los asalariados agrarios, disminuyendo de forma muy importante la cuantía final de la pensión. Por ello, desde ASAJA se insiste en la necesidad de que hagan las reformas normativas necesarias para acabar con la discriminación que sufren los trabajadores del sector agrario.</w:t>
      </w:r>
    </w:p>
    <w:p w14:paraId="66373E19" w14:textId="77777777" w:rsidR="00B50168" w:rsidRDefault="00B50168" w:rsidP="00EB6FFF">
      <w:pPr>
        <w:rPr>
          <w:b/>
          <w:bCs/>
        </w:rPr>
      </w:pPr>
    </w:p>
    <w:p w14:paraId="3083F98D" w14:textId="486BAF77" w:rsidR="00EB6FFF" w:rsidRPr="00EB6FFF" w:rsidRDefault="00EB6FFF" w:rsidP="00A83064">
      <w:pPr>
        <w:jc w:val="left"/>
        <w:rPr>
          <w:b/>
          <w:bCs/>
        </w:rPr>
      </w:pPr>
      <w:r w:rsidRPr="00EB6FFF">
        <w:rPr>
          <w:b/>
          <w:bCs/>
        </w:rPr>
        <w:t>IRPF</w:t>
      </w:r>
    </w:p>
    <w:p w14:paraId="520963C6" w14:textId="77777777" w:rsidR="00EB6FFF" w:rsidRPr="00EB6FFF" w:rsidRDefault="00EB6FFF" w:rsidP="00EB6FFF">
      <w:pPr>
        <w:rPr>
          <w:bCs/>
        </w:rPr>
      </w:pPr>
      <w:r w:rsidRPr="00EB6FFF">
        <w:rPr>
          <w:bCs/>
        </w:rPr>
        <w:t>Hacienda mantuvo durante 2023 el sistema de módulos y sus límites de facturación para que los autónomos puedan tributar en este régimen.</w:t>
      </w:r>
    </w:p>
    <w:p w14:paraId="7DCD835D" w14:textId="35D60C06" w:rsidR="00EB6FFF" w:rsidRDefault="00EB6FFF" w:rsidP="00EB6FFF">
      <w:pPr>
        <w:rPr>
          <w:bCs/>
        </w:rPr>
      </w:pPr>
      <w:r w:rsidRPr="00EB6FFF">
        <w:rPr>
          <w:bCs/>
        </w:rPr>
        <w:t>Se estableció en este sistema una reducción general del rendimiento neto del 25%, así como una minoración del rendimiento neto un 35% por adquisición de gasóleo agrícola y un 15% por la compra de fertilizantes.</w:t>
      </w:r>
      <w:r w:rsidR="00561A22">
        <w:rPr>
          <w:bCs/>
        </w:rPr>
        <w:t xml:space="preserve"> </w:t>
      </w:r>
      <w:r w:rsidRPr="00EB6FFF">
        <w:rPr>
          <w:bCs/>
        </w:rPr>
        <w:t xml:space="preserve">Desde ASAJA insistimos un año más que estas medidas benefician exclusivamente a las explotaciones que están adscritas al sistema de módulos, que numéricamente son las más numerosas, pero deja fuera a otras que están obligadas a cotizar en otro régimen fiscal, bien por estar más dimensionadas o bien por gestionarse </w:t>
      </w:r>
      <w:r w:rsidRPr="00EB6FFF">
        <w:rPr>
          <w:bCs/>
        </w:rPr>
        <w:lastRenderedPageBreak/>
        <w:t>bajo fórmulas jurídicas asociativas, algo muy frecuente en el caso de granjas ganaderas como el vacuno de leche.</w:t>
      </w:r>
    </w:p>
    <w:p w14:paraId="192E9631" w14:textId="06DC454C" w:rsidR="001C6E7E" w:rsidRPr="001C6E7E" w:rsidRDefault="001C6E7E" w:rsidP="001C6E7E">
      <w:pPr>
        <w:rPr>
          <w:bCs/>
        </w:rPr>
      </w:pPr>
      <w:r>
        <w:rPr>
          <w:bCs/>
        </w:rPr>
        <w:t>En abril se publicó una</w:t>
      </w:r>
      <w:r w:rsidRPr="001C6E7E">
        <w:rPr>
          <w:bCs/>
        </w:rPr>
        <w:t xml:space="preserve"> revisión a la baja de los índices de rendimiento neto aplicables en el método de Estimación Objetiva (módulos) del IRPF para actividades agrícolas y ganaderas en el periodo impositivo de 2022</w:t>
      </w:r>
      <w:r>
        <w:rPr>
          <w:bCs/>
        </w:rPr>
        <w:t>. S</w:t>
      </w:r>
      <w:r w:rsidRPr="001C6E7E">
        <w:rPr>
          <w:bCs/>
        </w:rPr>
        <w:t>e redujo</w:t>
      </w:r>
      <w:r>
        <w:rPr>
          <w:bCs/>
        </w:rPr>
        <w:t>,</w:t>
      </w:r>
      <w:r w:rsidRPr="001C6E7E">
        <w:rPr>
          <w:bCs/>
        </w:rPr>
        <w:t xml:space="preserve"> para toda España, los índices de todos los sectores ganaderos que sufrieron un importante aumento de los costes de producción, y muy particularmente la apicultura, así como los índices de los cereales, leguminosas y oleaginosas, sin perjuicio de una reducción mayor en determinadas provincias y términos municipales. Sin embargo, no se redujeron los de otras producciones agrarias</w:t>
      </w:r>
      <w:r>
        <w:rPr>
          <w:bCs/>
        </w:rPr>
        <w:t xml:space="preserve"> importantes para Castilla y León</w:t>
      </w:r>
      <w:r w:rsidRPr="001C6E7E">
        <w:rPr>
          <w:bCs/>
        </w:rPr>
        <w:t>, como los forrajes, frutales, lúpulo, alubias o patatas, entre otros</w:t>
      </w:r>
    </w:p>
    <w:p w14:paraId="2B448C93" w14:textId="5F1E7537" w:rsidR="001C6E7E" w:rsidRPr="001C6E7E" w:rsidRDefault="001C6E7E" w:rsidP="001C6E7E">
      <w:pPr>
        <w:rPr>
          <w:bCs/>
        </w:rPr>
      </w:pPr>
      <w:r>
        <w:rPr>
          <w:bCs/>
        </w:rPr>
        <w:t>También s</w:t>
      </w:r>
      <w:r w:rsidRPr="001C6E7E">
        <w:rPr>
          <w:bCs/>
        </w:rPr>
        <w:t xml:space="preserve">e produjo una reducción general sobre el rendimiento neto de módulos </w:t>
      </w:r>
      <w:r>
        <w:rPr>
          <w:bCs/>
        </w:rPr>
        <w:t>d</w:t>
      </w:r>
      <w:r w:rsidRPr="001C6E7E">
        <w:rPr>
          <w:bCs/>
        </w:rPr>
        <w:t>el 15% al 25% para las actividades agrícolas, ganaderas y forestales.</w:t>
      </w:r>
    </w:p>
    <w:p w14:paraId="33D8CACD" w14:textId="58C2BF12" w:rsidR="00B50168" w:rsidRDefault="001C6E7E" w:rsidP="00EB6FFF">
      <w:pPr>
        <w:rPr>
          <w:b/>
          <w:bCs/>
        </w:rPr>
      </w:pPr>
      <w:r w:rsidRPr="001C6E7E">
        <w:rPr>
          <w:bCs/>
        </w:rPr>
        <w:t>ASAJA valoró positivamente</w:t>
      </w:r>
      <w:r w:rsidR="000A2BFF">
        <w:rPr>
          <w:bCs/>
        </w:rPr>
        <w:t xml:space="preserve"> la revisión, </w:t>
      </w:r>
      <w:r w:rsidRPr="001C6E7E">
        <w:rPr>
          <w:bCs/>
        </w:rPr>
        <w:t xml:space="preserve">aunque criticó que una vez más se quedaban fuera de estas mejoras los </w:t>
      </w:r>
      <w:r w:rsidR="000A2BFF">
        <w:rPr>
          <w:bCs/>
        </w:rPr>
        <w:t xml:space="preserve">agricultores </w:t>
      </w:r>
      <w:r w:rsidRPr="001C6E7E">
        <w:rPr>
          <w:bCs/>
        </w:rPr>
        <w:t xml:space="preserve">que están en Estimación Directa. </w:t>
      </w:r>
      <w:r>
        <w:rPr>
          <w:bCs/>
        </w:rPr>
        <w:t xml:space="preserve"> </w:t>
      </w:r>
    </w:p>
    <w:p w14:paraId="36ADD6D6" w14:textId="77777777" w:rsidR="000A2BFF" w:rsidRDefault="000A2BFF" w:rsidP="00EB6FFF">
      <w:pPr>
        <w:rPr>
          <w:b/>
          <w:bCs/>
        </w:rPr>
      </w:pPr>
    </w:p>
    <w:p w14:paraId="50358AA9" w14:textId="4228EA35" w:rsidR="00EB6FFF" w:rsidRPr="00EB6FFF" w:rsidRDefault="00EB6FFF" w:rsidP="00EB6FFF">
      <w:pPr>
        <w:rPr>
          <w:b/>
          <w:bCs/>
        </w:rPr>
      </w:pPr>
      <w:r w:rsidRPr="00EB6FFF">
        <w:rPr>
          <w:b/>
          <w:bCs/>
        </w:rPr>
        <w:t>IVA</w:t>
      </w:r>
    </w:p>
    <w:p w14:paraId="3115433F" w14:textId="77777777" w:rsidR="00EB6FFF" w:rsidRPr="00EB6FFF" w:rsidRDefault="00EB6FFF" w:rsidP="00EB6FFF">
      <w:pPr>
        <w:rPr>
          <w:bCs/>
        </w:rPr>
      </w:pPr>
      <w:r w:rsidRPr="00EB6FFF">
        <w:rPr>
          <w:bCs/>
        </w:rPr>
        <w:t>Durante el 2023 se redujo el IVA de los alimentos de primera necesidad del 4% al 0% y el de otros alimentos básicos del 10% al 5%. Esta medida también se extenderá durante el primer semestre de 2024, si bien se sigue excluyendo de esa rebaja la carne. Desde ASAJA consideramos que lo que esto conlleva es una cierta </w:t>
      </w:r>
      <w:r w:rsidRPr="00EB6FFF">
        <w:rPr>
          <w:bCs/>
          <w:i/>
          <w:iCs/>
        </w:rPr>
        <w:t>criminalización </w:t>
      </w:r>
      <w:r w:rsidRPr="00EB6FFF">
        <w:rPr>
          <w:bCs/>
        </w:rPr>
        <w:t>del consumo de carne y de la ganadería desde ciertas esferas políticas y sociales, tanto a nivel nacional como internacional, ya que la inclusión de la carne incentivaría la compra de este alimento básico de nuestra dieta y de nuestra cultura gastronómica, más allá de la evidente importancia económica y laboral que tradicionalmente la ganadería de carne posee en España.</w:t>
      </w:r>
    </w:p>
    <w:p w14:paraId="6AF9E6D6" w14:textId="77777777" w:rsidR="00B50168" w:rsidRDefault="00B50168" w:rsidP="00EB6FFF">
      <w:pPr>
        <w:rPr>
          <w:b/>
          <w:bCs/>
        </w:rPr>
      </w:pPr>
    </w:p>
    <w:p w14:paraId="00408755" w14:textId="4ECE8A6D" w:rsidR="00EB6FFF" w:rsidRPr="005A3C77" w:rsidRDefault="005A3C77" w:rsidP="00EB6FFF">
      <w:pPr>
        <w:rPr>
          <w:b/>
          <w:bCs/>
        </w:rPr>
      </w:pPr>
      <w:r w:rsidRPr="005A3C77">
        <w:t xml:space="preserve">Mencionar también algunas </w:t>
      </w:r>
      <w:r>
        <w:rPr>
          <w:b/>
          <w:bCs/>
        </w:rPr>
        <w:t>m</w:t>
      </w:r>
      <w:r w:rsidR="00EB6FFF" w:rsidRPr="00EB6FFF">
        <w:rPr>
          <w:b/>
          <w:bCs/>
        </w:rPr>
        <w:t>edidas fiscales en Castilla y León</w:t>
      </w:r>
      <w:r>
        <w:rPr>
          <w:b/>
          <w:bCs/>
        </w:rPr>
        <w:t xml:space="preserve">. </w:t>
      </w:r>
      <w:r w:rsidR="00EB6FFF" w:rsidRPr="00EB6FFF">
        <w:rPr>
          <w:bCs/>
        </w:rPr>
        <w:t>ASAJA</w:t>
      </w:r>
      <w:r>
        <w:rPr>
          <w:bCs/>
        </w:rPr>
        <w:t xml:space="preserve"> </w:t>
      </w:r>
      <w:r w:rsidR="00EB6FFF" w:rsidRPr="00EB6FFF">
        <w:rPr>
          <w:bCs/>
        </w:rPr>
        <w:t>Castilla y León solicitó en marzo de 2023 la prórroga de la bonificación del 100% de la tasa por la prestación de servicios veterinarios porque los ganaderos de la región estaban atravesando un año complicado por la subida de precios de los insumos agravado por problemas sanitarios que exigen acudir más frecuentemente al servicio veterinario.</w:t>
      </w:r>
      <w:r w:rsidR="00561A22">
        <w:rPr>
          <w:bCs/>
        </w:rPr>
        <w:t xml:space="preserve"> </w:t>
      </w:r>
      <w:r w:rsidR="00EB6FFF" w:rsidRPr="00EB6FFF">
        <w:rPr>
          <w:bCs/>
        </w:rPr>
        <w:t>El Boletín Oficial de Castilla y León (</w:t>
      </w:r>
      <w:proofErr w:type="spellStart"/>
      <w:r w:rsidR="00EB6FFF" w:rsidRPr="00EB6FFF">
        <w:rPr>
          <w:bCs/>
        </w:rPr>
        <w:t>Bocyl</w:t>
      </w:r>
      <w:proofErr w:type="spellEnd"/>
      <w:r w:rsidR="00EB6FFF" w:rsidRPr="00EB6FFF">
        <w:rPr>
          <w:bCs/>
        </w:rPr>
        <w:t>) publicó el 15 de noviembre de 2023 una disposición de la Presidencia de la Junta para la bonificación del 95% de las tasas del servicio veterinario durante los próximos dos años.</w:t>
      </w:r>
    </w:p>
    <w:p w14:paraId="469487A5" w14:textId="77777777" w:rsidR="00EB6FFF" w:rsidRPr="00EB6FFF" w:rsidRDefault="00EB6FFF" w:rsidP="00EB6FFF">
      <w:pPr>
        <w:rPr>
          <w:bCs/>
        </w:rPr>
      </w:pPr>
      <w:r w:rsidRPr="00EB6FFF">
        <w:rPr>
          <w:bCs/>
        </w:rPr>
        <w:t>Por otro lado, en febrero del 2023 ASAJA solicitó la modificación de la bonificación del 100% de la cuota del impuesto de transmisiones patrimoniales onerosas a los arrendamientos de fincas rústicas, en el sentido de que dicha bonificación se aplicara a todos los agricultores profesionales dados de alta en la Seguridad Social como cotizantes por su actividad agraria, petición que se recoge en el anteproyecto de ley de medidas tributarias, financieras y administrativas de 2024.</w:t>
      </w:r>
    </w:p>
    <w:p w14:paraId="4B248E86" w14:textId="77777777" w:rsidR="00EB6FFF" w:rsidRDefault="00EB6FFF" w:rsidP="00EB6FFF">
      <w:pPr>
        <w:rPr>
          <w:bCs/>
        </w:rPr>
      </w:pPr>
    </w:p>
    <w:p w14:paraId="677123AB" w14:textId="77777777" w:rsidR="000A2BFF" w:rsidRDefault="000A2BFF" w:rsidP="00B50168">
      <w:pPr>
        <w:jc w:val="center"/>
        <w:rPr>
          <w:b/>
          <w:bCs/>
        </w:rPr>
      </w:pPr>
    </w:p>
    <w:p w14:paraId="17D392BF" w14:textId="77777777" w:rsidR="001B3ACF" w:rsidRDefault="001B3ACF" w:rsidP="00B50168">
      <w:pPr>
        <w:jc w:val="center"/>
        <w:rPr>
          <w:b/>
          <w:bCs/>
        </w:rPr>
      </w:pPr>
    </w:p>
    <w:p w14:paraId="547C7AC7" w14:textId="611E6E0F" w:rsidR="00EB6FFF" w:rsidRDefault="00EB6FFF" w:rsidP="00B50168">
      <w:pPr>
        <w:jc w:val="center"/>
        <w:rPr>
          <w:b/>
          <w:bCs/>
        </w:rPr>
      </w:pPr>
      <w:r w:rsidRPr="00EB6FFF">
        <w:rPr>
          <w:b/>
          <w:bCs/>
        </w:rPr>
        <w:lastRenderedPageBreak/>
        <w:t>MEDIO AMBIENTE</w:t>
      </w:r>
    </w:p>
    <w:p w14:paraId="3CF553E5" w14:textId="77777777" w:rsidR="00B50168" w:rsidRPr="00EB6FFF" w:rsidRDefault="00B50168" w:rsidP="00B50168">
      <w:pPr>
        <w:jc w:val="center"/>
        <w:rPr>
          <w:bCs/>
        </w:rPr>
      </w:pPr>
    </w:p>
    <w:p w14:paraId="196C564D" w14:textId="575AE725" w:rsidR="00EB6FFF" w:rsidRDefault="00EB6FFF" w:rsidP="00EB6FFF">
      <w:pPr>
        <w:rPr>
          <w:bCs/>
        </w:rPr>
      </w:pPr>
      <w:bookmarkStart w:id="10" w:name="_Hlk155264034"/>
      <w:r w:rsidRPr="00EB6FFF">
        <w:rPr>
          <w:bCs/>
        </w:rPr>
        <w:t xml:space="preserve">Fruto del cambio de </w:t>
      </w:r>
      <w:r w:rsidRPr="001202B7">
        <w:rPr>
          <w:b/>
        </w:rPr>
        <w:t>estatus del lobo</w:t>
      </w:r>
      <w:r w:rsidRPr="00EB6FFF">
        <w:rPr>
          <w:bCs/>
        </w:rPr>
        <w:t xml:space="preserve"> al norte del Duero </w:t>
      </w:r>
      <w:r w:rsidR="00F61FD1">
        <w:rPr>
          <w:bCs/>
        </w:rPr>
        <w:t>aprobado en 2021 por el Gobierno</w:t>
      </w:r>
      <w:r w:rsidRPr="00EB6FFF">
        <w:rPr>
          <w:bCs/>
        </w:rPr>
        <w:t>, en Castilla y León</w:t>
      </w:r>
      <w:r w:rsidR="002D3A9C">
        <w:rPr>
          <w:bCs/>
        </w:rPr>
        <w:t xml:space="preserve"> hubo un incremento del 20% de daños del 2021 al 2022, </w:t>
      </w:r>
      <w:r w:rsidR="00F61FD1">
        <w:rPr>
          <w:bCs/>
        </w:rPr>
        <w:t>tendencia acentuada</w:t>
      </w:r>
      <w:r w:rsidR="002D3A9C">
        <w:rPr>
          <w:bCs/>
        </w:rPr>
        <w:t xml:space="preserve"> en el primer semestre de 2023, con un incremento del 29%. Eso significa que se han perdido 15 animales cada día. Por especies, 3 de cada 4 son vacuno, principalmente de la provincia de Ávila, seguida por Segovia</w:t>
      </w:r>
      <w:r w:rsidRPr="00EB6FFF">
        <w:rPr>
          <w:bCs/>
        </w:rPr>
        <w:t>.</w:t>
      </w:r>
      <w:r w:rsidR="00F61FD1">
        <w:rPr>
          <w:bCs/>
        </w:rPr>
        <w:t xml:space="preserve"> </w:t>
      </w:r>
      <w:r w:rsidRPr="00EB6FFF">
        <w:rPr>
          <w:bCs/>
        </w:rPr>
        <w:t>Los avances de datos de 2023 prevén un empeoramiento de esta evolución por lo que se hace imprescindible revertir la norma nacional para poder seguir contralando y gestionando las poblaciones del lobo como hasta 2021.</w:t>
      </w:r>
      <w:r w:rsidR="00F61FD1">
        <w:rPr>
          <w:bCs/>
        </w:rPr>
        <w:t xml:space="preserve"> </w:t>
      </w:r>
      <w:r w:rsidRPr="00EB6FFF">
        <w:rPr>
          <w:bCs/>
        </w:rPr>
        <w:t xml:space="preserve">Para abordar eficazmente esta problemática y garantizar una coexistencia adecuada, ASAJA sostiene que es esencial revisar la legislación actual europea, y sobre todo nacional. </w:t>
      </w:r>
      <w:r w:rsidR="00F61FD1">
        <w:rPr>
          <w:bCs/>
        </w:rPr>
        <w:t>Varios</w:t>
      </w:r>
      <w:r w:rsidRPr="00EB6FFF">
        <w:rPr>
          <w:bCs/>
        </w:rPr>
        <w:t xml:space="preserve"> países ya han establecido excepciones para la gestión de sus poblaciones de grandes carnívoros, como es el caso del lince en Letonia, los glotones en Finlandia, el oso en Rumanía, y el lobo en Suecia.</w:t>
      </w:r>
      <w:r w:rsidR="00F61FD1">
        <w:rPr>
          <w:bCs/>
        </w:rPr>
        <w:t xml:space="preserve"> </w:t>
      </w:r>
      <w:r w:rsidRPr="00EB6FFF">
        <w:rPr>
          <w:bCs/>
        </w:rPr>
        <w:t>La Comisión Europea</w:t>
      </w:r>
      <w:r w:rsidR="0061764F">
        <w:rPr>
          <w:bCs/>
        </w:rPr>
        <w:t>,</w:t>
      </w:r>
      <w:r w:rsidRPr="00EB6FFF">
        <w:rPr>
          <w:bCs/>
        </w:rPr>
        <w:t xml:space="preserve"> avalando los argumentos señalados anteriormente, propuso el 20 de diciembre de 2023 al Consejo de la UE reducir el nivel de protección del lobo y que pase a estar dentro de la clasificación de animal “protegido” y no como “estrictamente protegido”.</w:t>
      </w:r>
    </w:p>
    <w:p w14:paraId="3F6E1556" w14:textId="77777777" w:rsidR="00F61FD1" w:rsidRDefault="00F61FD1" w:rsidP="00EB6FFF">
      <w:pPr>
        <w:rPr>
          <w:bCs/>
        </w:rPr>
      </w:pPr>
    </w:p>
    <w:bookmarkEnd w:id="10"/>
    <w:p w14:paraId="3EB3E443" w14:textId="77777777" w:rsidR="00B50168" w:rsidRDefault="00EB6FFF" w:rsidP="00EB6FFF">
      <w:pPr>
        <w:rPr>
          <w:bCs/>
        </w:rPr>
      </w:pPr>
      <w:r w:rsidRPr="00EB6FFF">
        <w:rPr>
          <w:bCs/>
        </w:rPr>
        <w:t xml:space="preserve">El Parlamento Europeo ha aprobado la </w:t>
      </w:r>
      <w:r w:rsidRPr="00EB6FFF">
        <w:rPr>
          <w:b/>
          <w:bCs/>
        </w:rPr>
        <w:t>Ley de Restauración de la Naturaleza</w:t>
      </w:r>
      <w:r w:rsidRPr="00EB6FFF">
        <w:rPr>
          <w:bCs/>
        </w:rPr>
        <w:t xml:space="preserve"> por un ajustado margen (324 votos a favor y 312 en contra). ASAJA muestra discrepancias significativas con respecto a esta ley y sus implicaciones para los agricultores españoles y europeos. En primer lugar, la restauración de la naturaleza debe tener en cuenta las particularidades de cada región y las diferentes prácticas agrícolas que se emplean en Europa </w:t>
      </w:r>
      <w:proofErr w:type="gramStart"/>
      <w:r w:rsidRPr="00EB6FFF">
        <w:rPr>
          <w:bCs/>
        </w:rPr>
        <w:t>y</w:t>
      </w:r>
      <w:proofErr w:type="gramEnd"/>
      <w:r w:rsidRPr="00EB6FFF">
        <w:rPr>
          <w:bCs/>
        </w:rPr>
        <w:t xml:space="preserve"> en segundo lugar, esta propuesta carece de presupuesto, por lo que no se puede permitir que su financiación venga del ya maltrecho fondo de la PAC.</w:t>
      </w:r>
    </w:p>
    <w:p w14:paraId="59CB9DF3" w14:textId="77777777" w:rsidR="00F61FD1" w:rsidRDefault="00F61FD1" w:rsidP="00EB6FFF">
      <w:pPr>
        <w:rPr>
          <w:bCs/>
        </w:rPr>
      </w:pPr>
    </w:p>
    <w:p w14:paraId="5A78EB8E" w14:textId="4B0506DD" w:rsidR="00EB6FFF" w:rsidRDefault="00EB6FFF" w:rsidP="00EB6FFF">
      <w:pPr>
        <w:rPr>
          <w:bCs/>
        </w:rPr>
      </w:pPr>
      <w:r w:rsidRPr="00EB6FFF">
        <w:rPr>
          <w:bCs/>
        </w:rPr>
        <w:t xml:space="preserve">Con motivo de la </w:t>
      </w:r>
      <w:r w:rsidRPr="00EB6FFF">
        <w:rPr>
          <w:b/>
          <w:bCs/>
        </w:rPr>
        <w:t>reunión en julio en Valladolid, de los ministros de Medio Ambiente</w:t>
      </w:r>
      <w:r w:rsidRPr="00EB6FFF">
        <w:rPr>
          <w:bCs/>
        </w:rPr>
        <w:t xml:space="preserve"> </w:t>
      </w:r>
      <w:r w:rsidRPr="00EB6FFF">
        <w:rPr>
          <w:b/>
          <w:bCs/>
        </w:rPr>
        <w:t>de la UE</w:t>
      </w:r>
      <w:r w:rsidRPr="00EB6FFF">
        <w:rPr>
          <w:bCs/>
        </w:rPr>
        <w:t>, ASAJA de Castilla y León pidió reflexionar sobre las políticas medioambientales que ponen en serio riesgo la rentabilidad de las explotaciones agrarias.</w:t>
      </w:r>
      <w:r w:rsidR="001C0469">
        <w:rPr>
          <w:bCs/>
        </w:rPr>
        <w:t xml:space="preserve"> </w:t>
      </w:r>
      <w:r w:rsidRPr="00EB6FFF">
        <w:rPr>
          <w:bCs/>
        </w:rPr>
        <w:t>En concreto, respecto a la propuesta de reducir el 50% el uso de plaguicidas, y el 20% el uso de fertilizantes, con el horizonte del año 2030, ASAJA considera que cumplir este objetivo no es posible sin comprometer la viabilidad de muchas explotaciones, sobre todo las de terrenos más productivos de secano y de regadío, y, lo que es todavía peor, sin comprometer la soberanía alimentaria de la Unión Europea.</w:t>
      </w:r>
      <w:r w:rsidR="001C0469">
        <w:rPr>
          <w:bCs/>
        </w:rPr>
        <w:t xml:space="preserve"> </w:t>
      </w:r>
      <w:r w:rsidRPr="00EB6FFF">
        <w:rPr>
          <w:bCs/>
        </w:rPr>
        <w:t>Por otro lado, la retirada de un 10% de tierras de cultivo para destinarlas a otros usos no productivos es un retroceso ya que no reporta mejoras medioambientales, y, por el contrario, contribuye a degradar el paisaje y a fomentar los incendios forestales, cuestión esta última muy importante en regiones áridas como Castilla y León.</w:t>
      </w:r>
    </w:p>
    <w:p w14:paraId="64A19806" w14:textId="77777777" w:rsidR="00F61FD1" w:rsidRDefault="00F61FD1" w:rsidP="00EB6FFF">
      <w:pPr>
        <w:rPr>
          <w:bCs/>
        </w:rPr>
      </w:pPr>
    </w:p>
    <w:p w14:paraId="69A031E6" w14:textId="6EC69B34" w:rsidR="00B50168" w:rsidRDefault="0061764F" w:rsidP="00EB6FFF">
      <w:pPr>
        <w:rPr>
          <w:bCs/>
        </w:rPr>
      </w:pPr>
      <w:bookmarkStart w:id="11" w:name="_Hlk155258041"/>
      <w:r>
        <w:rPr>
          <w:bCs/>
        </w:rPr>
        <w:t xml:space="preserve">Por último, </w:t>
      </w:r>
      <w:r w:rsidR="00551CE3">
        <w:rPr>
          <w:bCs/>
        </w:rPr>
        <w:t>hay que destacar</w:t>
      </w:r>
      <w:r>
        <w:rPr>
          <w:bCs/>
        </w:rPr>
        <w:t xml:space="preserve"> el continuo seguimiento de ASAJA de los </w:t>
      </w:r>
      <w:r w:rsidRPr="000D68B3">
        <w:rPr>
          <w:b/>
        </w:rPr>
        <w:t xml:space="preserve">proyectos de </w:t>
      </w:r>
      <w:proofErr w:type="spellStart"/>
      <w:r w:rsidRPr="000D68B3">
        <w:rPr>
          <w:b/>
        </w:rPr>
        <w:t>macroparques</w:t>
      </w:r>
      <w:proofErr w:type="spellEnd"/>
      <w:r w:rsidRPr="000D68B3">
        <w:rPr>
          <w:b/>
        </w:rPr>
        <w:t xml:space="preserve"> solares y eólicos</w:t>
      </w:r>
      <w:r>
        <w:rPr>
          <w:bCs/>
        </w:rPr>
        <w:t xml:space="preserve"> que proliferan sin control por toda la Comunidad Autónoma, en muchos casos expulsando a los agricultores y ganaderos de las tierras que ocupaban tradicionalmente. ASAJA pide que las administraciones asuman su papel para evitar situaciones de abuso y un exceso de laxitud a la hora de cumplir con los requisitos legales que requieren estos </w:t>
      </w:r>
      <w:r>
        <w:rPr>
          <w:bCs/>
        </w:rPr>
        <w:lastRenderedPageBreak/>
        <w:t>proyectos (tanto parques como línea de evacuación, que deberían ser subterráneas), que cambian radicalmente los usos del territorio.</w:t>
      </w:r>
    </w:p>
    <w:bookmarkEnd w:id="11"/>
    <w:p w14:paraId="46D7F13D" w14:textId="77777777" w:rsidR="00B50168" w:rsidRDefault="00B50168" w:rsidP="00EB6FFF">
      <w:pPr>
        <w:rPr>
          <w:bCs/>
        </w:rPr>
      </w:pPr>
    </w:p>
    <w:p w14:paraId="103A5C0E" w14:textId="77777777" w:rsidR="00B50168" w:rsidRPr="00EB6FFF" w:rsidRDefault="00B50168" w:rsidP="00EB6FFF">
      <w:pPr>
        <w:rPr>
          <w:bCs/>
        </w:rPr>
      </w:pPr>
    </w:p>
    <w:p w14:paraId="2B9C1E7A" w14:textId="77777777" w:rsidR="00EB6FFF" w:rsidRDefault="00EB6FFF" w:rsidP="00B50168">
      <w:pPr>
        <w:jc w:val="center"/>
        <w:rPr>
          <w:b/>
          <w:bCs/>
        </w:rPr>
      </w:pPr>
      <w:r w:rsidRPr="00EB6FFF">
        <w:rPr>
          <w:b/>
          <w:bCs/>
        </w:rPr>
        <w:t>SEGUROS AGRARIOS</w:t>
      </w:r>
    </w:p>
    <w:p w14:paraId="1C1260C2" w14:textId="77777777" w:rsidR="00B50168" w:rsidRPr="00EB6FFF" w:rsidRDefault="00B50168" w:rsidP="00B50168">
      <w:pPr>
        <w:jc w:val="center"/>
        <w:rPr>
          <w:b/>
          <w:bCs/>
        </w:rPr>
      </w:pPr>
    </w:p>
    <w:p w14:paraId="1F49FC2C" w14:textId="4938F3CB" w:rsidR="00EB6FFF" w:rsidRPr="00EB6FFF" w:rsidRDefault="00EB6FFF" w:rsidP="00EB6FFF">
      <w:pPr>
        <w:rPr>
          <w:bCs/>
        </w:rPr>
      </w:pPr>
      <w:r w:rsidRPr="00EB6FFF">
        <w:rPr>
          <w:bCs/>
        </w:rPr>
        <w:t xml:space="preserve">El año 2023 ha vuelto a ser un año muy problemático en el campo de Castilla y León algo que se ha visto reflejado en </w:t>
      </w:r>
      <w:r w:rsidR="00561A22">
        <w:rPr>
          <w:bCs/>
        </w:rPr>
        <w:t>el elevado montante de</w:t>
      </w:r>
      <w:r w:rsidRPr="00EB6FFF">
        <w:rPr>
          <w:bCs/>
        </w:rPr>
        <w:t xml:space="preserve"> indemnizaciones pagadas por </w:t>
      </w:r>
      <w:proofErr w:type="spellStart"/>
      <w:r w:rsidRPr="00EB6FFF">
        <w:rPr>
          <w:bCs/>
        </w:rPr>
        <w:t>Agroseguro</w:t>
      </w:r>
      <w:proofErr w:type="spellEnd"/>
      <w:r w:rsidRPr="00EB6FFF">
        <w:rPr>
          <w:bCs/>
        </w:rPr>
        <w:t>.</w:t>
      </w:r>
    </w:p>
    <w:p w14:paraId="745BF341" w14:textId="77777777" w:rsidR="00EB6FFF" w:rsidRPr="00EB6FFF" w:rsidRDefault="00EB6FFF" w:rsidP="00EB6FFF">
      <w:pPr>
        <w:rPr>
          <w:bCs/>
        </w:rPr>
      </w:pPr>
      <w:r w:rsidRPr="00EB6FFF">
        <w:rPr>
          <w:bCs/>
        </w:rPr>
        <w:t>La línea de seguro agrario más implantada en nuestra región es la de cultivos herbáceos extensivos. También son destacables las de uva de vinificación, vacuno de producción y reproducción y retirada de cadáveres de animales muertos en la explotación.</w:t>
      </w:r>
    </w:p>
    <w:p w14:paraId="06900B90" w14:textId="77777777" w:rsidR="00EB6FFF" w:rsidRPr="00EB6FFF" w:rsidRDefault="00EB6FFF" w:rsidP="00EB6FFF">
      <w:pPr>
        <w:rPr>
          <w:bCs/>
        </w:rPr>
      </w:pPr>
      <w:r w:rsidRPr="00EB6FFF">
        <w:rPr>
          <w:bCs/>
        </w:rPr>
        <w:t xml:space="preserve">En los inicios del año han sido destacados los siniestros acaecidos por fauna, no nascencia, helada y lluvia persistente, principalmente en los cultivos herbáceos. La primavera trajo heladas que dañaron los viñedos y cultivos herbáceos, los cuales, además, se vieron afectados por las escasas precipitaciones y las altas temperaturas, que adelantaban una previsible sequía en los herbáceos. Afortunadamente las lluvias de finales de mayo mejoraron las producciones en la zona norte de la comunidad, quedando la zona sur en una situación catastrófica irreversible. Por su parte, en el verano se produjeron los habituales pedriscos y el girasol no consiguió unas producciones aceptables y también terminaron tramitándose multitud de siniestros de sequía. Los siniestros abonados por </w:t>
      </w:r>
      <w:proofErr w:type="spellStart"/>
      <w:r w:rsidRPr="00EB6FFF">
        <w:rPr>
          <w:bCs/>
        </w:rPr>
        <w:t>Agroseguro</w:t>
      </w:r>
      <w:proofErr w:type="spellEnd"/>
      <w:r w:rsidRPr="00EB6FFF">
        <w:rPr>
          <w:bCs/>
        </w:rPr>
        <w:t xml:space="preserve"> han ascendido a 190 millones de euros en cultivos herbáceos, 16,7 millones de euros en uva de vinificación y 2,4 millones de euros en ajo, siendo el resto de líneas poco representativos.</w:t>
      </w:r>
    </w:p>
    <w:p w14:paraId="5F184C08" w14:textId="77777777" w:rsidR="00EB6FFF" w:rsidRPr="00EB6FFF" w:rsidRDefault="00EB6FFF" w:rsidP="00EB6FFF">
      <w:pPr>
        <w:rPr>
          <w:bCs/>
        </w:rPr>
      </w:pPr>
      <w:r w:rsidRPr="00EB6FFF">
        <w:rPr>
          <w:bCs/>
        </w:rPr>
        <w:t xml:space="preserve">La decisión de </w:t>
      </w:r>
      <w:proofErr w:type="spellStart"/>
      <w:r w:rsidRPr="00EB6FFF">
        <w:rPr>
          <w:bCs/>
        </w:rPr>
        <w:t>Agroseguro</w:t>
      </w:r>
      <w:proofErr w:type="spellEnd"/>
      <w:r w:rsidRPr="00EB6FFF">
        <w:rPr>
          <w:bCs/>
        </w:rPr>
        <w:t xml:space="preserve"> de aplicar importantes subidas en las tasas de seguro de cultivos herbáceos ha encendido las alarmas en la agricultura de todo el país y especialmente en la de Castilla y León, que es la comunidad autónoma con más superficie asegurada.</w:t>
      </w:r>
    </w:p>
    <w:p w14:paraId="4229BC01" w14:textId="77777777" w:rsidR="00EB6FFF" w:rsidRPr="00EB6FFF" w:rsidRDefault="00EB6FFF" w:rsidP="00EB6FFF">
      <w:pPr>
        <w:rPr>
          <w:bCs/>
        </w:rPr>
      </w:pPr>
      <w:r w:rsidRPr="00EB6FFF">
        <w:rPr>
          <w:bCs/>
        </w:rPr>
        <w:t xml:space="preserve">El motivo que aduce </w:t>
      </w:r>
      <w:proofErr w:type="spellStart"/>
      <w:r w:rsidRPr="00EB6FFF">
        <w:rPr>
          <w:bCs/>
        </w:rPr>
        <w:t>Agroseguro</w:t>
      </w:r>
      <w:proofErr w:type="spellEnd"/>
      <w:r w:rsidRPr="00EB6FFF">
        <w:rPr>
          <w:bCs/>
        </w:rPr>
        <w:t xml:space="preserve"> es que en determinadas comarcas las tasas actuales son insuficientes para cubrir un riesgo como la sequía, que incide cada vez con mayor frecuencia e intensidad y en zonas muy extensas.</w:t>
      </w:r>
    </w:p>
    <w:p w14:paraId="561E37D2" w14:textId="66D16A51" w:rsidR="00EB6FFF" w:rsidRDefault="00EB6FFF" w:rsidP="00EB6FFF">
      <w:pPr>
        <w:rPr>
          <w:bCs/>
        </w:rPr>
      </w:pPr>
      <w:r w:rsidRPr="00EB6FFF">
        <w:rPr>
          <w:bCs/>
        </w:rPr>
        <w:t>ASAJA estima que las subidas aprobadas para la próxima contratación deberían haberse aplicado escalonadamente, y no de golpe en un año en el que el sector está hundido, tras una pésima cosecha y altísimos costes de producción que obligaron a muchas explotaciones a endeudarse.</w:t>
      </w:r>
    </w:p>
    <w:p w14:paraId="34312C22" w14:textId="77777777" w:rsidR="00F61FD1" w:rsidRPr="00EB6FFF" w:rsidRDefault="00F61FD1" w:rsidP="00EB6FFF">
      <w:pPr>
        <w:rPr>
          <w:bCs/>
        </w:rPr>
      </w:pPr>
    </w:p>
    <w:p w14:paraId="60505BBD" w14:textId="77777777" w:rsidR="00EB6FFF" w:rsidRDefault="00EB6FFF" w:rsidP="00EB6FFF">
      <w:pPr>
        <w:rPr>
          <w:bCs/>
        </w:rPr>
      </w:pPr>
      <w:r w:rsidRPr="00EB6FFF">
        <w:rPr>
          <w:bCs/>
        </w:rPr>
        <w:t xml:space="preserve">En el sector ganadero, destaca la expansión por Castilla y León de la </w:t>
      </w:r>
      <w:r w:rsidRPr="001C0469">
        <w:rPr>
          <w:b/>
        </w:rPr>
        <w:t>Enfermedad Hemorrágica Epizoótica</w:t>
      </w:r>
      <w:r w:rsidRPr="00EB6FFF">
        <w:rPr>
          <w:bCs/>
        </w:rPr>
        <w:t>, que ha dañado enormemente las explotaciones ganaderas, fundamentalmente de vacuno extensivo. Esta contingencia no está cubierta por el seguro agrario, algo que ya se ha reclamado al MAPA, de modo que sea incluido en próximos planes de seguros agrarios.</w:t>
      </w:r>
    </w:p>
    <w:p w14:paraId="7D57B3CB" w14:textId="77777777" w:rsidR="00F61FD1" w:rsidRPr="00EB6FFF" w:rsidRDefault="00F61FD1" w:rsidP="00EB6FFF">
      <w:pPr>
        <w:rPr>
          <w:bCs/>
        </w:rPr>
      </w:pPr>
    </w:p>
    <w:p w14:paraId="05DC4372" w14:textId="77777777" w:rsidR="00EB6FFF" w:rsidRPr="00717F60" w:rsidRDefault="00EB6FFF" w:rsidP="00EB6FFF">
      <w:pPr>
        <w:rPr>
          <w:bCs/>
        </w:rPr>
      </w:pPr>
      <w:bookmarkStart w:id="12" w:name="_Hlk155267122"/>
      <w:r w:rsidRPr="00EB6FFF">
        <w:rPr>
          <w:bCs/>
        </w:rPr>
        <w:t xml:space="preserve">ENESA ha aprobado el nuevo Plan Anual de Seguros Agrarios Combinados donde se deja de subvencionar los recargos, </w:t>
      </w:r>
      <w:r w:rsidRPr="00717F60">
        <w:rPr>
          <w:bCs/>
        </w:rPr>
        <w:t xml:space="preserve">algo que ya ocurrió cuando se produjeron grandes recortes presupuestarios en España hace unos diez años. Esta forma de obrar puede producir un aumento muy importante en los costes de las pólizas. También hará que se encarezcan las pólizas la reducción de diez </w:t>
      </w:r>
      <w:r w:rsidRPr="00717F60">
        <w:rPr>
          <w:bCs/>
        </w:rPr>
        <w:lastRenderedPageBreak/>
        <w:t>puntos porcentuales en las subvenciones base de cada línea de seguro, aunque bien es cierto que se premia a los agricultores profesionales con ocho puntos básicos más de subvención por lo que, en la práctica verán reducida su subvención dos puntos porcentuales. Finalmente, cabe recordar que las subvenciones para los seguros de retirada de cadáveres de animales muertos en la explotación continúan siendo calculadas por animal. Esto hace que las provincias de España donde la retirada es más cara, algo que depende de los precios que imponen las empresas gestoras -gremio en el que no existe competencia real-, se ven muy perjudicados en las subvenciones ya que porcentualmente reciben un importe muy inferior cuando además se están beneficiando de un menor coste de la retirada y, por tanto, también de un menor importe de la póliza. Las constantes quejas de ASAJA Castilla y León no se han visto contempladas en los sucesivos planes de seguros agrarios que se aprueban, pero esta organización seguirá defendiendo este punto dado lo discriminatorio que es para los ganaderos de nuestra región.</w:t>
      </w:r>
    </w:p>
    <w:bookmarkEnd w:id="12"/>
    <w:p w14:paraId="7C422502" w14:textId="77777777" w:rsidR="00EB6FFF" w:rsidRPr="00717F60" w:rsidRDefault="00EB6FFF" w:rsidP="00717F60"/>
    <w:p w14:paraId="543C89EB" w14:textId="77777777" w:rsidR="0061764F" w:rsidRPr="00717F60" w:rsidRDefault="0061764F" w:rsidP="00717F60"/>
    <w:p w14:paraId="28845563" w14:textId="0C9FA892" w:rsidR="0061764F" w:rsidRDefault="0061764F" w:rsidP="00717F60">
      <w:pPr>
        <w:rPr>
          <w:b/>
          <w:bCs/>
        </w:rPr>
      </w:pPr>
      <w:r w:rsidRPr="000D68B3">
        <w:rPr>
          <w:b/>
          <w:bCs/>
        </w:rPr>
        <w:t>ELECCIONES AGRARIAS E INTERLOCUCIÓN</w:t>
      </w:r>
    </w:p>
    <w:p w14:paraId="71604D7D" w14:textId="77777777" w:rsidR="000A1CF5" w:rsidRPr="000D68B3" w:rsidRDefault="000A1CF5" w:rsidP="00717F60">
      <w:pPr>
        <w:rPr>
          <w:b/>
          <w:bCs/>
        </w:rPr>
      </w:pPr>
    </w:p>
    <w:p w14:paraId="3DA4BA35" w14:textId="78E1C373" w:rsidR="0061764F" w:rsidRPr="0061764F" w:rsidRDefault="0061764F" w:rsidP="00717F60">
      <w:pPr>
        <w:rPr>
          <w:lang w:eastAsia="es-ES"/>
        </w:rPr>
      </w:pPr>
      <w:r w:rsidRPr="00717F60">
        <w:t>En febrero de 2023 se celebraron Elecciones Agrarias en Castilla y León, proceso democrático por el que los profesionales de la agricultura y la ganadería eligen a sus representantes</w:t>
      </w:r>
      <w:r w:rsidRPr="000A1CF5">
        <w:rPr>
          <w:b/>
          <w:bCs/>
        </w:rPr>
        <w:t>. A</w:t>
      </w:r>
      <w:r w:rsidRPr="000A1CF5">
        <w:rPr>
          <w:b/>
          <w:bCs/>
          <w:lang w:eastAsia="es-ES"/>
        </w:rPr>
        <w:t xml:space="preserve">SAJA </w:t>
      </w:r>
      <w:r w:rsidRPr="000A1CF5">
        <w:rPr>
          <w:b/>
          <w:bCs/>
        </w:rPr>
        <w:t>ganó</w:t>
      </w:r>
      <w:r w:rsidRPr="000A1CF5">
        <w:rPr>
          <w:b/>
          <w:bCs/>
          <w:lang w:eastAsia="es-ES"/>
        </w:rPr>
        <w:t xml:space="preserve"> con rotundidad, </w:t>
      </w:r>
      <w:r w:rsidR="000A1CF5">
        <w:rPr>
          <w:b/>
          <w:bCs/>
          <w:lang w:eastAsia="es-ES"/>
        </w:rPr>
        <w:t>con el</w:t>
      </w:r>
      <w:r w:rsidRPr="000A1CF5">
        <w:rPr>
          <w:b/>
          <w:bCs/>
          <w:lang w:eastAsia="es-ES"/>
        </w:rPr>
        <w:t xml:space="preserve"> 45 por ciento de los votos de los agricultores y ganaderos</w:t>
      </w:r>
      <w:r w:rsidRPr="0061764F">
        <w:rPr>
          <w:lang w:eastAsia="es-ES"/>
        </w:rPr>
        <w:t xml:space="preserve">, casi tres puntos más que los anteriores comicios. Es la única organización profesional agraria que crece y además la única que logra ser representativa en las 9 provincias de la Comunidad Autónoma. </w:t>
      </w:r>
    </w:p>
    <w:p w14:paraId="73885FB6" w14:textId="5BBDB321" w:rsidR="0061764F" w:rsidRDefault="0061764F" w:rsidP="00717F60">
      <w:pPr>
        <w:rPr>
          <w:lang w:eastAsia="es-ES"/>
        </w:rPr>
      </w:pPr>
      <w:r w:rsidRPr="0061764F">
        <w:rPr>
          <w:lang w:eastAsia="es-ES"/>
        </w:rPr>
        <w:t>Esta presencia de la organización agraria tanto en el conjunto de Castilla y León, como en todo el territorio “hace que ASAJA sea la única organización regional que puede hablar en nombre de todas las provincias, porque solo nosotros nos hemos ganado la representatividad en todas ellas</w:t>
      </w:r>
      <w:r w:rsidRPr="00717F60">
        <w:t xml:space="preserve">. </w:t>
      </w:r>
      <w:r w:rsidRPr="0061764F">
        <w:rPr>
          <w:lang w:eastAsia="es-ES"/>
        </w:rPr>
        <w:t xml:space="preserve">Sigue la tendencia de crecimiento sostenido de la organización, puesto que en 2012 obtuvo el 40%, en 2018 el 42% y en las votaciones </w:t>
      </w:r>
      <w:r w:rsidRPr="00717F60">
        <w:t>de 2023 el</w:t>
      </w:r>
      <w:r w:rsidRPr="0061764F">
        <w:rPr>
          <w:lang w:eastAsia="es-ES"/>
        </w:rPr>
        <w:t xml:space="preserve"> 45%. Además, se amplía cada elección la distancia respecto a la segunda organización: 7 puntos en 2014, 12 puntos en 2018 y 16 puntos en 2023. Esto obedece tanto al crecimiento de ASAJA como al retroceso de las otras dos organizaciones que concurren, la Alianza, que pasa del 29,62% de votos en 2018 al 28,78%, y UCCL, que se queda con un 24,79% de los votos, cuando en 2018 obtuvo 26,45%.</w:t>
      </w:r>
    </w:p>
    <w:p w14:paraId="4D01C310" w14:textId="77777777" w:rsidR="000A1CF5" w:rsidRPr="00717F60" w:rsidRDefault="000A1CF5" w:rsidP="00717F60"/>
    <w:p w14:paraId="3A58F899" w14:textId="1EBD87BC" w:rsidR="0061764F" w:rsidRPr="0061764F" w:rsidRDefault="0061764F" w:rsidP="00717F60">
      <w:pPr>
        <w:rPr>
          <w:lang w:eastAsia="es-ES"/>
        </w:rPr>
      </w:pPr>
      <w:r w:rsidRPr="00717F60">
        <w:t xml:space="preserve">Por último, </w:t>
      </w:r>
      <w:proofErr w:type="gramStart"/>
      <w:r w:rsidR="00717F60" w:rsidRPr="00717F60">
        <w:t>destacar</w:t>
      </w:r>
      <w:proofErr w:type="gramEnd"/>
      <w:r w:rsidR="00717F60" w:rsidRPr="00717F60">
        <w:t xml:space="preserve"> que en numerosas ocasiones ASAJA ha criticado la </w:t>
      </w:r>
      <w:r w:rsidR="00717F60" w:rsidRPr="000A1CF5">
        <w:rPr>
          <w:b/>
          <w:bCs/>
        </w:rPr>
        <w:t>debilidad de los cauces de interlocución</w:t>
      </w:r>
      <w:r w:rsidR="00717F60" w:rsidRPr="00717F60">
        <w:t xml:space="preserve"> de las organizaciones agrarias con la Junta de Castilla y León, comenzando por Presidencia y prosiguiendo por la Consejería. Para ASAJA, ha habido cierto desprecio a las organizaciones profesionales representativas y respaldadas por los votos en favor de cierta atomización más favorable a los intereses variables de la política.</w:t>
      </w:r>
    </w:p>
    <w:p w14:paraId="6355D60D" w14:textId="77777777" w:rsidR="0061764F" w:rsidRPr="00EB6FFF" w:rsidRDefault="0061764F" w:rsidP="00D81AB5">
      <w:pPr>
        <w:rPr>
          <w:bCs/>
        </w:rPr>
      </w:pPr>
    </w:p>
    <w:sectPr w:rsidR="0061764F" w:rsidRPr="00EB6FFF" w:rsidSect="00DA34CC">
      <w:headerReference w:type="even" r:id="rId37"/>
      <w:headerReference w:type="default" r:id="rId38"/>
      <w:footerReference w:type="default" r:id="rId39"/>
      <w:headerReference w:type="first" r:id="rId40"/>
      <w:pgSz w:w="11906" w:h="16838" w:code="9"/>
      <w:pgMar w:top="1702" w:right="1701" w:bottom="1418" w:left="1701" w:header="28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66033" w14:textId="77777777" w:rsidR="00DA34CC" w:rsidRDefault="00DA34CC">
      <w:r>
        <w:separator/>
      </w:r>
    </w:p>
  </w:endnote>
  <w:endnote w:type="continuationSeparator" w:id="0">
    <w:p w14:paraId="1E5A8860" w14:textId="77777777" w:rsidR="00DA34CC" w:rsidRDefault="00DA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8CD26" w14:textId="6C02C5AA" w:rsidR="00817D9D" w:rsidRDefault="00817D9D" w:rsidP="00D73457">
    <w:pPr>
      <w:pStyle w:val="Piedepgina"/>
      <w:framePr w:wrap="around" w:vAnchor="text" w:hAnchor="margin" w:xAlign="right" w:y="1"/>
      <w:rPr>
        <w:rStyle w:val="Nmerodepgina"/>
        <w:rFonts w:cs="Arial"/>
      </w:rPr>
    </w:pPr>
    <w:r>
      <w:rPr>
        <w:rStyle w:val="Nmerodepgina"/>
        <w:rFonts w:cs="Arial"/>
      </w:rPr>
      <w:fldChar w:fldCharType="begin"/>
    </w:r>
    <w:r>
      <w:rPr>
        <w:rStyle w:val="Nmerodepgina"/>
        <w:rFonts w:cs="Arial"/>
      </w:rPr>
      <w:instrText xml:space="preserve">PAGE  </w:instrText>
    </w:r>
    <w:r>
      <w:rPr>
        <w:rStyle w:val="Nmerodepgina"/>
        <w:rFonts w:cs="Arial"/>
      </w:rPr>
      <w:fldChar w:fldCharType="separate"/>
    </w:r>
    <w:r w:rsidR="000020CD">
      <w:rPr>
        <w:rStyle w:val="Nmerodepgina"/>
        <w:rFonts w:cs="Arial"/>
        <w:noProof/>
      </w:rPr>
      <w:t>1</w:t>
    </w:r>
    <w:r>
      <w:rPr>
        <w:rStyle w:val="Nmerodepgina"/>
        <w:rFonts w:cs="Arial"/>
      </w:rPr>
      <w:fldChar w:fldCharType="end"/>
    </w:r>
  </w:p>
  <w:p w14:paraId="3C62F5F5" w14:textId="77777777" w:rsidR="00817D9D" w:rsidRDefault="00817D9D" w:rsidP="009B643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2F0DB" w14:textId="77777777" w:rsidR="00817D9D" w:rsidRDefault="00817D9D">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B3C95" w14:textId="19207FE9" w:rsidR="00817D9D" w:rsidRPr="00EF6B74" w:rsidRDefault="00817D9D" w:rsidP="00EF6B74">
    <w:pPr>
      <w:pStyle w:val="Piedepgina"/>
      <w:jc w:val="center"/>
      <w:rPr>
        <w:bCs/>
        <w:sz w:val="20"/>
        <w:szCs w:val="20"/>
      </w:rPr>
    </w:pPr>
    <w:r w:rsidRPr="00EF6B74">
      <w:rPr>
        <w:bCs/>
        <w:sz w:val="20"/>
        <w:szCs w:val="20"/>
      </w:rPr>
      <w:t xml:space="preserve">Balance de la agricultura y ganadería de Castilla y León en el año </w:t>
    </w:r>
    <w:r>
      <w:rPr>
        <w:bCs/>
        <w:sz w:val="20"/>
        <w:szCs w:val="20"/>
      </w:rPr>
      <w:t>202</w:t>
    </w:r>
    <w:r w:rsidR="00325CB1">
      <w:rPr>
        <w:bCs/>
        <w:sz w:val="20"/>
        <w:szCs w:val="20"/>
      </w:rPr>
      <w:t>3</w:t>
    </w:r>
    <w:r w:rsidRPr="00EF6B74">
      <w:rPr>
        <w:bCs/>
        <w:sz w:val="20"/>
        <w:szCs w:val="20"/>
      </w:rPr>
      <w:tab/>
    </w:r>
    <w:r w:rsidRPr="00EF6B74">
      <w:rPr>
        <w:bCs/>
        <w:sz w:val="20"/>
        <w:szCs w:val="20"/>
      </w:rPr>
      <w:fldChar w:fldCharType="begin"/>
    </w:r>
    <w:r w:rsidRPr="00EF6B74">
      <w:rPr>
        <w:bCs/>
        <w:sz w:val="20"/>
        <w:szCs w:val="20"/>
      </w:rPr>
      <w:instrText>PAGE   \* MERGEFORMAT</w:instrText>
    </w:r>
    <w:r w:rsidRPr="00EF6B74">
      <w:rPr>
        <w:bCs/>
        <w:sz w:val="20"/>
        <w:szCs w:val="20"/>
      </w:rPr>
      <w:fldChar w:fldCharType="separate"/>
    </w:r>
    <w:r w:rsidRPr="00EF6B74">
      <w:rPr>
        <w:bCs/>
        <w:sz w:val="20"/>
        <w:szCs w:val="20"/>
      </w:rPr>
      <w:t>1</w:t>
    </w:r>
    <w:r w:rsidRPr="00EF6B74">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BF939" w14:textId="77777777" w:rsidR="00DA34CC" w:rsidRDefault="00DA34CC">
      <w:r>
        <w:separator/>
      </w:r>
    </w:p>
  </w:footnote>
  <w:footnote w:type="continuationSeparator" w:id="0">
    <w:p w14:paraId="2F5F9E6E" w14:textId="77777777" w:rsidR="00DA34CC" w:rsidRDefault="00DA3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F7D1" w14:textId="77777777" w:rsidR="00817D9D" w:rsidRDefault="00817D9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0F40F" w14:textId="77777777" w:rsidR="00E75BC5" w:rsidRDefault="00E75BC5">
    <w:pPr>
      <w:pStyle w:val="Encabezado"/>
    </w:pPr>
  </w:p>
  <w:p w14:paraId="5050AC4F" w14:textId="4A93A98E" w:rsidR="00817D9D" w:rsidRDefault="00E75BC5" w:rsidP="00E75BC5">
    <w:pPr>
      <w:pStyle w:val="Encabezado"/>
      <w:jc w:val="left"/>
    </w:pPr>
    <w:r>
      <w:rPr>
        <w:noProof/>
      </w:rPr>
      <w:drawing>
        <wp:inline distT="0" distB="0" distL="0" distR="0" wp14:anchorId="3AFE5B7D" wp14:editId="33994C62">
          <wp:extent cx="1157588" cy="361950"/>
          <wp:effectExtent l="0" t="0" r="5080" b="0"/>
          <wp:docPr id="26" name="Imagen 2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4111" cy="376497"/>
                  </a:xfrm>
                  <a:prstGeom prst="rect">
                    <a:avLst/>
                  </a:prstGeom>
                  <a:noFill/>
                  <a:ln>
                    <a:noFill/>
                  </a:ln>
                </pic:spPr>
              </pic:pic>
            </a:graphicData>
          </a:graphic>
        </wp:inline>
      </w:drawing>
    </w:r>
    <w:r w:rsidR="004A5245">
      <w:tab/>
    </w:r>
    <w:r w:rsidR="004A5245">
      <w:tab/>
    </w:r>
    <w:r w:rsidR="004A524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90915" w14:textId="77777777" w:rsidR="00817D9D" w:rsidRDefault="00817D9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D2C08"/>
    <w:multiLevelType w:val="hybridMultilevel"/>
    <w:tmpl w:val="C5FA99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547070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88A"/>
    <w:rsid w:val="000016EB"/>
    <w:rsid w:val="00001831"/>
    <w:rsid w:val="00001DE7"/>
    <w:rsid w:val="000020CD"/>
    <w:rsid w:val="00002B16"/>
    <w:rsid w:val="00002BF0"/>
    <w:rsid w:val="00003882"/>
    <w:rsid w:val="00004353"/>
    <w:rsid w:val="000048DE"/>
    <w:rsid w:val="00004E30"/>
    <w:rsid w:val="000050D2"/>
    <w:rsid w:val="00005B4D"/>
    <w:rsid w:val="0000631C"/>
    <w:rsid w:val="0000666D"/>
    <w:rsid w:val="00010951"/>
    <w:rsid w:val="00014828"/>
    <w:rsid w:val="0001598A"/>
    <w:rsid w:val="00016329"/>
    <w:rsid w:val="00017912"/>
    <w:rsid w:val="00021096"/>
    <w:rsid w:val="000215A2"/>
    <w:rsid w:val="000219E5"/>
    <w:rsid w:val="00022027"/>
    <w:rsid w:val="0002214C"/>
    <w:rsid w:val="00022CD6"/>
    <w:rsid w:val="00024586"/>
    <w:rsid w:val="00026848"/>
    <w:rsid w:val="00026A4E"/>
    <w:rsid w:val="00030A64"/>
    <w:rsid w:val="0003105D"/>
    <w:rsid w:val="000313AE"/>
    <w:rsid w:val="00034F7E"/>
    <w:rsid w:val="00036003"/>
    <w:rsid w:val="00036788"/>
    <w:rsid w:val="00036B35"/>
    <w:rsid w:val="00040281"/>
    <w:rsid w:val="00040E0D"/>
    <w:rsid w:val="00043090"/>
    <w:rsid w:val="00046041"/>
    <w:rsid w:val="000505D2"/>
    <w:rsid w:val="000512E3"/>
    <w:rsid w:val="00051E62"/>
    <w:rsid w:val="000530A5"/>
    <w:rsid w:val="00054A1B"/>
    <w:rsid w:val="00055044"/>
    <w:rsid w:val="00055098"/>
    <w:rsid w:val="00055AEA"/>
    <w:rsid w:val="000561DD"/>
    <w:rsid w:val="0006140C"/>
    <w:rsid w:val="00061DC4"/>
    <w:rsid w:val="00061F76"/>
    <w:rsid w:val="00062AC5"/>
    <w:rsid w:val="0006397C"/>
    <w:rsid w:val="00064488"/>
    <w:rsid w:val="00066614"/>
    <w:rsid w:val="00066FD5"/>
    <w:rsid w:val="0006744C"/>
    <w:rsid w:val="00073B18"/>
    <w:rsid w:val="00076250"/>
    <w:rsid w:val="000775F2"/>
    <w:rsid w:val="0008006C"/>
    <w:rsid w:val="00080DEB"/>
    <w:rsid w:val="000816CF"/>
    <w:rsid w:val="00083699"/>
    <w:rsid w:val="000855C3"/>
    <w:rsid w:val="00086B28"/>
    <w:rsid w:val="00086EBC"/>
    <w:rsid w:val="000905EC"/>
    <w:rsid w:val="00091B07"/>
    <w:rsid w:val="000920B1"/>
    <w:rsid w:val="00093128"/>
    <w:rsid w:val="00095F2F"/>
    <w:rsid w:val="00096D58"/>
    <w:rsid w:val="00097131"/>
    <w:rsid w:val="000A0A9A"/>
    <w:rsid w:val="000A1362"/>
    <w:rsid w:val="000A1CF5"/>
    <w:rsid w:val="000A2BFF"/>
    <w:rsid w:val="000A4F70"/>
    <w:rsid w:val="000A5AF8"/>
    <w:rsid w:val="000A7769"/>
    <w:rsid w:val="000B1DCD"/>
    <w:rsid w:val="000B3671"/>
    <w:rsid w:val="000B3849"/>
    <w:rsid w:val="000B4BB9"/>
    <w:rsid w:val="000B4D9B"/>
    <w:rsid w:val="000B4EEF"/>
    <w:rsid w:val="000B6D22"/>
    <w:rsid w:val="000C0A26"/>
    <w:rsid w:val="000C31F8"/>
    <w:rsid w:val="000C3227"/>
    <w:rsid w:val="000C3918"/>
    <w:rsid w:val="000C393B"/>
    <w:rsid w:val="000C3D97"/>
    <w:rsid w:val="000C5A39"/>
    <w:rsid w:val="000D27F9"/>
    <w:rsid w:val="000D688A"/>
    <w:rsid w:val="000D68B3"/>
    <w:rsid w:val="000D728C"/>
    <w:rsid w:val="000D7DA7"/>
    <w:rsid w:val="000E0106"/>
    <w:rsid w:val="000E0970"/>
    <w:rsid w:val="000E463B"/>
    <w:rsid w:val="000E52AF"/>
    <w:rsid w:val="000E58A2"/>
    <w:rsid w:val="000F009D"/>
    <w:rsid w:val="000F0303"/>
    <w:rsid w:val="000F0CD0"/>
    <w:rsid w:val="000F12A9"/>
    <w:rsid w:val="000F132B"/>
    <w:rsid w:val="000F1733"/>
    <w:rsid w:val="000F3BD1"/>
    <w:rsid w:val="000F3D28"/>
    <w:rsid w:val="000F4359"/>
    <w:rsid w:val="000F784E"/>
    <w:rsid w:val="000F79AA"/>
    <w:rsid w:val="001019E6"/>
    <w:rsid w:val="00101AF0"/>
    <w:rsid w:val="00101FC0"/>
    <w:rsid w:val="00104E60"/>
    <w:rsid w:val="0010537D"/>
    <w:rsid w:val="0010595C"/>
    <w:rsid w:val="00105F12"/>
    <w:rsid w:val="00106678"/>
    <w:rsid w:val="001066CA"/>
    <w:rsid w:val="00106A7C"/>
    <w:rsid w:val="00106EF7"/>
    <w:rsid w:val="001075E7"/>
    <w:rsid w:val="00110BBF"/>
    <w:rsid w:val="001112EE"/>
    <w:rsid w:val="0011367F"/>
    <w:rsid w:val="0011427B"/>
    <w:rsid w:val="00115905"/>
    <w:rsid w:val="00115A5C"/>
    <w:rsid w:val="0011607D"/>
    <w:rsid w:val="00117963"/>
    <w:rsid w:val="001202B7"/>
    <w:rsid w:val="0012217D"/>
    <w:rsid w:val="00124AA7"/>
    <w:rsid w:val="00125F40"/>
    <w:rsid w:val="001265D1"/>
    <w:rsid w:val="00126615"/>
    <w:rsid w:val="00127228"/>
    <w:rsid w:val="00130036"/>
    <w:rsid w:val="0013033D"/>
    <w:rsid w:val="00131435"/>
    <w:rsid w:val="001314AC"/>
    <w:rsid w:val="00131A92"/>
    <w:rsid w:val="001326AF"/>
    <w:rsid w:val="00133AE0"/>
    <w:rsid w:val="0013418D"/>
    <w:rsid w:val="00137049"/>
    <w:rsid w:val="001406E9"/>
    <w:rsid w:val="00141450"/>
    <w:rsid w:val="001418A2"/>
    <w:rsid w:val="00143CCC"/>
    <w:rsid w:val="00143D38"/>
    <w:rsid w:val="00145A0A"/>
    <w:rsid w:val="00145CDE"/>
    <w:rsid w:val="001461F0"/>
    <w:rsid w:val="001512D8"/>
    <w:rsid w:val="00151ED4"/>
    <w:rsid w:val="001535DD"/>
    <w:rsid w:val="00154C4C"/>
    <w:rsid w:val="00155127"/>
    <w:rsid w:val="001551DC"/>
    <w:rsid w:val="001574DC"/>
    <w:rsid w:val="00164581"/>
    <w:rsid w:val="0016668E"/>
    <w:rsid w:val="00167602"/>
    <w:rsid w:val="00170C9B"/>
    <w:rsid w:val="00171FDF"/>
    <w:rsid w:val="001730EA"/>
    <w:rsid w:val="00175E73"/>
    <w:rsid w:val="00175EB1"/>
    <w:rsid w:val="00175F24"/>
    <w:rsid w:val="00176B0B"/>
    <w:rsid w:val="001777CB"/>
    <w:rsid w:val="00181390"/>
    <w:rsid w:val="0018480D"/>
    <w:rsid w:val="00185929"/>
    <w:rsid w:val="00186A9C"/>
    <w:rsid w:val="001875FC"/>
    <w:rsid w:val="00187F1F"/>
    <w:rsid w:val="001907FA"/>
    <w:rsid w:val="001910CB"/>
    <w:rsid w:val="001912E6"/>
    <w:rsid w:val="0019130B"/>
    <w:rsid w:val="00191781"/>
    <w:rsid w:val="0019246F"/>
    <w:rsid w:val="001929E8"/>
    <w:rsid w:val="00196075"/>
    <w:rsid w:val="001A041C"/>
    <w:rsid w:val="001A19B0"/>
    <w:rsid w:val="001A3C56"/>
    <w:rsid w:val="001A4AD4"/>
    <w:rsid w:val="001A4E26"/>
    <w:rsid w:val="001A4FB0"/>
    <w:rsid w:val="001B0AB4"/>
    <w:rsid w:val="001B3ACF"/>
    <w:rsid w:val="001B690A"/>
    <w:rsid w:val="001C0469"/>
    <w:rsid w:val="001C0DCB"/>
    <w:rsid w:val="001C1698"/>
    <w:rsid w:val="001C3AEF"/>
    <w:rsid w:val="001C5158"/>
    <w:rsid w:val="001C5740"/>
    <w:rsid w:val="001C5990"/>
    <w:rsid w:val="001C5F15"/>
    <w:rsid w:val="001C634D"/>
    <w:rsid w:val="001C6E7E"/>
    <w:rsid w:val="001D22F8"/>
    <w:rsid w:val="001D547A"/>
    <w:rsid w:val="001D6B3A"/>
    <w:rsid w:val="001D6FE2"/>
    <w:rsid w:val="001D7B76"/>
    <w:rsid w:val="001E01D3"/>
    <w:rsid w:val="001E01F6"/>
    <w:rsid w:val="001E0F6E"/>
    <w:rsid w:val="001E23CD"/>
    <w:rsid w:val="001E3647"/>
    <w:rsid w:val="001E5AAF"/>
    <w:rsid w:val="001E75F3"/>
    <w:rsid w:val="001E76B4"/>
    <w:rsid w:val="001E7D5B"/>
    <w:rsid w:val="001F0BBB"/>
    <w:rsid w:val="001F16DD"/>
    <w:rsid w:val="001F2261"/>
    <w:rsid w:val="001F2979"/>
    <w:rsid w:val="001F2E59"/>
    <w:rsid w:val="001F629C"/>
    <w:rsid w:val="001F6322"/>
    <w:rsid w:val="001F7C21"/>
    <w:rsid w:val="00201897"/>
    <w:rsid w:val="00203689"/>
    <w:rsid w:val="0020423D"/>
    <w:rsid w:val="00204786"/>
    <w:rsid w:val="00206D45"/>
    <w:rsid w:val="00211168"/>
    <w:rsid w:val="00212D9C"/>
    <w:rsid w:val="00214CAD"/>
    <w:rsid w:val="002175FA"/>
    <w:rsid w:val="00217EF1"/>
    <w:rsid w:val="00220B64"/>
    <w:rsid w:val="002211F4"/>
    <w:rsid w:val="00221AA0"/>
    <w:rsid w:val="002220A0"/>
    <w:rsid w:val="00222965"/>
    <w:rsid w:val="00223AAE"/>
    <w:rsid w:val="0022467B"/>
    <w:rsid w:val="0022556B"/>
    <w:rsid w:val="002275DE"/>
    <w:rsid w:val="00227966"/>
    <w:rsid w:val="00230054"/>
    <w:rsid w:val="0023179A"/>
    <w:rsid w:val="00231B87"/>
    <w:rsid w:val="002323BB"/>
    <w:rsid w:val="002324C6"/>
    <w:rsid w:val="00234DAE"/>
    <w:rsid w:val="00235096"/>
    <w:rsid w:val="00235803"/>
    <w:rsid w:val="00236D14"/>
    <w:rsid w:val="00236D16"/>
    <w:rsid w:val="00241606"/>
    <w:rsid w:val="00241E51"/>
    <w:rsid w:val="0024327B"/>
    <w:rsid w:val="00244615"/>
    <w:rsid w:val="002449DD"/>
    <w:rsid w:val="00244FC3"/>
    <w:rsid w:val="00246885"/>
    <w:rsid w:val="00247F78"/>
    <w:rsid w:val="00253891"/>
    <w:rsid w:val="00253D4F"/>
    <w:rsid w:val="00254B0D"/>
    <w:rsid w:val="00254FB0"/>
    <w:rsid w:val="0025521F"/>
    <w:rsid w:val="00256CD7"/>
    <w:rsid w:val="0025790C"/>
    <w:rsid w:val="00260108"/>
    <w:rsid w:val="002623F8"/>
    <w:rsid w:val="002626D1"/>
    <w:rsid w:val="002631C9"/>
    <w:rsid w:val="00264374"/>
    <w:rsid w:val="00265A0E"/>
    <w:rsid w:val="00265C21"/>
    <w:rsid w:val="00267027"/>
    <w:rsid w:val="0027173B"/>
    <w:rsid w:val="00272981"/>
    <w:rsid w:val="00272F7D"/>
    <w:rsid w:val="00273EFA"/>
    <w:rsid w:val="00274FBB"/>
    <w:rsid w:val="00276019"/>
    <w:rsid w:val="00276B54"/>
    <w:rsid w:val="0027793A"/>
    <w:rsid w:val="002812F2"/>
    <w:rsid w:val="00281E13"/>
    <w:rsid w:val="0028222D"/>
    <w:rsid w:val="0028378F"/>
    <w:rsid w:val="002842E1"/>
    <w:rsid w:val="00284A4A"/>
    <w:rsid w:val="0028618D"/>
    <w:rsid w:val="00287375"/>
    <w:rsid w:val="00290D33"/>
    <w:rsid w:val="002A07E2"/>
    <w:rsid w:val="002A1B72"/>
    <w:rsid w:val="002A1F94"/>
    <w:rsid w:val="002A27CA"/>
    <w:rsid w:val="002A2CD9"/>
    <w:rsid w:val="002A430C"/>
    <w:rsid w:val="002A4689"/>
    <w:rsid w:val="002A4A51"/>
    <w:rsid w:val="002A6333"/>
    <w:rsid w:val="002A6504"/>
    <w:rsid w:val="002A6798"/>
    <w:rsid w:val="002A6C08"/>
    <w:rsid w:val="002A7128"/>
    <w:rsid w:val="002B1021"/>
    <w:rsid w:val="002B1C5A"/>
    <w:rsid w:val="002B3588"/>
    <w:rsid w:val="002B552C"/>
    <w:rsid w:val="002B634C"/>
    <w:rsid w:val="002B64D7"/>
    <w:rsid w:val="002C1177"/>
    <w:rsid w:val="002C1646"/>
    <w:rsid w:val="002C1E0B"/>
    <w:rsid w:val="002C44C9"/>
    <w:rsid w:val="002C60B7"/>
    <w:rsid w:val="002C6A7F"/>
    <w:rsid w:val="002C6C2B"/>
    <w:rsid w:val="002D0AFC"/>
    <w:rsid w:val="002D3A9C"/>
    <w:rsid w:val="002D4778"/>
    <w:rsid w:val="002D590B"/>
    <w:rsid w:val="002D65E7"/>
    <w:rsid w:val="002D7673"/>
    <w:rsid w:val="002E022F"/>
    <w:rsid w:val="002E11B2"/>
    <w:rsid w:val="002E13B1"/>
    <w:rsid w:val="002E15D0"/>
    <w:rsid w:val="002E2A60"/>
    <w:rsid w:val="002E5137"/>
    <w:rsid w:val="002E74AC"/>
    <w:rsid w:val="002F0A7D"/>
    <w:rsid w:val="002F214E"/>
    <w:rsid w:val="002F27CB"/>
    <w:rsid w:val="002F5AB4"/>
    <w:rsid w:val="00305FA1"/>
    <w:rsid w:val="003070FA"/>
    <w:rsid w:val="0030742D"/>
    <w:rsid w:val="003103D6"/>
    <w:rsid w:val="003119C8"/>
    <w:rsid w:val="00311FDC"/>
    <w:rsid w:val="0031307E"/>
    <w:rsid w:val="0031353B"/>
    <w:rsid w:val="003149E7"/>
    <w:rsid w:val="00314ACD"/>
    <w:rsid w:val="00315C87"/>
    <w:rsid w:val="00315E3B"/>
    <w:rsid w:val="0031787E"/>
    <w:rsid w:val="00321C10"/>
    <w:rsid w:val="00322B0B"/>
    <w:rsid w:val="00322C71"/>
    <w:rsid w:val="00322E32"/>
    <w:rsid w:val="0032315C"/>
    <w:rsid w:val="0032353E"/>
    <w:rsid w:val="00324739"/>
    <w:rsid w:val="00325CB1"/>
    <w:rsid w:val="00331ED7"/>
    <w:rsid w:val="00331EF4"/>
    <w:rsid w:val="003320FE"/>
    <w:rsid w:val="00332E80"/>
    <w:rsid w:val="0033343C"/>
    <w:rsid w:val="00335FA9"/>
    <w:rsid w:val="00337BDC"/>
    <w:rsid w:val="003400D5"/>
    <w:rsid w:val="00340F63"/>
    <w:rsid w:val="0034138D"/>
    <w:rsid w:val="00341A73"/>
    <w:rsid w:val="00341CC3"/>
    <w:rsid w:val="003444BF"/>
    <w:rsid w:val="003466FC"/>
    <w:rsid w:val="00347F4C"/>
    <w:rsid w:val="003512F2"/>
    <w:rsid w:val="00351C6D"/>
    <w:rsid w:val="0035257D"/>
    <w:rsid w:val="00353AAB"/>
    <w:rsid w:val="00361D76"/>
    <w:rsid w:val="00362166"/>
    <w:rsid w:val="0036277E"/>
    <w:rsid w:val="00363CA0"/>
    <w:rsid w:val="0036468E"/>
    <w:rsid w:val="00366348"/>
    <w:rsid w:val="0036735D"/>
    <w:rsid w:val="00367D97"/>
    <w:rsid w:val="003709C7"/>
    <w:rsid w:val="00372478"/>
    <w:rsid w:val="00372637"/>
    <w:rsid w:val="00373484"/>
    <w:rsid w:val="00373617"/>
    <w:rsid w:val="00373F25"/>
    <w:rsid w:val="00374EA3"/>
    <w:rsid w:val="0037566C"/>
    <w:rsid w:val="0037588D"/>
    <w:rsid w:val="00375DC0"/>
    <w:rsid w:val="00380B49"/>
    <w:rsid w:val="00384963"/>
    <w:rsid w:val="00384CC8"/>
    <w:rsid w:val="00386C52"/>
    <w:rsid w:val="00390829"/>
    <w:rsid w:val="00391ADE"/>
    <w:rsid w:val="00392228"/>
    <w:rsid w:val="00393D1A"/>
    <w:rsid w:val="00394D1D"/>
    <w:rsid w:val="00395A35"/>
    <w:rsid w:val="003A3528"/>
    <w:rsid w:val="003A4D94"/>
    <w:rsid w:val="003A4DBC"/>
    <w:rsid w:val="003B084D"/>
    <w:rsid w:val="003B1499"/>
    <w:rsid w:val="003B1905"/>
    <w:rsid w:val="003B3872"/>
    <w:rsid w:val="003B719E"/>
    <w:rsid w:val="003C00FC"/>
    <w:rsid w:val="003C04FC"/>
    <w:rsid w:val="003C1028"/>
    <w:rsid w:val="003C4789"/>
    <w:rsid w:val="003C508B"/>
    <w:rsid w:val="003C6EF6"/>
    <w:rsid w:val="003C7D3F"/>
    <w:rsid w:val="003D1C41"/>
    <w:rsid w:val="003D2C13"/>
    <w:rsid w:val="003D2EA7"/>
    <w:rsid w:val="003D5409"/>
    <w:rsid w:val="003D7BA1"/>
    <w:rsid w:val="003E342F"/>
    <w:rsid w:val="003E5561"/>
    <w:rsid w:val="003E56A2"/>
    <w:rsid w:val="003E5F20"/>
    <w:rsid w:val="003E61AB"/>
    <w:rsid w:val="003F0141"/>
    <w:rsid w:val="003F05C9"/>
    <w:rsid w:val="003F1855"/>
    <w:rsid w:val="003F2D88"/>
    <w:rsid w:val="003F3084"/>
    <w:rsid w:val="003F411F"/>
    <w:rsid w:val="003F415B"/>
    <w:rsid w:val="003F4BAF"/>
    <w:rsid w:val="003F50F5"/>
    <w:rsid w:val="003F6DD9"/>
    <w:rsid w:val="003F7D0B"/>
    <w:rsid w:val="00400470"/>
    <w:rsid w:val="0040047E"/>
    <w:rsid w:val="0040157F"/>
    <w:rsid w:val="004025F3"/>
    <w:rsid w:val="00407511"/>
    <w:rsid w:val="00410E5A"/>
    <w:rsid w:val="00411277"/>
    <w:rsid w:val="00411751"/>
    <w:rsid w:val="00411DDF"/>
    <w:rsid w:val="00412F6E"/>
    <w:rsid w:val="0041438B"/>
    <w:rsid w:val="00415275"/>
    <w:rsid w:val="004157FC"/>
    <w:rsid w:val="0042030E"/>
    <w:rsid w:val="00420FFA"/>
    <w:rsid w:val="00425263"/>
    <w:rsid w:val="00430335"/>
    <w:rsid w:val="004334C6"/>
    <w:rsid w:val="0043424B"/>
    <w:rsid w:val="00437CAB"/>
    <w:rsid w:val="004404B2"/>
    <w:rsid w:val="0044081F"/>
    <w:rsid w:val="0044144F"/>
    <w:rsid w:val="00441B52"/>
    <w:rsid w:val="00442DF3"/>
    <w:rsid w:val="0044553D"/>
    <w:rsid w:val="00446BDB"/>
    <w:rsid w:val="0044761E"/>
    <w:rsid w:val="00450FA8"/>
    <w:rsid w:val="004512FC"/>
    <w:rsid w:val="00455772"/>
    <w:rsid w:val="00457966"/>
    <w:rsid w:val="00457E0B"/>
    <w:rsid w:val="00464FC6"/>
    <w:rsid w:val="004659C7"/>
    <w:rsid w:val="00466FD7"/>
    <w:rsid w:val="0046788F"/>
    <w:rsid w:val="00467974"/>
    <w:rsid w:val="00467D57"/>
    <w:rsid w:val="00471471"/>
    <w:rsid w:val="00472855"/>
    <w:rsid w:val="00476D23"/>
    <w:rsid w:val="004772FC"/>
    <w:rsid w:val="00477397"/>
    <w:rsid w:val="00477452"/>
    <w:rsid w:val="00477526"/>
    <w:rsid w:val="004804B3"/>
    <w:rsid w:val="004821F9"/>
    <w:rsid w:val="00482272"/>
    <w:rsid w:val="00482C37"/>
    <w:rsid w:val="00482F2E"/>
    <w:rsid w:val="00483CF2"/>
    <w:rsid w:val="00484B1E"/>
    <w:rsid w:val="004874C3"/>
    <w:rsid w:val="004904FD"/>
    <w:rsid w:val="00494CC7"/>
    <w:rsid w:val="00495B7B"/>
    <w:rsid w:val="004960D1"/>
    <w:rsid w:val="00496B35"/>
    <w:rsid w:val="004A0640"/>
    <w:rsid w:val="004A103B"/>
    <w:rsid w:val="004A25CF"/>
    <w:rsid w:val="004A38CC"/>
    <w:rsid w:val="004A3D3B"/>
    <w:rsid w:val="004A460A"/>
    <w:rsid w:val="004A5245"/>
    <w:rsid w:val="004A6B74"/>
    <w:rsid w:val="004B14EB"/>
    <w:rsid w:val="004B1860"/>
    <w:rsid w:val="004B4C03"/>
    <w:rsid w:val="004B58B4"/>
    <w:rsid w:val="004B5A97"/>
    <w:rsid w:val="004B65E5"/>
    <w:rsid w:val="004B6F9F"/>
    <w:rsid w:val="004B7019"/>
    <w:rsid w:val="004B76B4"/>
    <w:rsid w:val="004C08BA"/>
    <w:rsid w:val="004C0F10"/>
    <w:rsid w:val="004C3306"/>
    <w:rsid w:val="004C38FE"/>
    <w:rsid w:val="004C4A9A"/>
    <w:rsid w:val="004C592E"/>
    <w:rsid w:val="004C7F47"/>
    <w:rsid w:val="004D02EB"/>
    <w:rsid w:val="004D05C3"/>
    <w:rsid w:val="004D5191"/>
    <w:rsid w:val="004E1445"/>
    <w:rsid w:val="004E24EA"/>
    <w:rsid w:val="004E2FCB"/>
    <w:rsid w:val="004E3FA0"/>
    <w:rsid w:val="004E5216"/>
    <w:rsid w:val="004E5EC2"/>
    <w:rsid w:val="004F0C6D"/>
    <w:rsid w:val="004F1961"/>
    <w:rsid w:val="004F2040"/>
    <w:rsid w:val="004F317F"/>
    <w:rsid w:val="004F4426"/>
    <w:rsid w:val="00501EB0"/>
    <w:rsid w:val="005052E7"/>
    <w:rsid w:val="00505D27"/>
    <w:rsid w:val="00506D9B"/>
    <w:rsid w:val="005072B6"/>
    <w:rsid w:val="0051012D"/>
    <w:rsid w:val="005101ED"/>
    <w:rsid w:val="00510693"/>
    <w:rsid w:val="0051098E"/>
    <w:rsid w:val="00511215"/>
    <w:rsid w:val="0051199F"/>
    <w:rsid w:val="00511D45"/>
    <w:rsid w:val="00512A2B"/>
    <w:rsid w:val="005133D0"/>
    <w:rsid w:val="005133ED"/>
    <w:rsid w:val="00513B24"/>
    <w:rsid w:val="005158D2"/>
    <w:rsid w:val="00515B36"/>
    <w:rsid w:val="00516581"/>
    <w:rsid w:val="00517BCB"/>
    <w:rsid w:val="00520F40"/>
    <w:rsid w:val="00522C2E"/>
    <w:rsid w:val="005246D8"/>
    <w:rsid w:val="005259A3"/>
    <w:rsid w:val="00525E70"/>
    <w:rsid w:val="005270F4"/>
    <w:rsid w:val="00527101"/>
    <w:rsid w:val="005301A2"/>
    <w:rsid w:val="0053334E"/>
    <w:rsid w:val="00533E2C"/>
    <w:rsid w:val="00534577"/>
    <w:rsid w:val="00534B21"/>
    <w:rsid w:val="00536649"/>
    <w:rsid w:val="005414EA"/>
    <w:rsid w:val="00551CE3"/>
    <w:rsid w:val="00553A5C"/>
    <w:rsid w:val="00554065"/>
    <w:rsid w:val="0055578A"/>
    <w:rsid w:val="00555F6F"/>
    <w:rsid w:val="0055619F"/>
    <w:rsid w:val="00557121"/>
    <w:rsid w:val="00560508"/>
    <w:rsid w:val="00561A22"/>
    <w:rsid w:val="005626E7"/>
    <w:rsid w:val="00562FC9"/>
    <w:rsid w:val="0056444B"/>
    <w:rsid w:val="00564984"/>
    <w:rsid w:val="00564ADD"/>
    <w:rsid w:val="00566F65"/>
    <w:rsid w:val="005712BA"/>
    <w:rsid w:val="005714A4"/>
    <w:rsid w:val="005801BC"/>
    <w:rsid w:val="005822B6"/>
    <w:rsid w:val="0058350E"/>
    <w:rsid w:val="0058390C"/>
    <w:rsid w:val="00585959"/>
    <w:rsid w:val="00585BF7"/>
    <w:rsid w:val="005863D3"/>
    <w:rsid w:val="00591CD3"/>
    <w:rsid w:val="00592FD1"/>
    <w:rsid w:val="00594B72"/>
    <w:rsid w:val="00595E58"/>
    <w:rsid w:val="00596137"/>
    <w:rsid w:val="005964EB"/>
    <w:rsid w:val="00596BC1"/>
    <w:rsid w:val="00597371"/>
    <w:rsid w:val="005973BE"/>
    <w:rsid w:val="005A01F0"/>
    <w:rsid w:val="005A047A"/>
    <w:rsid w:val="005A0909"/>
    <w:rsid w:val="005A0D98"/>
    <w:rsid w:val="005A3C58"/>
    <w:rsid w:val="005A3C77"/>
    <w:rsid w:val="005A3CBF"/>
    <w:rsid w:val="005A3DCC"/>
    <w:rsid w:val="005A41D8"/>
    <w:rsid w:val="005A4D35"/>
    <w:rsid w:val="005A546C"/>
    <w:rsid w:val="005A5726"/>
    <w:rsid w:val="005A5ECC"/>
    <w:rsid w:val="005B0191"/>
    <w:rsid w:val="005B059E"/>
    <w:rsid w:val="005B0C86"/>
    <w:rsid w:val="005B0E11"/>
    <w:rsid w:val="005B3A25"/>
    <w:rsid w:val="005C0F69"/>
    <w:rsid w:val="005C1380"/>
    <w:rsid w:val="005C13FB"/>
    <w:rsid w:val="005C2B52"/>
    <w:rsid w:val="005C3228"/>
    <w:rsid w:val="005C392B"/>
    <w:rsid w:val="005C4331"/>
    <w:rsid w:val="005C5BB7"/>
    <w:rsid w:val="005C6FA5"/>
    <w:rsid w:val="005C7F03"/>
    <w:rsid w:val="005D0431"/>
    <w:rsid w:val="005D2B57"/>
    <w:rsid w:val="005D3703"/>
    <w:rsid w:val="005D3846"/>
    <w:rsid w:val="005D75BE"/>
    <w:rsid w:val="005D7794"/>
    <w:rsid w:val="005E165D"/>
    <w:rsid w:val="005E20FE"/>
    <w:rsid w:val="005E5C7B"/>
    <w:rsid w:val="005E76BE"/>
    <w:rsid w:val="005F04B3"/>
    <w:rsid w:val="005F0803"/>
    <w:rsid w:val="005F17E5"/>
    <w:rsid w:val="005F36E5"/>
    <w:rsid w:val="005F6FA9"/>
    <w:rsid w:val="00600973"/>
    <w:rsid w:val="00601506"/>
    <w:rsid w:val="00601ADA"/>
    <w:rsid w:val="00605168"/>
    <w:rsid w:val="006102D6"/>
    <w:rsid w:val="0061062C"/>
    <w:rsid w:val="00611E0E"/>
    <w:rsid w:val="0061219E"/>
    <w:rsid w:val="00613319"/>
    <w:rsid w:val="006134D9"/>
    <w:rsid w:val="00613F46"/>
    <w:rsid w:val="00615E9C"/>
    <w:rsid w:val="00616AB6"/>
    <w:rsid w:val="0061764F"/>
    <w:rsid w:val="0062153A"/>
    <w:rsid w:val="00622650"/>
    <w:rsid w:val="00623023"/>
    <w:rsid w:val="00630748"/>
    <w:rsid w:val="00630829"/>
    <w:rsid w:val="00630F14"/>
    <w:rsid w:val="006346DA"/>
    <w:rsid w:val="00634E42"/>
    <w:rsid w:val="00642AB5"/>
    <w:rsid w:val="00642DDD"/>
    <w:rsid w:val="00643C38"/>
    <w:rsid w:val="00643E24"/>
    <w:rsid w:val="00643FEF"/>
    <w:rsid w:val="00646130"/>
    <w:rsid w:val="0065356B"/>
    <w:rsid w:val="00654595"/>
    <w:rsid w:val="00655167"/>
    <w:rsid w:val="0066417D"/>
    <w:rsid w:val="0066477F"/>
    <w:rsid w:val="00670248"/>
    <w:rsid w:val="00671BA3"/>
    <w:rsid w:val="00671BD4"/>
    <w:rsid w:val="006721AB"/>
    <w:rsid w:val="00673374"/>
    <w:rsid w:val="0067429C"/>
    <w:rsid w:val="0067471C"/>
    <w:rsid w:val="00674B78"/>
    <w:rsid w:val="006755FC"/>
    <w:rsid w:val="006756FC"/>
    <w:rsid w:val="0067790D"/>
    <w:rsid w:val="0068303F"/>
    <w:rsid w:val="00683870"/>
    <w:rsid w:val="00683884"/>
    <w:rsid w:val="00684565"/>
    <w:rsid w:val="00684E67"/>
    <w:rsid w:val="00685DC2"/>
    <w:rsid w:val="00691148"/>
    <w:rsid w:val="006927D9"/>
    <w:rsid w:val="00692E2A"/>
    <w:rsid w:val="00694246"/>
    <w:rsid w:val="006946C0"/>
    <w:rsid w:val="00695091"/>
    <w:rsid w:val="0069541E"/>
    <w:rsid w:val="00696A50"/>
    <w:rsid w:val="00696DC9"/>
    <w:rsid w:val="006A1039"/>
    <w:rsid w:val="006A112E"/>
    <w:rsid w:val="006A6E6D"/>
    <w:rsid w:val="006A7572"/>
    <w:rsid w:val="006B07BE"/>
    <w:rsid w:val="006B1B1D"/>
    <w:rsid w:val="006B328B"/>
    <w:rsid w:val="006B3695"/>
    <w:rsid w:val="006B3B99"/>
    <w:rsid w:val="006B624E"/>
    <w:rsid w:val="006B653E"/>
    <w:rsid w:val="006B6B74"/>
    <w:rsid w:val="006B6CD6"/>
    <w:rsid w:val="006B7426"/>
    <w:rsid w:val="006B77B3"/>
    <w:rsid w:val="006B7CB9"/>
    <w:rsid w:val="006C0251"/>
    <w:rsid w:val="006C03DC"/>
    <w:rsid w:val="006C0E08"/>
    <w:rsid w:val="006C2B49"/>
    <w:rsid w:val="006C327D"/>
    <w:rsid w:val="006C4387"/>
    <w:rsid w:val="006C4D17"/>
    <w:rsid w:val="006C4E6E"/>
    <w:rsid w:val="006C5743"/>
    <w:rsid w:val="006C60C4"/>
    <w:rsid w:val="006C65B7"/>
    <w:rsid w:val="006C7B22"/>
    <w:rsid w:val="006D0214"/>
    <w:rsid w:val="006D1C2C"/>
    <w:rsid w:val="006D4209"/>
    <w:rsid w:val="006D472A"/>
    <w:rsid w:val="006D48F2"/>
    <w:rsid w:val="006D4BB3"/>
    <w:rsid w:val="006D4CBE"/>
    <w:rsid w:val="006D56AA"/>
    <w:rsid w:val="006D5F62"/>
    <w:rsid w:val="006D6D24"/>
    <w:rsid w:val="006D78D9"/>
    <w:rsid w:val="006E0CD8"/>
    <w:rsid w:val="006E1EA0"/>
    <w:rsid w:val="006E3240"/>
    <w:rsid w:val="006E4139"/>
    <w:rsid w:val="006E46E3"/>
    <w:rsid w:val="006E4C33"/>
    <w:rsid w:val="006E53BA"/>
    <w:rsid w:val="006E5A87"/>
    <w:rsid w:val="006E659E"/>
    <w:rsid w:val="006E7721"/>
    <w:rsid w:val="006F0A19"/>
    <w:rsid w:val="006F369E"/>
    <w:rsid w:val="006F4743"/>
    <w:rsid w:val="006F4F8C"/>
    <w:rsid w:val="006F62AE"/>
    <w:rsid w:val="006F6701"/>
    <w:rsid w:val="006F7EE4"/>
    <w:rsid w:val="00700272"/>
    <w:rsid w:val="00700CE9"/>
    <w:rsid w:val="00700FA0"/>
    <w:rsid w:val="00703831"/>
    <w:rsid w:val="00706446"/>
    <w:rsid w:val="00706A46"/>
    <w:rsid w:val="00707198"/>
    <w:rsid w:val="00710355"/>
    <w:rsid w:val="00711CED"/>
    <w:rsid w:val="00712B20"/>
    <w:rsid w:val="00712D9B"/>
    <w:rsid w:val="00712F41"/>
    <w:rsid w:val="00716BCE"/>
    <w:rsid w:val="00717F60"/>
    <w:rsid w:val="0072162C"/>
    <w:rsid w:val="00721EE9"/>
    <w:rsid w:val="00723606"/>
    <w:rsid w:val="007242A7"/>
    <w:rsid w:val="00724D15"/>
    <w:rsid w:val="00724EE3"/>
    <w:rsid w:val="00725EED"/>
    <w:rsid w:val="00727F37"/>
    <w:rsid w:val="007305B6"/>
    <w:rsid w:val="00731393"/>
    <w:rsid w:val="00735571"/>
    <w:rsid w:val="00737BE7"/>
    <w:rsid w:val="00740DEF"/>
    <w:rsid w:val="007427C4"/>
    <w:rsid w:val="007430E1"/>
    <w:rsid w:val="007460F3"/>
    <w:rsid w:val="007468A4"/>
    <w:rsid w:val="00746D20"/>
    <w:rsid w:val="00747EF0"/>
    <w:rsid w:val="00750816"/>
    <w:rsid w:val="00751244"/>
    <w:rsid w:val="00751694"/>
    <w:rsid w:val="00753CD1"/>
    <w:rsid w:val="0075547C"/>
    <w:rsid w:val="0075715B"/>
    <w:rsid w:val="00757BEC"/>
    <w:rsid w:val="00760788"/>
    <w:rsid w:val="00762334"/>
    <w:rsid w:val="007644A8"/>
    <w:rsid w:val="0076458B"/>
    <w:rsid w:val="00765A84"/>
    <w:rsid w:val="00765FB2"/>
    <w:rsid w:val="007700C6"/>
    <w:rsid w:val="007707EF"/>
    <w:rsid w:val="00772BD1"/>
    <w:rsid w:val="00773B90"/>
    <w:rsid w:val="00774610"/>
    <w:rsid w:val="007747E0"/>
    <w:rsid w:val="00774C24"/>
    <w:rsid w:val="00776478"/>
    <w:rsid w:val="00776D1B"/>
    <w:rsid w:val="00776D54"/>
    <w:rsid w:val="00777C67"/>
    <w:rsid w:val="00780B86"/>
    <w:rsid w:val="00782CFE"/>
    <w:rsid w:val="00782DF1"/>
    <w:rsid w:val="00784599"/>
    <w:rsid w:val="00785B0B"/>
    <w:rsid w:val="007864E1"/>
    <w:rsid w:val="00786C82"/>
    <w:rsid w:val="00787AF8"/>
    <w:rsid w:val="00787DAA"/>
    <w:rsid w:val="007917AC"/>
    <w:rsid w:val="007917DD"/>
    <w:rsid w:val="00795D32"/>
    <w:rsid w:val="00797AE1"/>
    <w:rsid w:val="007A005F"/>
    <w:rsid w:val="007A1DBB"/>
    <w:rsid w:val="007A29AD"/>
    <w:rsid w:val="007A517A"/>
    <w:rsid w:val="007A6E69"/>
    <w:rsid w:val="007B052C"/>
    <w:rsid w:val="007B07ED"/>
    <w:rsid w:val="007B13D7"/>
    <w:rsid w:val="007B173F"/>
    <w:rsid w:val="007B3440"/>
    <w:rsid w:val="007B4409"/>
    <w:rsid w:val="007B4DCF"/>
    <w:rsid w:val="007B5126"/>
    <w:rsid w:val="007B5212"/>
    <w:rsid w:val="007B5ECC"/>
    <w:rsid w:val="007B79A7"/>
    <w:rsid w:val="007C01EF"/>
    <w:rsid w:val="007C15D0"/>
    <w:rsid w:val="007C40D3"/>
    <w:rsid w:val="007C53F7"/>
    <w:rsid w:val="007C552E"/>
    <w:rsid w:val="007C59C6"/>
    <w:rsid w:val="007D133C"/>
    <w:rsid w:val="007D2426"/>
    <w:rsid w:val="007D2B2C"/>
    <w:rsid w:val="007D2FEE"/>
    <w:rsid w:val="007D3347"/>
    <w:rsid w:val="007D3789"/>
    <w:rsid w:val="007D3E31"/>
    <w:rsid w:val="007D589F"/>
    <w:rsid w:val="007D5B4F"/>
    <w:rsid w:val="007D5E7A"/>
    <w:rsid w:val="007E053A"/>
    <w:rsid w:val="007E128B"/>
    <w:rsid w:val="007E38DC"/>
    <w:rsid w:val="007E49D8"/>
    <w:rsid w:val="007E5501"/>
    <w:rsid w:val="007E798A"/>
    <w:rsid w:val="007F0BE6"/>
    <w:rsid w:val="007F3624"/>
    <w:rsid w:val="007F6B88"/>
    <w:rsid w:val="007F730B"/>
    <w:rsid w:val="007F7EE9"/>
    <w:rsid w:val="008006BD"/>
    <w:rsid w:val="008008B6"/>
    <w:rsid w:val="00803A4A"/>
    <w:rsid w:val="00804246"/>
    <w:rsid w:val="00805C85"/>
    <w:rsid w:val="00810A87"/>
    <w:rsid w:val="00810CBB"/>
    <w:rsid w:val="00813999"/>
    <w:rsid w:val="008152E1"/>
    <w:rsid w:val="008160AA"/>
    <w:rsid w:val="00816B07"/>
    <w:rsid w:val="00817D9D"/>
    <w:rsid w:val="00817EBE"/>
    <w:rsid w:val="00821DD6"/>
    <w:rsid w:val="008221B9"/>
    <w:rsid w:val="0082241B"/>
    <w:rsid w:val="00823537"/>
    <w:rsid w:val="0082397A"/>
    <w:rsid w:val="008245CC"/>
    <w:rsid w:val="008245D5"/>
    <w:rsid w:val="008247A0"/>
    <w:rsid w:val="00826C9F"/>
    <w:rsid w:val="00835451"/>
    <w:rsid w:val="008359A0"/>
    <w:rsid w:val="008370B5"/>
    <w:rsid w:val="00837A19"/>
    <w:rsid w:val="00840077"/>
    <w:rsid w:val="008403F6"/>
    <w:rsid w:val="00842CD3"/>
    <w:rsid w:val="00842DE8"/>
    <w:rsid w:val="00843482"/>
    <w:rsid w:val="00844D11"/>
    <w:rsid w:val="00844D47"/>
    <w:rsid w:val="00845604"/>
    <w:rsid w:val="00845F0E"/>
    <w:rsid w:val="00847D5E"/>
    <w:rsid w:val="008504A7"/>
    <w:rsid w:val="00852818"/>
    <w:rsid w:val="00856489"/>
    <w:rsid w:val="00857959"/>
    <w:rsid w:val="00857B29"/>
    <w:rsid w:val="00860E95"/>
    <w:rsid w:val="008649EA"/>
    <w:rsid w:val="00865A5A"/>
    <w:rsid w:val="00866574"/>
    <w:rsid w:val="00867D3A"/>
    <w:rsid w:val="00870ADE"/>
    <w:rsid w:val="00870CFE"/>
    <w:rsid w:val="00871200"/>
    <w:rsid w:val="00871A91"/>
    <w:rsid w:val="0087661B"/>
    <w:rsid w:val="00877530"/>
    <w:rsid w:val="00877767"/>
    <w:rsid w:val="008801B0"/>
    <w:rsid w:val="0088065F"/>
    <w:rsid w:val="008809FF"/>
    <w:rsid w:val="008820C9"/>
    <w:rsid w:val="0088217F"/>
    <w:rsid w:val="00883155"/>
    <w:rsid w:val="008854FD"/>
    <w:rsid w:val="0088606C"/>
    <w:rsid w:val="00887000"/>
    <w:rsid w:val="008874AC"/>
    <w:rsid w:val="00887AC4"/>
    <w:rsid w:val="008953BE"/>
    <w:rsid w:val="00897B8A"/>
    <w:rsid w:val="008A255B"/>
    <w:rsid w:val="008A6002"/>
    <w:rsid w:val="008A66D3"/>
    <w:rsid w:val="008A75C3"/>
    <w:rsid w:val="008C02DE"/>
    <w:rsid w:val="008C0656"/>
    <w:rsid w:val="008C1F54"/>
    <w:rsid w:val="008C3AEE"/>
    <w:rsid w:val="008C3DC5"/>
    <w:rsid w:val="008C3FE6"/>
    <w:rsid w:val="008C5CE6"/>
    <w:rsid w:val="008D0C02"/>
    <w:rsid w:val="008D0E49"/>
    <w:rsid w:val="008D2E58"/>
    <w:rsid w:val="008D2EF4"/>
    <w:rsid w:val="008D3F8C"/>
    <w:rsid w:val="008D4179"/>
    <w:rsid w:val="008D4B47"/>
    <w:rsid w:val="008D563A"/>
    <w:rsid w:val="008E0B1C"/>
    <w:rsid w:val="008E513C"/>
    <w:rsid w:val="008E561A"/>
    <w:rsid w:val="008E5BB1"/>
    <w:rsid w:val="008E71AF"/>
    <w:rsid w:val="008E75A9"/>
    <w:rsid w:val="008F2BD8"/>
    <w:rsid w:val="008F2D1B"/>
    <w:rsid w:val="008F49A5"/>
    <w:rsid w:val="008F4BD9"/>
    <w:rsid w:val="008F5EC3"/>
    <w:rsid w:val="008F642E"/>
    <w:rsid w:val="008F7822"/>
    <w:rsid w:val="009005AD"/>
    <w:rsid w:val="00900D14"/>
    <w:rsid w:val="00901246"/>
    <w:rsid w:val="009013BD"/>
    <w:rsid w:val="0090281F"/>
    <w:rsid w:val="00903709"/>
    <w:rsid w:val="00903815"/>
    <w:rsid w:val="00903FA6"/>
    <w:rsid w:val="0090536F"/>
    <w:rsid w:val="00905852"/>
    <w:rsid w:val="00906B97"/>
    <w:rsid w:val="00907636"/>
    <w:rsid w:val="009103CA"/>
    <w:rsid w:val="009103CF"/>
    <w:rsid w:val="0091100E"/>
    <w:rsid w:val="00913817"/>
    <w:rsid w:val="0091568F"/>
    <w:rsid w:val="00915AF0"/>
    <w:rsid w:val="0092005F"/>
    <w:rsid w:val="0092232A"/>
    <w:rsid w:val="00922543"/>
    <w:rsid w:val="00922994"/>
    <w:rsid w:val="00922BF7"/>
    <w:rsid w:val="00924270"/>
    <w:rsid w:val="00924BC1"/>
    <w:rsid w:val="00924CA5"/>
    <w:rsid w:val="0092546F"/>
    <w:rsid w:val="009267AE"/>
    <w:rsid w:val="00927B96"/>
    <w:rsid w:val="00927C32"/>
    <w:rsid w:val="00927DF8"/>
    <w:rsid w:val="009339C9"/>
    <w:rsid w:val="00944750"/>
    <w:rsid w:val="00944A04"/>
    <w:rsid w:val="0095157A"/>
    <w:rsid w:val="00952208"/>
    <w:rsid w:val="009539CF"/>
    <w:rsid w:val="00953AFC"/>
    <w:rsid w:val="00953DCF"/>
    <w:rsid w:val="00954AC2"/>
    <w:rsid w:val="00955304"/>
    <w:rsid w:val="00956A31"/>
    <w:rsid w:val="009601D2"/>
    <w:rsid w:val="00960AAB"/>
    <w:rsid w:val="0096684C"/>
    <w:rsid w:val="00972263"/>
    <w:rsid w:val="00972AF9"/>
    <w:rsid w:val="009751DB"/>
    <w:rsid w:val="00976114"/>
    <w:rsid w:val="009770CB"/>
    <w:rsid w:val="009825B5"/>
    <w:rsid w:val="00982B11"/>
    <w:rsid w:val="0098377A"/>
    <w:rsid w:val="00983E39"/>
    <w:rsid w:val="00984FC0"/>
    <w:rsid w:val="00985FCA"/>
    <w:rsid w:val="0098666E"/>
    <w:rsid w:val="00991C90"/>
    <w:rsid w:val="00991E59"/>
    <w:rsid w:val="00993E5E"/>
    <w:rsid w:val="00994E1B"/>
    <w:rsid w:val="009966A9"/>
    <w:rsid w:val="00997892"/>
    <w:rsid w:val="00997C20"/>
    <w:rsid w:val="00997F50"/>
    <w:rsid w:val="009A00DE"/>
    <w:rsid w:val="009A02B5"/>
    <w:rsid w:val="009A0BA6"/>
    <w:rsid w:val="009A130E"/>
    <w:rsid w:val="009A1404"/>
    <w:rsid w:val="009A1D78"/>
    <w:rsid w:val="009A3083"/>
    <w:rsid w:val="009A323B"/>
    <w:rsid w:val="009A36C7"/>
    <w:rsid w:val="009A49C7"/>
    <w:rsid w:val="009A4A45"/>
    <w:rsid w:val="009A4B75"/>
    <w:rsid w:val="009A52B3"/>
    <w:rsid w:val="009A6172"/>
    <w:rsid w:val="009A6892"/>
    <w:rsid w:val="009A7F44"/>
    <w:rsid w:val="009B19FA"/>
    <w:rsid w:val="009B21F1"/>
    <w:rsid w:val="009B2B74"/>
    <w:rsid w:val="009B4D40"/>
    <w:rsid w:val="009B4E85"/>
    <w:rsid w:val="009B5500"/>
    <w:rsid w:val="009B6439"/>
    <w:rsid w:val="009B68F1"/>
    <w:rsid w:val="009B7299"/>
    <w:rsid w:val="009C0CAF"/>
    <w:rsid w:val="009C0DDF"/>
    <w:rsid w:val="009C285B"/>
    <w:rsid w:val="009C2BCE"/>
    <w:rsid w:val="009C305D"/>
    <w:rsid w:val="009C4117"/>
    <w:rsid w:val="009C44CB"/>
    <w:rsid w:val="009C51B3"/>
    <w:rsid w:val="009C59C4"/>
    <w:rsid w:val="009C6594"/>
    <w:rsid w:val="009C65D2"/>
    <w:rsid w:val="009C6933"/>
    <w:rsid w:val="009C6B7B"/>
    <w:rsid w:val="009C6D18"/>
    <w:rsid w:val="009C7B8C"/>
    <w:rsid w:val="009C7E21"/>
    <w:rsid w:val="009D0D84"/>
    <w:rsid w:val="009D1C71"/>
    <w:rsid w:val="009D22F7"/>
    <w:rsid w:val="009D3FA1"/>
    <w:rsid w:val="009D6C93"/>
    <w:rsid w:val="009E29B2"/>
    <w:rsid w:val="009E5192"/>
    <w:rsid w:val="009E6005"/>
    <w:rsid w:val="009E61F1"/>
    <w:rsid w:val="009E646D"/>
    <w:rsid w:val="009E6DF9"/>
    <w:rsid w:val="009E7C73"/>
    <w:rsid w:val="009F157C"/>
    <w:rsid w:val="009F1660"/>
    <w:rsid w:val="009F1A4E"/>
    <w:rsid w:val="009F34C2"/>
    <w:rsid w:val="009F37AB"/>
    <w:rsid w:val="009F4587"/>
    <w:rsid w:val="009F50AA"/>
    <w:rsid w:val="009F6D96"/>
    <w:rsid w:val="00A00517"/>
    <w:rsid w:val="00A0186A"/>
    <w:rsid w:val="00A0448E"/>
    <w:rsid w:val="00A0494A"/>
    <w:rsid w:val="00A05D17"/>
    <w:rsid w:val="00A07EAD"/>
    <w:rsid w:val="00A07FE6"/>
    <w:rsid w:val="00A10BD3"/>
    <w:rsid w:val="00A145BF"/>
    <w:rsid w:val="00A166D1"/>
    <w:rsid w:val="00A17493"/>
    <w:rsid w:val="00A20638"/>
    <w:rsid w:val="00A20ACA"/>
    <w:rsid w:val="00A211E1"/>
    <w:rsid w:val="00A216A9"/>
    <w:rsid w:val="00A21AB4"/>
    <w:rsid w:val="00A21E7D"/>
    <w:rsid w:val="00A257C2"/>
    <w:rsid w:val="00A26B98"/>
    <w:rsid w:val="00A306F2"/>
    <w:rsid w:val="00A30736"/>
    <w:rsid w:val="00A31794"/>
    <w:rsid w:val="00A32B52"/>
    <w:rsid w:val="00A335C2"/>
    <w:rsid w:val="00A33C08"/>
    <w:rsid w:val="00A35A55"/>
    <w:rsid w:val="00A36891"/>
    <w:rsid w:val="00A4138B"/>
    <w:rsid w:val="00A429B7"/>
    <w:rsid w:val="00A42F42"/>
    <w:rsid w:val="00A43FD2"/>
    <w:rsid w:val="00A4474A"/>
    <w:rsid w:val="00A44DCB"/>
    <w:rsid w:val="00A46E4D"/>
    <w:rsid w:val="00A475B2"/>
    <w:rsid w:val="00A500FC"/>
    <w:rsid w:val="00A5276D"/>
    <w:rsid w:val="00A53B0B"/>
    <w:rsid w:val="00A54547"/>
    <w:rsid w:val="00A54D51"/>
    <w:rsid w:val="00A55D7A"/>
    <w:rsid w:val="00A566E6"/>
    <w:rsid w:val="00A5688B"/>
    <w:rsid w:val="00A56DED"/>
    <w:rsid w:val="00A571B3"/>
    <w:rsid w:val="00A57AD5"/>
    <w:rsid w:val="00A60C01"/>
    <w:rsid w:val="00A6140B"/>
    <w:rsid w:val="00A62C79"/>
    <w:rsid w:val="00A673A6"/>
    <w:rsid w:val="00A67C47"/>
    <w:rsid w:val="00A702BE"/>
    <w:rsid w:val="00A71373"/>
    <w:rsid w:val="00A71655"/>
    <w:rsid w:val="00A7290C"/>
    <w:rsid w:val="00A7336C"/>
    <w:rsid w:val="00A73A3E"/>
    <w:rsid w:val="00A73C75"/>
    <w:rsid w:val="00A7445B"/>
    <w:rsid w:val="00A757C4"/>
    <w:rsid w:val="00A759C1"/>
    <w:rsid w:val="00A75BC7"/>
    <w:rsid w:val="00A76B23"/>
    <w:rsid w:val="00A772FF"/>
    <w:rsid w:val="00A81964"/>
    <w:rsid w:val="00A81C5C"/>
    <w:rsid w:val="00A81D65"/>
    <w:rsid w:val="00A82A6E"/>
    <w:rsid w:val="00A83064"/>
    <w:rsid w:val="00A83973"/>
    <w:rsid w:val="00A83EFB"/>
    <w:rsid w:val="00A8576B"/>
    <w:rsid w:val="00A86486"/>
    <w:rsid w:val="00A87D1E"/>
    <w:rsid w:val="00A90186"/>
    <w:rsid w:val="00A90BB0"/>
    <w:rsid w:val="00A91316"/>
    <w:rsid w:val="00A918B9"/>
    <w:rsid w:val="00A94A77"/>
    <w:rsid w:val="00A94F8C"/>
    <w:rsid w:val="00A95292"/>
    <w:rsid w:val="00A95E83"/>
    <w:rsid w:val="00AA074C"/>
    <w:rsid w:val="00AA1086"/>
    <w:rsid w:val="00AA2E80"/>
    <w:rsid w:val="00AA49C3"/>
    <w:rsid w:val="00AA6418"/>
    <w:rsid w:val="00AA676B"/>
    <w:rsid w:val="00AA6B3B"/>
    <w:rsid w:val="00AA7418"/>
    <w:rsid w:val="00AA76F6"/>
    <w:rsid w:val="00AB0A37"/>
    <w:rsid w:val="00AB1E66"/>
    <w:rsid w:val="00AB244F"/>
    <w:rsid w:val="00AB2547"/>
    <w:rsid w:val="00AB6BF1"/>
    <w:rsid w:val="00AB6E49"/>
    <w:rsid w:val="00AC02FA"/>
    <w:rsid w:val="00AC3365"/>
    <w:rsid w:val="00AC4267"/>
    <w:rsid w:val="00AC47B2"/>
    <w:rsid w:val="00AC5A6B"/>
    <w:rsid w:val="00AC6336"/>
    <w:rsid w:val="00AC6557"/>
    <w:rsid w:val="00AD0EEC"/>
    <w:rsid w:val="00AD1117"/>
    <w:rsid w:val="00AD2BBB"/>
    <w:rsid w:val="00AD402B"/>
    <w:rsid w:val="00AE0D2F"/>
    <w:rsid w:val="00AE0EF3"/>
    <w:rsid w:val="00AE2CDA"/>
    <w:rsid w:val="00AE5E34"/>
    <w:rsid w:val="00AE6316"/>
    <w:rsid w:val="00AE788D"/>
    <w:rsid w:val="00AF004B"/>
    <w:rsid w:val="00AF0D98"/>
    <w:rsid w:val="00AF2209"/>
    <w:rsid w:val="00AF35DA"/>
    <w:rsid w:val="00AF38EF"/>
    <w:rsid w:val="00AF6A7B"/>
    <w:rsid w:val="00B02777"/>
    <w:rsid w:val="00B03862"/>
    <w:rsid w:val="00B06680"/>
    <w:rsid w:val="00B06AE4"/>
    <w:rsid w:val="00B07383"/>
    <w:rsid w:val="00B100FA"/>
    <w:rsid w:val="00B11AB9"/>
    <w:rsid w:val="00B15196"/>
    <w:rsid w:val="00B1536A"/>
    <w:rsid w:val="00B157E0"/>
    <w:rsid w:val="00B16317"/>
    <w:rsid w:val="00B211DB"/>
    <w:rsid w:val="00B214B2"/>
    <w:rsid w:val="00B2370C"/>
    <w:rsid w:val="00B273A9"/>
    <w:rsid w:val="00B2757C"/>
    <w:rsid w:val="00B31A3C"/>
    <w:rsid w:val="00B339C0"/>
    <w:rsid w:val="00B3455C"/>
    <w:rsid w:val="00B346B4"/>
    <w:rsid w:val="00B34B3B"/>
    <w:rsid w:val="00B3557E"/>
    <w:rsid w:val="00B36E0C"/>
    <w:rsid w:val="00B37FC2"/>
    <w:rsid w:val="00B4098E"/>
    <w:rsid w:val="00B41C4F"/>
    <w:rsid w:val="00B42A3B"/>
    <w:rsid w:val="00B43989"/>
    <w:rsid w:val="00B4420D"/>
    <w:rsid w:val="00B45214"/>
    <w:rsid w:val="00B470CB"/>
    <w:rsid w:val="00B472AF"/>
    <w:rsid w:val="00B50168"/>
    <w:rsid w:val="00B5059A"/>
    <w:rsid w:val="00B5317A"/>
    <w:rsid w:val="00B53592"/>
    <w:rsid w:val="00B5398F"/>
    <w:rsid w:val="00B55B78"/>
    <w:rsid w:val="00B566CB"/>
    <w:rsid w:val="00B61259"/>
    <w:rsid w:val="00B6230A"/>
    <w:rsid w:val="00B6238E"/>
    <w:rsid w:val="00B63548"/>
    <w:rsid w:val="00B642D2"/>
    <w:rsid w:val="00B654DD"/>
    <w:rsid w:val="00B658A6"/>
    <w:rsid w:val="00B66267"/>
    <w:rsid w:val="00B677AA"/>
    <w:rsid w:val="00B718A9"/>
    <w:rsid w:val="00B742F2"/>
    <w:rsid w:val="00B74891"/>
    <w:rsid w:val="00B753A4"/>
    <w:rsid w:val="00B7633C"/>
    <w:rsid w:val="00B764D0"/>
    <w:rsid w:val="00B80B8F"/>
    <w:rsid w:val="00B81602"/>
    <w:rsid w:val="00B81E65"/>
    <w:rsid w:val="00B82C2B"/>
    <w:rsid w:val="00B8386D"/>
    <w:rsid w:val="00B84B51"/>
    <w:rsid w:val="00B85F54"/>
    <w:rsid w:val="00B86350"/>
    <w:rsid w:val="00B87545"/>
    <w:rsid w:val="00B878F3"/>
    <w:rsid w:val="00B879A3"/>
    <w:rsid w:val="00B93F1F"/>
    <w:rsid w:val="00B943CC"/>
    <w:rsid w:val="00B97243"/>
    <w:rsid w:val="00B97D70"/>
    <w:rsid w:val="00BA0EB3"/>
    <w:rsid w:val="00BA224A"/>
    <w:rsid w:val="00BA3008"/>
    <w:rsid w:val="00BA3CB9"/>
    <w:rsid w:val="00BA4673"/>
    <w:rsid w:val="00BA4B1D"/>
    <w:rsid w:val="00BA718F"/>
    <w:rsid w:val="00BA7E8B"/>
    <w:rsid w:val="00BB0917"/>
    <w:rsid w:val="00BB0CCC"/>
    <w:rsid w:val="00BB1442"/>
    <w:rsid w:val="00BB24A4"/>
    <w:rsid w:val="00BB2ED7"/>
    <w:rsid w:val="00BB3DA5"/>
    <w:rsid w:val="00BB4173"/>
    <w:rsid w:val="00BB440F"/>
    <w:rsid w:val="00BB5067"/>
    <w:rsid w:val="00BB7C91"/>
    <w:rsid w:val="00BC093A"/>
    <w:rsid w:val="00BC23DB"/>
    <w:rsid w:val="00BC386E"/>
    <w:rsid w:val="00BC5F2C"/>
    <w:rsid w:val="00BC68F0"/>
    <w:rsid w:val="00BC6954"/>
    <w:rsid w:val="00BC735A"/>
    <w:rsid w:val="00BD0667"/>
    <w:rsid w:val="00BD0E5A"/>
    <w:rsid w:val="00BD2E65"/>
    <w:rsid w:val="00BD44DC"/>
    <w:rsid w:val="00BD624B"/>
    <w:rsid w:val="00BD654C"/>
    <w:rsid w:val="00BD6DAB"/>
    <w:rsid w:val="00BE14EB"/>
    <w:rsid w:val="00BE1639"/>
    <w:rsid w:val="00BE1AB1"/>
    <w:rsid w:val="00BE5515"/>
    <w:rsid w:val="00BE622E"/>
    <w:rsid w:val="00BE677F"/>
    <w:rsid w:val="00BE741E"/>
    <w:rsid w:val="00BF1F29"/>
    <w:rsid w:val="00BF23F2"/>
    <w:rsid w:val="00BF3A88"/>
    <w:rsid w:val="00BF5D90"/>
    <w:rsid w:val="00BF66C5"/>
    <w:rsid w:val="00BF7EF9"/>
    <w:rsid w:val="00C00067"/>
    <w:rsid w:val="00C01CFC"/>
    <w:rsid w:val="00C02ED4"/>
    <w:rsid w:val="00C037A5"/>
    <w:rsid w:val="00C0581F"/>
    <w:rsid w:val="00C070DA"/>
    <w:rsid w:val="00C1088A"/>
    <w:rsid w:val="00C1099E"/>
    <w:rsid w:val="00C12643"/>
    <w:rsid w:val="00C12A4D"/>
    <w:rsid w:val="00C14326"/>
    <w:rsid w:val="00C1453F"/>
    <w:rsid w:val="00C1646F"/>
    <w:rsid w:val="00C20E7C"/>
    <w:rsid w:val="00C20F36"/>
    <w:rsid w:val="00C22590"/>
    <w:rsid w:val="00C22BE5"/>
    <w:rsid w:val="00C249FE"/>
    <w:rsid w:val="00C26A1C"/>
    <w:rsid w:val="00C26DB6"/>
    <w:rsid w:val="00C27DE9"/>
    <w:rsid w:val="00C30662"/>
    <w:rsid w:val="00C32CEB"/>
    <w:rsid w:val="00C33968"/>
    <w:rsid w:val="00C34CA7"/>
    <w:rsid w:val="00C3652C"/>
    <w:rsid w:val="00C36CE1"/>
    <w:rsid w:val="00C37D09"/>
    <w:rsid w:val="00C400A9"/>
    <w:rsid w:val="00C41EF7"/>
    <w:rsid w:val="00C453B7"/>
    <w:rsid w:val="00C52560"/>
    <w:rsid w:val="00C52CB1"/>
    <w:rsid w:val="00C53AC7"/>
    <w:rsid w:val="00C57979"/>
    <w:rsid w:val="00C57B07"/>
    <w:rsid w:val="00C60044"/>
    <w:rsid w:val="00C607D0"/>
    <w:rsid w:val="00C6165A"/>
    <w:rsid w:val="00C63416"/>
    <w:rsid w:val="00C67645"/>
    <w:rsid w:val="00C67FCC"/>
    <w:rsid w:val="00C67FF1"/>
    <w:rsid w:val="00C72D59"/>
    <w:rsid w:val="00C74F02"/>
    <w:rsid w:val="00C7543E"/>
    <w:rsid w:val="00C75EA1"/>
    <w:rsid w:val="00C76795"/>
    <w:rsid w:val="00C77DDD"/>
    <w:rsid w:val="00C826C9"/>
    <w:rsid w:val="00C832F6"/>
    <w:rsid w:val="00C83FFC"/>
    <w:rsid w:val="00C85054"/>
    <w:rsid w:val="00C876D7"/>
    <w:rsid w:val="00C93552"/>
    <w:rsid w:val="00C93673"/>
    <w:rsid w:val="00C94897"/>
    <w:rsid w:val="00C94FCA"/>
    <w:rsid w:val="00C960D7"/>
    <w:rsid w:val="00C97E3B"/>
    <w:rsid w:val="00CA3284"/>
    <w:rsid w:val="00CA6943"/>
    <w:rsid w:val="00CA6FB1"/>
    <w:rsid w:val="00CA7851"/>
    <w:rsid w:val="00CB34D8"/>
    <w:rsid w:val="00CB34EC"/>
    <w:rsid w:val="00CB4672"/>
    <w:rsid w:val="00CB5589"/>
    <w:rsid w:val="00CB5999"/>
    <w:rsid w:val="00CB6C8D"/>
    <w:rsid w:val="00CC1AD3"/>
    <w:rsid w:val="00CC20F3"/>
    <w:rsid w:val="00CC2FC0"/>
    <w:rsid w:val="00CC5805"/>
    <w:rsid w:val="00CC71EC"/>
    <w:rsid w:val="00CC72F9"/>
    <w:rsid w:val="00CC7FA4"/>
    <w:rsid w:val="00CD0832"/>
    <w:rsid w:val="00CD2BAB"/>
    <w:rsid w:val="00CD3102"/>
    <w:rsid w:val="00CD3CFD"/>
    <w:rsid w:val="00CD3ECD"/>
    <w:rsid w:val="00CD3F52"/>
    <w:rsid w:val="00CD4559"/>
    <w:rsid w:val="00CD503D"/>
    <w:rsid w:val="00CD667C"/>
    <w:rsid w:val="00CD6ED3"/>
    <w:rsid w:val="00CD726F"/>
    <w:rsid w:val="00CD7857"/>
    <w:rsid w:val="00CE01C2"/>
    <w:rsid w:val="00CE0F74"/>
    <w:rsid w:val="00CE35CB"/>
    <w:rsid w:val="00CE38C7"/>
    <w:rsid w:val="00CE60C0"/>
    <w:rsid w:val="00CE70FF"/>
    <w:rsid w:val="00CE732C"/>
    <w:rsid w:val="00CE768F"/>
    <w:rsid w:val="00CF2172"/>
    <w:rsid w:val="00CF2378"/>
    <w:rsid w:val="00CF270B"/>
    <w:rsid w:val="00CF6AA5"/>
    <w:rsid w:val="00CF7FF6"/>
    <w:rsid w:val="00D00A44"/>
    <w:rsid w:val="00D01282"/>
    <w:rsid w:val="00D01A2C"/>
    <w:rsid w:val="00D032A1"/>
    <w:rsid w:val="00D032A5"/>
    <w:rsid w:val="00D03316"/>
    <w:rsid w:val="00D04802"/>
    <w:rsid w:val="00D04B2B"/>
    <w:rsid w:val="00D04BF2"/>
    <w:rsid w:val="00D12EF1"/>
    <w:rsid w:val="00D1413B"/>
    <w:rsid w:val="00D14B50"/>
    <w:rsid w:val="00D1679C"/>
    <w:rsid w:val="00D20939"/>
    <w:rsid w:val="00D234E7"/>
    <w:rsid w:val="00D23EB1"/>
    <w:rsid w:val="00D24541"/>
    <w:rsid w:val="00D31110"/>
    <w:rsid w:val="00D3252A"/>
    <w:rsid w:val="00D374FA"/>
    <w:rsid w:val="00D37CE3"/>
    <w:rsid w:val="00D40E25"/>
    <w:rsid w:val="00D42952"/>
    <w:rsid w:val="00D432F9"/>
    <w:rsid w:val="00D45577"/>
    <w:rsid w:val="00D45FFB"/>
    <w:rsid w:val="00D47179"/>
    <w:rsid w:val="00D472BE"/>
    <w:rsid w:val="00D50086"/>
    <w:rsid w:val="00D5252F"/>
    <w:rsid w:val="00D52620"/>
    <w:rsid w:val="00D52EEE"/>
    <w:rsid w:val="00D5378E"/>
    <w:rsid w:val="00D545D0"/>
    <w:rsid w:val="00D5473E"/>
    <w:rsid w:val="00D55C9E"/>
    <w:rsid w:val="00D5748F"/>
    <w:rsid w:val="00D57B4F"/>
    <w:rsid w:val="00D6012B"/>
    <w:rsid w:val="00D63C33"/>
    <w:rsid w:val="00D6516C"/>
    <w:rsid w:val="00D6594F"/>
    <w:rsid w:val="00D65E86"/>
    <w:rsid w:val="00D65FEB"/>
    <w:rsid w:val="00D70680"/>
    <w:rsid w:val="00D72132"/>
    <w:rsid w:val="00D72B02"/>
    <w:rsid w:val="00D73457"/>
    <w:rsid w:val="00D75407"/>
    <w:rsid w:val="00D76DE8"/>
    <w:rsid w:val="00D8003C"/>
    <w:rsid w:val="00D80154"/>
    <w:rsid w:val="00D81AB5"/>
    <w:rsid w:val="00D83EFA"/>
    <w:rsid w:val="00D85EC3"/>
    <w:rsid w:val="00D86D7F"/>
    <w:rsid w:val="00D8739E"/>
    <w:rsid w:val="00D92E70"/>
    <w:rsid w:val="00D930E2"/>
    <w:rsid w:val="00D9333F"/>
    <w:rsid w:val="00D96C2D"/>
    <w:rsid w:val="00DA00ED"/>
    <w:rsid w:val="00DA1D07"/>
    <w:rsid w:val="00DA1FE8"/>
    <w:rsid w:val="00DA34CC"/>
    <w:rsid w:val="00DA4264"/>
    <w:rsid w:val="00DA5C0C"/>
    <w:rsid w:val="00DA6FA8"/>
    <w:rsid w:val="00DA7E72"/>
    <w:rsid w:val="00DB0495"/>
    <w:rsid w:val="00DB0CEB"/>
    <w:rsid w:val="00DB1954"/>
    <w:rsid w:val="00DB233B"/>
    <w:rsid w:val="00DB4D49"/>
    <w:rsid w:val="00DB5835"/>
    <w:rsid w:val="00DB5DC1"/>
    <w:rsid w:val="00DC1044"/>
    <w:rsid w:val="00DC23E3"/>
    <w:rsid w:val="00DC242B"/>
    <w:rsid w:val="00DC462F"/>
    <w:rsid w:val="00DC4F14"/>
    <w:rsid w:val="00DC5E7E"/>
    <w:rsid w:val="00DC5F94"/>
    <w:rsid w:val="00DC61EF"/>
    <w:rsid w:val="00DC6989"/>
    <w:rsid w:val="00DC7088"/>
    <w:rsid w:val="00DD0AF5"/>
    <w:rsid w:val="00DD32E8"/>
    <w:rsid w:val="00DD3729"/>
    <w:rsid w:val="00DD4D06"/>
    <w:rsid w:val="00DD5272"/>
    <w:rsid w:val="00DD5745"/>
    <w:rsid w:val="00DE189B"/>
    <w:rsid w:val="00DE4085"/>
    <w:rsid w:val="00DE5AF0"/>
    <w:rsid w:val="00DF0D3E"/>
    <w:rsid w:val="00DF271D"/>
    <w:rsid w:val="00DF5678"/>
    <w:rsid w:val="00DF6761"/>
    <w:rsid w:val="00E00196"/>
    <w:rsid w:val="00E001D3"/>
    <w:rsid w:val="00E0272E"/>
    <w:rsid w:val="00E0325D"/>
    <w:rsid w:val="00E06034"/>
    <w:rsid w:val="00E060AD"/>
    <w:rsid w:val="00E0646D"/>
    <w:rsid w:val="00E06BC4"/>
    <w:rsid w:val="00E11D5C"/>
    <w:rsid w:val="00E12DF2"/>
    <w:rsid w:val="00E138A2"/>
    <w:rsid w:val="00E15AED"/>
    <w:rsid w:val="00E15FD9"/>
    <w:rsid w:val="00E20D7B"/>
    <w:rsid w:val="00E218B2"/>
    <w:rsid w:val="00E22578"/>
    <w:rsid w:val="00E23FE8"/>
    <w:rsid w:val="00E252F8"/>
    <w:rsid w:val="00E259F5"/>
    <w:rsid w:val="00E26167"/>
    <w:rsid w:val="00E266E7"/>
    <w:rsid w:val="00E266FA"/>
    <w:rsid w:val="00E269F2"/>
    <w:rsid w:val="00E26FC9"/>
    <w:rsid w:val="00E3073F"/>
    <w:rsid w:val="00E31C2F"/>
    <w:rsid w:val="00E3324A"/>
    <w:rsid w:val="00E3407F"/>
    <w:rsid w:val="00E34161"/>
    <w:rsid w:val="00E34226"/>
    <w:rsid w:val="00E34591"/>
    <w:rsid w:val="00E3649B"/>
    <w:rsid w:val="00E4015D"/>
    <w:rsid w:val="00E41B00"/>
    <w:rsid w:val="00E42F74"/>
    <w:rsid w:val="00E430D2"/>
    <w:rsid w:val="00E447D7"/>
    <w:rsid w:val="00E44907"/>
    <w:rsid w:val="00E44C16"/>
    <w:rsid w:val="00E468A6"/>
    <w:rsid w:val="00E473E0"/>
    <w:rsid w:val="00E50CF7"/>
    <w:rsid w:val="00E526E8"/>
    <w:rsid w:val="00E5393D"/>
    <w:rsid w:val="00E5534D"/>
    <w:rsid w:val="00E558D3"/>
    <w:rsid w:val="00E56540"/>
    <w:rsid w:val="00E60335"/>
    <w:rsid w:val="00E60660"/>
    <w:rsid w:val="00E62629"/>
    <w:rsid w:val="00E629CD"/>
    <w:rsid w:val="00E62F89"/>
    <w:rsid w:val="00E65B4F"/>
    <w:rsid w:val="00E65EA6"/>
    <w:rsid w:val="00E6626C"/>
    <w:rsid w:val="00E667F6"/>
    <w:rsid w:val="00E714DD"/>
    <w:rsid w:val="00E71E2F"/>
    <w:rsid w:val="00E725CB"/>
    <w:rsid w:val="00E73F06"/>
    <w:rsid w:val="00E75AD0"/>
    <w:rsid w:val="00E75BC5"/>
    <w:rsid w:val="00E75F56"/>
    <w:rsid w:val="00E76B06"/>
    <w:rsid w:val="00E771D1"/>
    <w:rsid w:val="00E77654"/>
    <w:rsid w:val="00E77CFF"/>
    <w:rsid w:val="00E81EC3"/>
    <w:rsid w:val="00E8260C"/>
    <w:rsid w:val="00E82650"/>
    <w:rsid w:val="00E82B4C"/>
    <w:rsid w:val="00E82DF2"/>
    <w:rsid w:val="00E83513"/>
    <w:rsid w:val="00E8352B"/>
    <w:rsid w:val="00E85CB2"/>
    <w:rsid w:val="00E91845"/>
    <w:rsid w:val="00E921CC"/>
    <w:rsid w:val="00E93FFC"/>
    <w:rsid w:val="00E95569"/>
    <w:rsid w:val="00EA068D"/>
    <w:rsid w:val="00EA1F94"/>
    <w:rsid w:val="00EA23FF"/>
    <w:rsid w:val="00EA4C3D"/>
    <w:rsid w:val="00EA6C1C"/>
    <w:rsid w:val="00EA71AC"/>
    <w:rsid w:val="00EB2389"/>
    <w:rsid w:val="00EB63F6"/>
    <w:rsid w:val="00EB65CC"/>
    <w:rsid w:val="00EB6FFF"/>
    <w:rsid w:val="00EB7D80"/>
    <w:rsid w:val="00EC011F"/>
    <w:rsid w:val="00EC081D"/>
    <w:rsid w:val="00EC109B"/>
    <w:rsid w:val="00EC460E"/>
    <w:rsid w:val="00EC47E6"/>
    <w:rsid w:val="00EC47EC"/>
    <w:rsid w:val="00EC59E0"/>
    <w:rsid w:val="00ED0AAB"/>
    <w:rsid w:val="00ED1190"/>
    <w:rsid w:val="00ED1B84"/>
    <w:rsid w:val="00ED21D7"/>
    <w:rsid w:val="00ED2E96"/>
    <w:rsid w:val="00ED39B2"/>
    <w:rsid w:val="00ED7159"/>
    <w:rsid w:val="00EE0179"/>
    <w:rsid w:val="00EE110E"/>
    <w:rsid w:val="00EE13AF"/>
    <w:rsid w:val="00EE21AD"/>
    <w:rsid w:val="00EE240B"/>
    <w:rsid w:val="00EE399C"/>
    <w:rsid w:val="00EE4C2F"/>
    <w:rsid w:val="00EE4F44"/>
    <w:rsid w:val="00EE6089"/>
    <w:rsid w:val="00EE6D0E"/>
    <w:rsid w:val="00EF013B"/>
    <w:rsid w:val="00EF082D"/>
    <w:rsid w:val="00EF4CBC"/>
    <w:rsid w:val="00EF5087"/>
    <w:rsid w:val="00EF5592"/>
    <w:rsid w:val="00EF6B74"/>
    <w:rsid w:val="00F00832"/>
    <w:rsid w:val="00F00F15"/>
    <w:rsid w:val="00F03BE3"/>
    <w:rsid w:val="00F043E7"/>
    <w:rsid w:val="00F05D87"/>
    <w:rsid w:val="00F07809"/>
    <w:rsid w:val="00F13B21"/>
    <w:rsid w:val="00F145F3"/>
    <w:rsid w:val="00F14BB3"/>
    <w:rsid w:val="00F151DA"/>
    <w:rsid w:val="00F16558"/>
    <w:rsid w:val="00F16EE8"/>
    <w:rsid w:val="00F231AA"/>
    <w:rsid w:val="00F23B5C"/>
    <w:rsid w:val="00F24797"/>
    <w:rsid w:val="00F247A7"/>
    <w:rsid w:val="00F2486C"/>
    <w:rsid w:val="00F265D0"/>
    <w:rsid w:val="00F26702"/>
    <w:rsid w:val="00F31295"/>
    <w:rsid w:val="00F31E96"/>
    <w:rsid w:val="00F3220F"/>
    <w:rsid w:val="00F335DE"/>
    <w:rsid w:val="00F33923"/>
    <w:rsid w:val="00F33C54"/>
    <w:rsid w:val="00F35677"/>
    <w:rsid w:val="00F35933"/>
    <w:rsid w:val="00F37DD2"/>
    <w:rsid w:val="00F404FF"/>
    <w:rsid w:val="00F41574"/>
    <w:rsid w:val="00F44A2B"/>
    <w:rsid w:val="00F44BDD"/>
    <w:rsid w:val="00F4754D"/>
    <w:rsid w:val="00F52357"/>
    <w:rsid w:val="00F53C0D"/>
    <w:rsid w:val="00F53D34"/>
    <w:rsid w:val="00F61FD1"/>
    <w:rsid w:val="00F635A7"/>
    <w:rsid w:val="00F63F63"/>
    <w:rsid w:val="00F71815"/>
    <w:rsid w:val="00F729A4"/>
    <w:rsid w:val="00F72D29"/>
    <w:rsid w:val="00F73082"/>
    <w:rsid w:val="00F735BE"/>
    <w:rsid w:val="00F75921"/>
    <w:rsid w:val="00F75F27"/>
    <w:rsid w:val="00F7724F"/>
    <w:rsid w:val="00F808E9"/>
    <w:rsid w:val="00F83B0E"/>
    <w:rsid w:val="00F83E59"/>
    <w:rsid w:val="00F84776"/>
    <w:rsid w:val="00F84FF7"/>
    <w:rsid w:val="00F85670"/>
    <w:rsid w:val="00F871D8"/>
    <w:rsid w:val="00F9243C"/>
    <w:rsid w:val="00F92A9C"/>
    <w:rsid w:val="00F93B39"/>
    <w:rsid w:val="00F93DB3"/>
    <w:rsid w:val="00FA019D"/>
    <w:rsid w:val="00FA08A4"/>
    <w:rsid w:val="00FA14AF"/>
    <w:rsid w:val="00FA2902"/>
    <w:rsid w:val="00FA3327"/>
    <w:rsid w:val="00FA3B2D"/>
    <w:rsid w:val="00FA7E90"/>
    <w:rsid w:val="00FB00E7"/>
    <w:rsid w:val="00FB01EA"/>
    <w:rsid w:val="00FB16BD"/>
    <w:rsid w:val="00FB48A8"/>
    <w:rsid w:val="00FB5D6C"/>
    <w:rsid w:val="00FB6597"/>
    <w:rsid w:val="00FB6B81"/>
    <w:rsid w:val="00FB7EC8"/>
    <w:rsid w:val="00FC0A10"/>
    <w:rsid w:val="00FC532E"/>
    <w:rsid w:val="00FC5EDD"/>
    <w:rsid w:val="00FD08E7"/>
    <w:rsid w:val="00FD1AAA"/>
    <w:rsid w:val="00FD2ED4"/>
    <w:rsid w:val="00FD45D9"/>
    <w:rsid w:val="00FD6754"/>
    <w:rsid w:val="00FE124E"/>
    <w:rsid w:val="00FE1415"/>
    <w:rsid w:val="00FE2544"/>
    <w:rsid w:val="00FE3178"/>
    <w:rsid w:val="00FE5831"/>
    <w:rsid w:val="00FE5FBF"/>
    <w:rsid w:val="00FF0FDC"/>
    <w:rsid w:val="00FF14DC"/>
    <w:rsid w:val="00FF2A1F"/>
    <w:rsid w:val="00FF4940"/>
    <w:rsid w:val="00FF6D36"/>
    <w:rsid w:val="00FF7CFE"/>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547965"/>
  <w15:docId w15:val="{5FD8ABFC-9DA4-4043-A4AF-B69445F8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6A2"/>
    <w:pPr>
      <w:jc w:val="both"/>
    </w:pPr>
    <w:rPr>
      <w:rFonts w:eastAsia="Times New Roman"/>
      <w:sz w:val="24"/>
      <w:szCs w:val="24"/>
      <w:lang w:eastAsia="en-US"/>
    </w:rPr>
  </w:style>
  <w:style w:type="paragraph" w:styleId="Ttulo1">
    <w:name w:val="heading 1"/>
    <w:basedOn w:val="Normal"/>
    <w:next w:val="Normal"/>
    <w:link w:val="Ttulo1Car"/>
    <w:qFormat/>
    <w:locked/>
    <w:rsid w:val="00692E2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semiHidden/>
    <w:unhideWhenUsed/>
    <w:qFormat/>
    <w:locked/>
    <w:rsid w:val="0041527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9"/>
    <w:qFormat/>
    <w:locked/>
    <w:rsid w:val="009B6439"/>
    <w:pPr>
      <w:spacing w:before="100" w:beforeAutospacing="1" w:after="100" w:afterAutospacing="1"/>
      <w:jc w:val="left"/>
      <w:outlineLvl w:val="2"/>
    </w:pPr>
    <w:rPr>
      <w:rFonts w:ascii="Cambria" w:hAnsi="Cambria" w:cs="Times New Roman"/>
      <w:b/>
      <w:bCs/>
      <w:sz w:val="26"/>
      <w:szCs w:val="26"/>
    </w:rPr>
  </w:style>
  <w:style w:type="paragraph" w:styleId="Ttulo4">
    <w:name w:val="heading 4"/>
    <w:basedOn w:val="Normal"/>
    <w:next w:val="Normal"/>
    <w:link w:val="Ttulo4Car"/>
    <w:semiHidden/>
    <w:unhideWhenUsed/>
    <w:qFormat/>
    <w:locked/>
    <w:rsid w:val="00ED39B2"/>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locked/>
    <w:rsid w:val="00ED39B2"/>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765A84"/>
    <w:rPr>
      <w:rFonts w:ascii="Cambria" w:hAnsi="Cambria" w:cs="Times New Roman"/>
      <w:b/>
      <w:sz w:val="26"/>
      <w:lang w:eastAsia="en-US"/>
    </w:rPr>
  </w:style>
  <w:style w:type="paragraph" w:styleId="Ttulo">
    <w:name w:val="Title"/>
    <w:basedOn w:val="Normal"/>
    <w:next w:val="Subttulo"/>
    <w:link w:val="TtuloCar"/>
    <w:qFormat/>
    <w:rsid w:val="00F83E59"/>
    <w:pPr>
      <w:suppressAutoHyphens/>
      <w:jc w:val="center"/>
    </w:pPr>
    <w:rPr>
      <w:b/>
      <w:i/>
      <w:kern w:val="1"/>
      <w:sz w:val="20"/>
      <w:szCs w:val="20"/>
      <w:lang w:eastAsia="ar-SA"/>
    </w:rPr>
  </w:style>
  <w:style w:type="character" w:customStyle="1" w:styleId="TtuloCar">
    <w:name w:val="Título Car"/>
    <w:basedOn w:val="Fuentedeprrafopredeter"/>
    <w:link w:val="Ttulo"/>
    <w:uiPriority w:val="99"/>
    <w:locked/>
    <w:rsid w:val="00F83E59"/>
    <w:rPr>
      <w:rFonts w:eastAsia="Times New Roman" w:cs="Times New Roman"/>
      <w:b/>
      <w:i/>
      <w:kern w:val="1"/>
      <w:sz w:val="20"/>
      <w:lang w:eastAsia="ar-SA" w:bidi="ar-SA"/>
    </w:rPr>
  </w:style>
  <w:style w:type="paragraph" w:styleId="Subttulo">
    <w:name w:val="Subtitle"/>
    <w:basedOn w:val="Normal"/>
    <w:next w:val="Normal"/>
    <w:link w:val="SubttuloCar"/>
    <w:uiPriority w:val="99"/>
    <w:qFormat/>
    <w:rsid w:val="00F83E59"/>
    <w:pPr>
      <w:numPr>
        <w:ilvl w:val="1"/>
      </w:numPr>
    </w:pPr>
    <w:rPr>
      <w:rFonts w:ascii="Cambria" w:eastAsia="Calibri" w:hAnsi="Cambria" w:cs="Times New Roman"/>
      <w:i/>
      <w:color w:val="4F81BD"/>
      <w:spacing w:val="15"/>
      <w:sz w:val="20"/>
      <w:szCs w:val="20"/>
      <w:lang w:eastAsia="es-ES"/>
    </w:rPr>
  </w:style>
  <w:style w:type="character" w:customStyle="1" w:styleId="SubttuloCar">
    <w:name w:val="Subtítulo Car"/>
    <w:basedOn w:val="Fuentedeprrafopredeter"/>
    <w:link w:val="Subttulo"/>
    <w:uiPriority w:val="99"/>
    <w:locked/>
    <w:rsid w:val="00F83E59"/>
    <w:rPr>
      <w:rFonts w:ascii="Cambria" w:hAnsi="Cambria" w:cs="Times New Roman"/>
      <w:i/>
      <w:color w:val="4F81BD"/>
      <w:spacing w:val="15"/>
    </w:rPr>
  </w:style>
  <w:style w:type="paragraph" w:styleId="Textoindependiente">
    <w:name w:val="Body Text"/>
    <w:basedOn w:val="Normal"/>
    <w:link w:val="TextoindependienteCar"/>
    <w:uiPriority w:val="99"/>
    <w:rsid w:val="00533E2C"/>
    <w:pPr>
      <w:suppressAutoHyphens/>
      <w:spacing w:after="120"/>
    </w:pPr>
    <w:rPr>
      <w:rFonts w:eastAsia="SimSun"/>
      <w:kern w:val="1"/>
      <w:sz w:val="20"/>
      <w:szCs w:val="20"/>
      <w:lang w:eastAsia="ar-SA"/>
    </w:rPr>
  </w:style>
  <w:style w:type="character" w:customStyle="1" w:styleId="TextoindependienteCar">
    <w:name w:val="Texto independiente Car"/>
    <w:basedOn w:val="Fuentedeprrafopredeter"/>
    <w:link w:val="Textoindependiente"/>
    <w:uiPriority w:val="99"/>
    <w:locked/>
    <w:rsid w:val="00533E2C"/>
    <w:rPr>
      <w:rFonts w:eastAsia="SimSun" w:cs="Times New Roman"/>
      <w:kern w:val="1"/>
      <w:lang w:eastAsia="ar-SA" w:bidi="ar-SA"/>
    </w:rPr>
  </w:style>
  <w:style w:type="paragraph" w:styleId="Textodeglobo">
    <w:name w:val="Balloon Text"/>
    <w:basedOn w:val="Normal"/>
    <w:link w:val="TextodegloboCar"/>
    <w:uiPriority w:val="99"/>
    <w:semiHidden/>
    <w:rsid w:val="00284A4A"/>
    <w:rPr>
      <w:rFonts w:ascii="Tahoma" w:eastAsia="Calibri" w:hAnsi="Tahoma" w:cs="Times New Roman"/>
      <w:sz w:val="16"/>
      <w:szCs w:val="20"/>
      <w:lang w:eastAsia="es-ES"/>
    </w:rPr>
  </w:style>
  <w:style w:type="character" w:customStyle="1" w:styleId="TextodegloboCar">
    <w:name w:val="Texto de globo Car"/>
    <w:basedOn w:val="Fuentedeprrafopredeter"/>
    <w:link w:val="Textodeglobo"/>
    <w:uiPriority w:val="99"/>
    <w:semiHidden/>
    <w:locked/>
    <w:rsid w:val="00284A4A"/>
    <w:rPr>
      <w:rFonts w:ascii="Tahoma" w:hAnsi="Tahoma" w:cs="Times New Roman"/>
      <w:sz w:val="16"/>
    </w:rPr>
  </w:style>
  <w:style w:type="paragraph" w:styleId="Piedepgina">
    <w:name w:val="footer"/>
    <w:basedOn w:val="Normal"/>
    <w:link w:val="PiedepginaCar"/>
    <w:uiPriority w:val="99"/>
    <w:rsid w:val="009B6439"/>
    <w:pPr>
      <w:tabs>
        <w:tab w:val="center" w:pos="4252"/>
        <w:tab w:val="right" w:pos="8504"/>
      </w:tabs>
    </w:pPr>
    <w:rPr>
      <w:rFonts w:cs="Times New Roman"/>
    </w:rPr>
  </w:style>
  <w:style w:type="character" w:customStyle="1" w:styleId="PiedepginaCar">
    <w:name w:val="Pie de página Car"/>
    <w:basedOn w:val="Fuentedeprrafopredeter"/>
    <w:link w:val="Piedepgina"/>
    <w:uiPriority w:val="99"/>
    <w:locked/>
    <w:rsid w:val="00765A84"/>
    <w:rPr>
      <w:rFonts w:eastAsia="Times New Roman" w:cs="Times New Roman"/>
      <w:sz w:val="24"/>
      <w:lang w:eastAsia="en-US"/>
    </w:rPr>
  </w:style>
  <w:style w:type="character" w:styleId="Nmerodepgina">
    <w:name w:val="page number"/>
    <w:basedOn w:val="Fuentedeprrafopredeter"/>
    <w:uiPriority w:val="99"/>
    <w:rsid w:val="009B6439"/>
    <w:rPr>
      <w:rFonts w:cs="Times New Roman"/>
    </w:rPr>
  </w:style>
  <w:style w:type="character" w:customStyle="1" w:styleId="td-post-datetd-post-date-no-dot">
    <w:name w:val="td-post-date td-post-date-no-dot"/>
    <w:uiPriority w:val="99"/>
    <w:rsid w:val="009B6439"/>
  </w:style>
  <w:style w:type="paragraph" w:styleId="NormalWeb">
    <w:name w:val="Normal (Web)"/>
    <w:basedOn w:val="Normal"/>
    <w:uiPriority w:val="99"/>
    <w:rsid w:val="00EC59E0"/>
    <w:pPr>
      <w:spacing w:before="100" w:beforeAutospacing="1" w:after="100" w:afterAutospacing="1"/>
      <w:jc w:val="left"/>
    </w:pPr>
    <w:rPr>
      <w:rFonts w:ascii="Times New Roman" w:eastAsia="Calibri" w:hAnsi="Times New Roman" w:cs="Times New Roman"/>
      <w:lang w:eastAsia="es-ES"/>
    </w:rPr>
  </w:style>
  <w:style w:type="table" w:styleId="Tablaconcuadrcula">
    <w:name w:val="Table Grid"/>
    <w:basedOn w:val="Tablanormal"/>
    <w:unhideWhenUsed/>
    <w:locked/>
    <w:rsid w:val="00646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468A4"/>
    <w:rPr>
      <w:color w:val="0000FF" w:themeColor="hyperlink"/>
      <w:u w:val="single"/>
    </w:rPr>
  </w:style>
  <w:style w:type="character" w:styleId="Mencinsinresolver">
    <w:name w:val="Unresolved Mention"/>
    <w:basedOn w:val="Fuentedeprrafopredeter"/>
    <w:uiPriority w:val="99"/>
    <w:semiHidden/>
    <w:unhideWhenUsed/>
    <w:rsid w:val="007468A4"/>
    <w:rPr>
      <w:color w:val="605E5C"/>
      <w:shd w:val="clear" w:color="auto" w:fill="E1DFDD"/>
    </w:rPr>
  </w:style>
  <w:style w:type="paragraph" w:styleId="Prrafodelista">
    <w:name w:val="List Paragraph"/>
    <w:basedOn w:val="Normal"/>
    <w:uiPriority w:val="34"/>
    <w:qFormat/>
    <w:rsid w:val="00EA71AC"/>
    <w:pPr>
      <w:ind w:left="720"/>
      <w:contextualSpacing/>
    </w:pPr>
  </w:style>
  <w:style w:type="character" w:customStyle="1" w:styleId="Ttulo2Car">
    <w:name w:val="Título 2 Car"/>
    <w:basedOn w:val="Fuentedeprrafopredeter"/>
    <w:link w:val="Ttulo2"/>
    <w:semiHidden/>
    <w:rsid w:val="00415275"/>
    <w:rPr>
      <w:rFonts w:asciiTheme="majorHAnsi" w:eastAsiaTheme="majorEastAsia" w:hAnsiTheme="majorHAnsi" w:cstheme="majorBidi"/>
      <w:color w:val="365F91" w:themeColor="accent1" w:themeShade="BF"/>
      <w:sz w:val="26"/>
      <w:szCs w:val="26"/>
      <w:lang w:eastAsia="en-US"/>
    </w:rPr>
  </w:style>
  <w:style w:type="paragraph" w:styleId="Encabezado">
    <w:name w:val="header"/>
    <w:basedOn w:val="Normal"/>
    <w:link w:val="EncabezadoCar"/>
    <w:uiPriority w:val="99"/>
    <w:unhideWhenUsed/>
    <w:rsid w:val="000F009D"/>
    <w:pPr>
      <w:tabs>
        <w:tab w:val="center" w:pos="4252"/>
        <w:tab w:val="right" w:pos="8504"/>
      </w:tabs>
    </w:pPr>
  </w:style>
  <w:style w:type="character" w:customStyle="1" w:styleId="EncabezadoCar">
    <w:name w:val="Encabezado Car"/>
    <w:basedOn w:val="Fuentedeprrafopredeter"/>
    <w:link w:val="Encabezado"/>
    <w:uiPriority w:val="99"/>
    <w:rsid w:val="000F009D"/>
    <w:rPr>
      <w:rFonts w:eastAsia="Times New Roman"/>
      <w:sz w:val="24"/>
      <w:szCs w:val="24"/>
      <w:lang w:eastAsia="en-US"/>
    </w:rPr>
  </w:style>
  <w:style w:type="character" w:styleId="Refdecomentario">
    <w:name w:val="annotation reference"/>
    <w:basedOn w:val="Fuentedeprrafopredeter"/>
    <w:uiPriority w:val="99"/>
    <w:semiHidden/>
    <w:unhideWhenUsed/>
    <w:rsid w:val="009A1404"/>
    <w:rPr>
      <w:sz w:val="16"/>
      <w:szCs w:val="16"/>
    </w:rPr>
  </w:style>
  <w:style w:type="paragraph" w:styleId="Textocomentario">
    <w:name w:val="annotation text"/>
    <w:basedOn w:val="Normal"/>
    <w:link w:val="TextocomentarioCar"/>
    <w:uiPriority w:val="99"/>
    <w:semiHidden/>
    <w:unhideWhenUsed/>
    <w:rsid w:val="009A1404"/>
    <w:rPr>
      <w:sz w:val="20"/>
      <w:szCs w:val="20"/>
    </w:rPr>
  </w:style>
  <w:style w:type="character" w:customStyle="1" w:styleId="TextocomentarioCar">
    <w:name w:val="Texto comentario Car"/>
    <w:basedOn w:val="Fuentedeprrafopredeter"/>
    <w:link w:val="Textocomentario"/>
    <w:uiPriority w:val="99"/>
    <w:semiHidden/>
    <w:rsid w:val="009A1404"/>
    <w:rPr>
      <w:rFonts w:eastAsia="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9A1404"/>
    <w:rPr>
      <w:b/>
      <w:bCs/>
    </w:rPr>
  </w:style>
  <w:style w:type="character" w:customStyle="1" w:styleId="AsuntodelcomentarioCar">
    <w:name w:val="Asunto del comentario Car"/>
    <w:basedOn w:val="TextocomentarioCar"/>
    <w:link w:val="Asuntodelcomentario"/>
    <w:uiPriority w:val="99"/>
    <w:semiHidden/>
    <w:rsid w:val="009A1404"/>
    <w:rPr>
      <w:rFonts w:eastAsia="Times New Roman"/>
      <w:b/>
      <w:bCs/>
      <w:sz w:val="20"/>
      <w:szCs w:val="20"/>
      <w:lang w:eastAsia="en-US"/>
    </w:rPr>
  </w:style>
  <w:style w:type="character" w:customStyle="1" w:styleId="Ttulo1Car">
    <w:name w:val="Título 1 Car"/>
    <w:basedOn w:val="Fuentedeprrafopredeter"/>
    <w:link w:val="Ttulo1"/>
    <w:rsid w:val="00692E2A"/>
    <w:rPr>
      <w:rFonts w:asciiTheme="majorHAnsi" w:eastAsiaTheme="majorEastAsia" w:hAnsiTheme="majorHAnsi" w:cstheme="majorBidi"/>
      <w:color w:val="365F91" w:themeColor="accent1" w:themeShade="BF"/>
      <w:sz w:val="32"/>
      <w:szCs w:val="32"/>
      <w:lang w:eastAsia="en-US"/>
    </w:rPr>
  </w:style>
  <w:style w:type="character" w:styleId="Hipervnculovisitado">
    <w:name w:val="FollowedHyperlink"/>
    <w:basedOn w:val="Fuentedeprrafopredeter"/>
    <w:uiPriority w:val="99"/>
    <w:semiHidden/>
    <w:unhideWhenUsed/>
    <w:rsid w:val="001418A2"/>
    <w:rPr>
      <w:color w:val="800080" w:themeColor="followedHyperlink"/>
      <w:u w:val="single"/>
    </w:rPr>
  </w:style>
  <w:style w:type="character" w:customStyle="1" w:styleId="Ttulo5Car">
    <w:name w:val="Título 5 Car"/>
    <w:basedOn w:val="Fuentedeprrafopredeter"/>
    <w:link w:val="Ttulo5"/>
    <w:semiHidden/>
    <w:rsid w:val="00ED39B2"/>
    <w:rPr>
      <w:rFonts w:asciiTheme="majorHAnsi" w:eastAsiaTheme="majorEastAsia" w:hAnsiTheme="majorHAnsi" w:cstheme="majorBidi"/>
      <w:color w:val="365F91" w:themeColor="accent1" w:themeShade="BF"/>
      <w:sz w:val="24"/>
      <w:szCs w:val="24"/>
      <w:lang w:eastAsia="en-US"/>
    </w:rPr>
  </w:style>
  <w:style w:type="character" w:customStyle="1" w:styleId="Ttulo4Car">
    <w:name w:val="Título 4 Car"/>
    <w:basedOn w:val="Fuentedeprrafopredeter"/>
    <w:link w:val="Ttulo4"/>
    <w:semiHidden/>
    <w:rsid w:val="00ED39B2"/>
    <w:rPr>
      <w:rFonts w:asciiTheme="majorHAnsi" w:eastAsiaTheme="majorEastAsia" w:hAnsiTheme="majorHAnsi" w:cstheme="majorBidi"/>
      <w:i/>
      <w:iCs/>
      <w:color w:val="365F91" w:themeColor="accent1" w:themeShade="BF"/>
      <w:sz w:val="24"/>
      <w:szCs w:val="24"/>
      <w:lang w:eastAsia="en-US"/>
    </w:rPr>
  </w:style>
  <w:style w:type="character" w:styleId="Textoennegrita">
    <w:name w:val="Strong"/>
    <w:basedOn w:val="Fuentedeprrafopredeter"/>
    <w:uiPriority w:val="22"/>
    <w:qFormat/>
    <w:locked/>
    <w:rsid w:val="004D05C3"/>
    <w:rPr>
      <w:b/>
      <w:bCs/>
    </w:rPr>
  </w:style>
  <w:style w:type="character" w:customStyle="1" w:styleId="td-post-date">
    <w:name w:val="td-post-date"/>
    <w:basedOn w:val="Fuentedeprrafopredeter"/>
    <w:rsid w:val="002D3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4067">
      <w:bodyDiv w:val="1"/>
      <w:marLeft w:val="0"/>
      <w:marRight w:val="0"/>
      <w:marTop w:val="0"/>
      <w:marBottom w:val="0"/>
      <w:divBdr>
        <w:top w:val="none" w:sz="0" w:space="0" w:color="auto"/>
        <w:left w:val="none" w:sz="0" w:space="0" w:color="auto"/>
        <w:bottom w:val="none" w:sz="0" w:space="0" w:color="auto"/>
        <w:right w:val="none" w:sz="0" w:space="0" w:color="auto"/>
      </w:divBdr>
    </w:div>
    <w:div w:id="11490519">
      <w:bodyDiv w:val="1"/>
      <w:marLeft w:val="0"/>
      <w:marRight w:val="0"/>
      <w:marTop w:val="0"/>
      <w:marBottom w:val="0"/>
      <w:divBdr>
        <w:top w:val="none" w:sz="0" w:space="0" w:color="auto"/>
        <w:left w:val="none" w:sz="0" w:space="0" w:color="auto"/>
        <w:bottom w:val="none" w:sz="0" w:space="0" w:color="auto"/>
        <w:right w:val="none" w:sz="0" w:space="0" w:color="auto"/>
      </w:divBdr>
    </w:div>
    <w:div w:id="13581811">
      <w:bodyDiv w:val="1"/>
      <w:marLeft w:val="0"/>
      <w:marRight w:val="0"/>
      <w:marTop w:val="0"/>
      <w:marBottom w:val="0"/>
      <w:divBdr>
        <w:top w:val="none" w:sz="0" w:space="0" w:color="auto"/>
        <w:left w:val="none" w:sz="0" w:space="0" w:color="auto"/>
        <w:bottom w:val="none" w:sz="0" w:space="0" w:color="auto"/>
        <w:right w:val="none" w:sz="0" w:space="0" w:color="auto"/>
      </w:divBdr>
    </w:div>
    <w:div w:id="24261463">
      <w:bodyDiv w:val="1"/>
      <w:marLeft w:val="0"/>
      <w:marRight w:val="0"/>
      <w:marTop w:val="0"/>
      <w:marBottom w:val="0"/>
      <w:divBdr>
        <w:top w:val="none" w:sz="0" w:space="0" w:color="auto"/>
        <w:left w:val="none" w:sz="0" w:space="0" w:color="auto"/>
        <w:bottom w:val="none" w:sz="0" w:space="0" w:color="auto"/>
        <w:right w:val="none" w:sz="0" w:space="0" w:color="auto"/>
      </w:divBdr>
    </w:div>
    <w:div w:id="39938777">
      <w:bodyDiv w:val="1"/>
      <w:marLeft w:val="0"/>
      <w:marRight w:val="0"/>
      <w:marTop w:val="0"/>
      <w:marBottom w:val="0"/>
      <w:divBdr>
        <w:top w:val="none" w:sz="0" w:space="0" w:color="auto"/>
        <w:left w:val="none" w:sz="0" w:space="0" w:color="auto"/>
        <w:bottom w:val="none" w:sz="0" w:space="0" w:color="auto"/>
        <w:right w:val="none" w:sz="0" w:space="0" w:color="auto"/>
      </w:divBdr>
    </w:div>
    <w:div w:id="40830785">
      <w:bodyDiv w:val="1"/>
      <w:marLeft w:val="0"/>
      <w:marRight w:val="0"/>
      <w:marTop w:val="0"/>
      <w:marBottom w:val="0"/>
      <w:divBdr>
        <w:top w:val="none" w:sz="0" w:space="0" w:color="auto"/>
        <w:left w:val="none" w:sz="0" w:space="0" w:color="auto"/>
        <w:bottom w:val="none" w:sz="0" w:space="0" w:color="auto"/>
        <w:right w:val="none" w:sz="0" w:space="0" w:color="auto"/>
      </w:divBdr>
    </w:div>
    <w:div w:id="41681500">
      <w:bodyDiv w:val="1"/>
      <w:marLeft w:val="0"/>
      <w:marRight w:val="0"/>
      <w:marTop w:val="0"/>
      <w:marBottom w:val="0"/>
      <w:divBdr>
        <w:top w:val="none" w:sz="0" w:space="0" w:color="auto"/>
        <w:left w:val="none" w:sz="0" w:space="0" w:color="auto"/>
        <w:bottom w:val="none" w:sz="0" w:space="0" w:color="auto"/>
        <w:right w:val="none" w:sz="0" w:space="0" w:color="auto"/>
      </w:divBdr>
    </w:div>
    <w:div w:id="55705870">
      <w:bodyDiv w:val="1"/>
      <w:marLeft w:val="0"/>
      <w:marRight w:val="0"/>
      <w:marTop w:val="0"/>
      <w:marBottom w:val="0"/>
      <w:divBdr>
        <w:top w:val="none" w:sz="0" w:space="0" w:color="auto"/>
        <w:left w:val="none" w:sz="0" w:space="0" w:color="auto"/>
        <w:bottom w:val="none" w:sz="0" w:space="0" w:color="auto"/>
        <w:right w:val="none" w:sz="0" w:space="0" w:color="auto"/>
      </w:divBdr>
    </w:div>
    <w:div w:id="61756154">
      <w:bodyDiv w:val="1"/>
      <w:marLeft w:val="0"/>
      <w:marRight w:val="0"/>
      <w:marTop w:val="0"/>
      <w:marBottom w:val="0"/>
      <w:divBdr>
        <w:top w:val="none" w:sz="0" w:space="0" w:color="auto"/>
        <w:left w:val="none" w:sz="0" w:space="0" w:color="auto"/>
        <w:bottom w:val="none" w:sz="0" w:space="0" w:color="auto"/>
        <w:right w:val="none" w:sz="0" w:space="0" w:color="auto"/>
      </w:divBdr>
    </w:div>
    <w:div w:id="65032470">
      <w:bodyDiv w:val="1"/>
      <w:marLeft w:val="0"/>
      <w:marRight w:val="0"/>
      <w:marTop w:val="0"/>
      <w:marBottom w:val="0"/>
      <w:divBdr>
        <w:top w:val="none" w:sz="0" w:space="0" w:color="auto"/>
        <w:left w:val="none" w:sz="0" w:space="0" w:color="auto"/>
        <w:bottom w:val="none" w:sz="0" w:space="0" w:color="auto"/>
        <w:right w:val="none" w:sz="0" w:space="0" w:color="auto"/>
      </w:divBdr>
    </w:div>
    <w:div w:id="70784828">
      <w:bodyDiv w:val="1"/>
      <w:marLeft w:val="0"/>
      <w:marRight w:val="0"/>
      <w:marTop w:val="0"/>
      <w:marBottom w:val="0"/>
      <w:divBdr>
        <w:top w:val="none" w:sz="0" w:space="0" w:color="auto"/>
        <w:left w:val="none" w:sz="0" w:space="0" w:color="auto"/>
        <w:bottom w:val="none" w:sz="0" w:space="0" w:color="auto"/>
        <w:right w:val="none" w:sz="0" w:space="0" w:color="auto"/>
      </w:divBdr>
    </w:div>
    <w:div w:id="102463637">
      <w:bodyDiv w:val="1"/>
      <w:marLeft w:val="0"/>
      <w:marRight w:val="0"/>
      <w:marTop w:val="0"/>
      <w:marBottom w:val="0"/>
      <w:divBdr>
        <w:top w:val="none" w:sz="0" w:space="0" w:color="auto"/>
        <w:left w:val="none" w:sz="0" w:space="0" w:color="auto"/>
        <w:bottom w:val="none" w:sz="0" w:space="0" w:color="auto"/>
        <w:right w:val="none" w:sz="0" w:space="0" w:color="auto"/>
      </w:divBdr>
    </w:div>
    <w:div w:id="106893080">
      <w:bodyDiv w:val="1"/>
      <w:marLeft w:val="0"/>
      <w:marRight w:val="0"/>
      <w:marTop w:val="0"/>
      <w:marBottom w:val="0"/>
      <w:divBdr>
        <w:top w:val="none" w:sz="0" w:space="0" w:color="auto"/>
        <w:left w:val="none" w:sz="0" w:space="0" w:color="auto"/>
        <w:bottom w:val="none" w:sz="0" w:space="0" w:color="auto"/>
        <w:right w:val="none" w:sz="0" w:space="0" w:color="auto"/>
      </w:divBdr>
    </w:div>
    <w:div w:id="123743922">
      <w:bodyDiv w:val="1"/>
      <w:marLeft w:val="0"/>
      <w:marRight w:val="0"/>
      <w:marTop w:val="0"/>
      <w:marBottom w:val="0"/>
      <w:divBdr>
        <w:top w:val="none" w:sz="0" w:space="0" w:color="auto"/>
        <w:left w:val="none" w:sz="0" w:space="0" w:color="auto"/>
        <w:bottom w:val="none" w:sz="0" w:space="0" w:color="auto"/>
        <w:right w:val="none" w:sz="0" w:space="0" w:color="auto"/>
      </w:divBdr>
    </w:div>
    <w:div w:id="134376052">
      <w:bodyDiv w:val="1"/>
      <w:marLeft w:val="0"/>
      <w:marRight w:val="0"/>
      <w:marTop w:val="0"/>
      <w:marBottom w:val="0"/>
      <w:divBdr>
        <w:top w:val="none" w:sz="0" w:space="0" w:color="auto"/>
        <w:left w:val="none" w:sz="0" w:space="0" w:color="auto"/>
        <w:bottom w:val="none" w:sz="0" w:space="0" w:color="auto"/>
        <w:right w:val="none" w:sz="0" w:space="0" w:color="auto"/>
      </w:divBdr>
    </w:div>
    <w:div w:id="155078892">
      <w:bodyDiv w:val="1"/>
      <w:marLeft w:val="0"/>
      <w:marRight w:val="0"/>
      <w:marTop w:val="0"/>
      <w:marBottom w:val="0"/>
      <w:divBdr>
        <w:top w:val="none" w:sz="0" w:space="0" w:color="auto"/>
        <w:left w:val="none" w:sz="0" w:space="0" w:color="auto"/>
        <w:bottom w:val="none" w:sz="0" w:space="0" w:color="auto"/>
        <w:right w:val="none" w:sz="0" w:space="0" w:color="auto"/>
      </w:divBdr>
    </w:div>
    <w:div w:id="160437712">
      <w:bodyDiv w:val="1"/>
      <w:marLeft w:val="0"/>
      <w:marRight w:val="0"/>
      <w:marTop w:val="0"/>
      <w:marBottom w:val="0"/>
      <w:divBdr>
        <w:top w:val="none" w:sz="0" w:space="0" w:color="auto"/>
        <w:left w:val="none" w:sz="0" w:space="0" w:color="auto"/>
        <w:bottom w:val="none" w:sz="0" w:space="0" w:color="auto"/>
        <w:right w:val="none" w:sz="0" w:space="0" w:color="auto"/>
      </w:divBdr>
    </w:div>
    <w:div w:id="168376005">
      <w:bodyDiv w:val="1"/>
      <w:marLeft w:val="0"/>
      <w:marRight w:val="0"/>
      <w:marTop w:val="0"/>
      <w:marBottom w:val="0"/>
      <w:divBdr>
        <w:top w:val="none" w:sz="0" w:space="0" w:color="auto"/>
        <w:left w:val="none" w:sz="0" w:space="0" w:color="auto"/>
        <w:bottom w:val="none" w:sz="0" w:space="0" w:color="auto"/>
        <w:right w:val="none" w:sz="0" w:space="0" w:color="auto"/>
      </w:divBdr>
    </w:div>
    <w:div w:id="224535244">
      <w:bodyDiv w:val="1"/>
      <w:marLeft w:val="0"/>
      <w:marRight w:val="0"/>
      <w:marTop w:val="0"/>
      <w:marBottom w:val="0"/>
      <w:divBdr>
        <w:top w:val="none" w:sz="0" w:space="0" w:color="auto"/>
        <w:left w:val="none" w:sz="0" w:space="0" w:color="auto"/>
        <w:bottom w:val="none" w:sz="0" w:space="0" w:color="auto"/>
        <w:right w:val="none" w:sz="0" w:space="0" w:color="auto"/>
      </w:divBdr>
    </w:div>
    <w:div w:id="228003913">
      <w:bodyDiv w:val="1"/>
      <w:marLeft w:val="0"/>
      <w:marRight w:val="0"/>
      <w:marTop w:val="0"/>
      <w:marBottom w:val="0"/>
      <w:divBdr>
        <w:top w:val="none" w:sz="0" w:space="0" w:color="auto"/>
        <w:left w:val="none" w:sz="0" w:space="0" w:color="auto"/>
        <w:bottom w:val="none" w:sz="0" w:space="0" w:color="auto"/>
        <w:right w:val="none" w:sz="0" w:space="0" w:color="auto"/>
      </w:divBdr>
    </w:div>
    <w:div w:id="237634560">
      <w:bodyDiv w:val="1"/>
      <w:marLeft w:val="0"/>
      <w:marRight w:val="0"/>
      <w:marTop w:val="0"/>
      <w:marBottom w:val="0"/>
      <w:divBdr>
        <w:top w:val="none" w:sz="0" w:space="0" w:color="auto"/>
        <w:left w:val="none" w:sz="0" w:space="0" w:color="auto"/>
        <w:bottom w:val="none" w:sz="0" w:space="0" w:color="auto"/>
        <w:right w:val="none" w:sz="0" w:space="0" w:color="auto"/>
      </w:divBdr>
    </w:div>
    <w:div w:id="248736259">
      <w:bodyDiv w:val="1"/>
      <w:marLeft w:val="0"/>
      <w:marRight w:val="0"/>
      <w:marTop w:val="0"/>
      <w:marBottom w:val="0"/>
      <w:divBdr>
        <w:top w:val="none" w:sz="0" w:space="0" w:color="auto"/>
        <w:left w:val="none" w:sz="0" w:space="0" w:color="auto"/>
        <w:bottom w:val="none" w:sz="0" w:space="0" w:color="auto"/>
        <w:right w:val="none" w:sz="0" w:space="0" w:color="auto"/>
      </w:divBdr>
    </w:div>
    <w:div w:id="250087234">
      <w:bodyDiv w:val="1"/>
      <w:marLeft w:val="0"/>
      <w:marRight w:val="0"/>
      <w:marTop w:val="0"/>
      <w:marBottom w:val="0"/>
      <w:divBdr>
        <w:top w:val="none" w:sz="0" w:space="0" w:color="auto"/>
        <w:left w:val="none" w:sz="0" w:space="0" w:color="auto"/>
        <w:bottom w:val="none" w:sz="0" w:space="0" w:color="auto"/>
        <w:right w:val="none" w:sz="0" w:space="0" w:color="auto"/>
      </w:divBdr>
    </w:div>
    <w:div w:id="256444398">
      <w:bodyDiv w:val="1"/>
      <w:marLeft w:val="0"/>
      <w:marRight w:val="0"/>
      <w:marTop w:val="0"/>
      <w:marBottom w:val="0"/>
      <w:divBdr>
        <w:top w:val="none" w:sz="0" w:space="0" w:color="auto"/>
        <w:left w:val="none" w:sz="0" w:space="0" w:color="auto"/>
        <w:bottom w:val="none" w:sz="0" w:space="0" w:color="auto"/>
        <w:right w:val="none" w:sz="0" w:space="0" w:color="auto"/>
      </w:divBdr>
    </w:div>
    <w:div w:id="273902250">
      <w:bodyDiv w:val="1"/>
      <w:marLeft w:val="0"/>
      <w:marRight w:val="0"/>
      <w:marTop w:val="0"/>
      <w:marBottom w:val="0"/>
      <w:divBdr>
        <w:top w:val="none" w:sz="0" w:space="0" w:color="auto"/>
        <w:left w:val="none" w:sz="0" w:space="0" w:color="auto"/>
        <w:bottom w:val="none" w:sz="0" w:space="0" w:color="auto"/>
        <w:right w:val="none" w:sz="0" w:space="0" w:color="auto"/>
      </w:divBdr>
    </w:div>
    <w:div w:id="276790961">
      <w:bodyDiv w:val="1"/>
      <w:marLeft w:val="0"/>
      <w:marRight w:val="0"/>
      <w:marTop w:val="0"/>
      <w:marBottom w:val="0"/>
      <w:divBdr>
        <w:top w:val="none" w:sz="0" w:space="0" w:color="auto"/>
        <w:left w:val="none" w:sz="0" w:space="0" w:color="auto"/>
        <w:bottom w:val="none" w:sz="0" w:space="0" w:color="auto"/>
        <w:right w:val="none" w:sz="0" w:space="0" w:color="auto"/>
      </w:divBdr>
    </w:div>
    <w:div w:id="284043910">
      <w:bodyDiv w:val="1"/>
      <w:marLeft w:val="0"/>
      <w:marRight w:val="0"/>
      <w:marTop w:val="0"/>
      <w:marBottom w:val="0"/>
      <w:divBdr>
        <w:top w:val="none" w:sz="0" w:space="0" w:color="auto"/>
        <w:left w:val="none" w:sz="0" w:space="0" w:color="auto"/>
        <w:bottom w:val="none" w:sz="0" w:space="0" w:color="auto"/>
        <w:right w:val="none" w:sz="0" w:space="0" w:color="auto"/>
      </w:divBdr>
    </w:div>
    <w:div w:id="284971823">
      <w:bodyDiv w:val="1"/>
      <w:marLeft w:val="0"/>
      <w:marRight w:val="0"/>
      <w:marTop w:val="0"/>
      <w:marBottom w:val="0"/>
      <w:divBdr>
        <w:top w:val="none" w:sz="0" w:space="0" w:color="auto"/>
        <w:left w:val="none" w:sz="0" w:space="0" w:color="auto"/>
        <w:bottom w:val="none" w:sz="0" w:space="0" w:color="auto"/>
        <w:right w:val="none" w:sz="0" w:space="0" w:color="auto"/>
      </w:divBdr>
    </w:div>
    <w:div w:id="286741368">
      <w:bodyDiv w:val="1"/>
      <w:marLeft w:val="0"/>
      <w:marRight w:val="0"/>
      <w:marTop w:val="0"/>
      <w:marBottom w:val="0"/>
      <w:divBdr>
        <w:top w:val="none" w:sz="0" w:space="0" w:color="auto"/>
        <w:left w:val="none" w:sz="0" w:space="0" w:color="auto"/>
        <w:bottom w:val="none" w:sz="0" w:space="0" w:color="auto"/>
        <w:right w:val="none" w:sz="0" w:space="0" w:color="auto"/>
      </w:divBdr>
    </w:div>
    <w:div w:id="302808242">
      <w:bodyDiv w:val="1"/>
      <w:marLeft w:val="0"/>
      <w:marRight w:val="0"/>
      <w:marTop w:val="0"/>
      <w:marBottom w:val="0"/>
      <w:divBdr>
        <w:top w:val="none" w:sz="0" w:space="0" w:color="auto"/>
        <w:left w:val="none" w:sz="0" w:space="0" w:color="auto"/>
        <w:bottom w:val="none" w:sz="0" w:space="0" w:color="auto"/>
        <w:right w:val="none" w:sz="0" w:space="0" w:color="auto"/>
      </w:divBdr>
    </w:div>
    <w:div w:id="307631674">
      <w:bodyDiv w:val="1"/>
      <w:marLeft w:val="0"/>
      <w:marRight w:val="0"/>
      <w:marTop w:val="0"/>
      <w:marBottom w:val="0"/>
      <w:divBdr>
        <w:top w:val="none" w:sz="0" w:space="0" w:color="auto"/>
        <w:left w:val="none" w:sz="0" w:space="0" w:color="auto"/>
        <w:bottom w:val="none" w:sz="0" w:space="0" w:color="auto"/>
        <w:right w:val="none" w:sz="0" w:space="0" w:color="auto"/>
      </w:divBdr>
    </w:div>
    <w:div w:id="319388819">
      <w:bodyDiv w:val="1"/>
      <w:marLeft w:val="0"/>
      <w:marRight w:val="0"/>
      <w:marTop w:val="0"/>
      <w:marBottom w:val="0"/>
      <w:divBdr>
        <w:top w:val="none" w:sz="0" w:space="0" w:color="auto"/>
        <w:left w:val="none" w:sz="0" w:space="0" w:color="auto"/>
        <w:bottom w:val="none" w:sz="0" w:space="0" w:color="auto"/>
        <w:right w:val="none" w:sz="0" w:space="0" w:color="auto"/>
      </w:divBdr>
    </w:div>
    <w:div w:id="319695710">
      <w:bodyDiv w:val="1"/>
      <w:marLeft w:val="0"/>
      <w:marRight w:val="0"/>
      <w:marTop w:val="0"/>
      <w:marBottom w:val="0"/>
      <w:divBdr>
        <w:top w:val="none" w:sz="0" w:space="0" w:color="auto"/>
        <w:left w:val="none" w:sz="0" w:space="0" w:color="auto"/>
        <w:bottom w:val="none" w:sz="0" w:space="0" w:color="auto"/>
        <w:right w:val="none" w:sz="0" w:space="0" w:color="auto"/>
      </w:divBdr>
    </w:div>
    <w:div w:id="319846402">
      <w:bodyDiv w:val="1"/>
      <w:marLeft w:val="0"/>
      <w:marRight w:val="0"/>
      <w:marTop w:val="0"/>
      <w:marBottom w:val="0"/>
      <w:divBdr>
        <w:top w:val="none" w:sz="0" w:space="0" w:color="auto"/>
        <w:left w:val="none" w:sz="0" w:space="0" w:color="auto"/>
        <w:bottom w:val="none" w:sz="0" w:space="0" w:color="auto"/>
        <w:right w:val="none" w:sz="0" w:space="0" w:color="auto"/>
      </w:divBdr>
    </w:div>
    <w:div w:id="323820091">
      <w:bodyDiv w:val="1"/>
      <w:marLeft w:val="0"/>
      <w:marRight w:val="0"/>
      <w:marTop w:val="0"/>
      <w:marBottom w:val="0"/>
      <w:divBdr>
        <w:top w:val="none" w:sz="0" w:space="0" w:color="auto"/>
        <w:left w:val="none" w:sz="0" w:space="0" w:color="auto"/>
        <w:bottom w:val="none" w:sz="0" w:space="0" w:color="auto"/>
        <w:right w:val="none" w:sz="0" w:space="0" w:color="auto"/>
      </w:divBdr>
      <w:divsChild>
        <w:div w:id="739712672">
          <w:marLeft w:val="0"/>
          <w:marRight w:val="0"/>
          <w:marTop w:val="0"/>
          <w:marBottom w:val="0"/>
          <w:divBdr>
            <w:top w:val="none" w:sz="0" w:space="0" w:color="auto"/>
            <w:left w:val="none" w:sz="0" w:space="0" w:color="auto"/>
            <w:bottom w:val="none" w:sz="0" w:space="0" w:color="auto"/>
            <w:right w:val="none" w:sz="0" w:space="0" w:color="auto"/>
          </w:divBdr>
          <w:divsChild>
            <w:div w:id="38752266">
              <w:marLeft w:val="0"/>
              <w:marRight w:val="0"/>
              <w:marTop w:val="0"/>
              <w:marBottom w:val="0"/>
              <w:divBdr>
                <w:top w:val="none" w:sz="0" w:space="0" w:color="auto"/>
                <w:left w:val="none" w:sz="0" w:space="0" w:color="auto"/>
                <w:bottom w:val="none" w:sz="0" w:space="0" w:color="auto"/>
                <w:right w:val="none" w:sz="0" w:space="0" w:color="auto"/>
              </w:divBdr>
              <w:divsChild>
                <w:div w:id="502206865">
                  <w:marLeft w:val="0"/>
                  <w:marRight w:val="0"/>
                  <w:marTop w:val="0"/>
                  <w:marBottom w:val="0"/>
                  <w:divBdr>
                    <w:top w:val="none" w:sz="0" w:space="0" w:color="auto"/>
                    <w:left w:val="none" w:sz="0" w:space="0" w:color="auto"/>
                    <w:bottom w:val="none" w:sz="0" w:space="0" w:color="auto"/>
                    <w:right w:val="none" w:sz="0" w:space="0" w:color="auto"/>
                  </w:divBdr>
                  <w:divsChild>
                    <w:div w:id="153685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19098">
          <w:marLeft w:val="0"/>
          <w:marRight w:val="0"/>
          <w:marTop w:val="0"/>
          <w:marBottom w:val="0"/>
          <w:divBdr>
            <w:top w:val="none" w:sz="0" w:space="0" w:color="auto"/>
            <w:left w:val="none" w:sz="0" w:space="0" w:color="auto"/>
            <w:bottom w:val="none" w:sz="0" w:space="0" w:color="auto"/>
            <w:right w:val="none" w:sz="0" w:space="0" w:color="auto"/>
          </w:divBdr>
          <w:divsChild>
            <w:div w:id="484861466">
              <w:marLeft w:val="-360"/>
              <w:marRight w:val="-360"/>
              <w:marTop w:val="0"/>
              <w:marBottom w:val="0"/>
              <w:divBdr>
                <w:top w:val="none" w:sz="0" w:space="0" w:color="auto"/>
                <w:left w:val="none" w:sz="0" w:space="0" w:color="auto"/>
                <w:bottom w:val="none" w:sz="0" w:space="0" w:color="auto"/>
                <w:right w:val="none" w:sz="0" w:space="0" w:color="auto"/>
              </w:divBdr>
              <w:divsChild>
                <w:div w:id="1810322889">
                  <w:marLeft w:val="0"/>
                  <w:marRight w:val="0"/>
                  <w:marTop w:val="0"/>
                  <w:marBottom w:val="0"/>
                  <w:divBdr>
                    <w:top w:val="none" w:sz="0" w:space="0" w:color="auto"/>
                    <w:left w:val="none" w:sz="0" w:space="0" w:color="auto"/>
                    <w:bottom w:val="none" w:sz="0" w:space="0" w:color="auto"/>
                    <w:right w:val="none" w:sz="0" w:space="0" w:color="auto"/>
                  </w:divBdr>
                  <w:divsChild>
                    <w:div w:id="175420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020727">
      <w:bodyDiv w:val="1"/>
      <w:marLeft w:val="0"/>
      <w:marRight w:val="0"/>
      <w:marTop w:val="0"/>
      <w:marBottom w:val="0"/>
      <w:divBdr>
        <w:top w:val="none" w:sz="0" w:space="0" w:color="auto"/>
        <w:left w:val="none" w:sz="0" w:space="0" w:color="auto"/>
        <w:bottom w:val="none" w:sz="0" w:space="0" w:color="auto"/>
        <w:right w:val="none" w:sz="0" w:space="0" w:color="auto"/>
      </w:divBdr>
    </w:div>
    <w:div w:id="328335426">
      <w:bodyDiv w:val="1"/>
      <w:marLeft w:val="0"/>
      <w:marRight w:val="0"/>
      <w:marTop w:val="0"/>
      <w:marBottom w:val="0"/>
      <w:divBdr>
        <w:top w:val="none" w:sz="0" w:space="0" w:color="auto"/>
        <w:left w:val="none" w:sz="0" w:space="0" w:color="auto"/>
        <w:bottom w:val="none" w:sz="0" w:space="0" w:color="auto"/>
        <w:right w:val="none" w:sz="0" w:space="0" w:color="auto"/>
      </w:divBdr>
    </w:div>
    <w:div w:id="331377479">
      <w:bodyDiv w:val="1"/>
      <w:marLeft w:val="0"/>
      <w:marRight w:val="0"/>
      <w:marTop w:val="0"/>
      <w:marBottom w:val="0"/>
      <w:divBdr>
        <w:top w:val="none" w:sz="0" w:space="0" w:color="auto"/>
        <w:left w:val="none" w:sz="0" w:space="0" w:color="auto"/>
        <w:bottom w:val="none" w:sz="0" w:space="0" w:color="auto"/>
        <w:right w:val="none" w:sz="0" w:space="0" w:color="auto"/>
      </w:divBdr>
    </w:div>
    <w:div w:id="347021284">
      <w:bodyDiv w:val="1"/>
      <w:marLeft w:val="0"/>
      <w:marRight w:val="0"/>
      <w:marTop w:val="0"/>
      <w:marBottom w:val="0"/>
      <w:divBdr>
        <w:top w:val="none" w:sz="0" w:space="0" w:color="auto"/>
        <w:left w:val="none" w:sz="0" w:space="0" w:color="auto"/>
        <w:bottom w:val="none" w:sz="0" w:space="0" w:color="auto"/>
        <w:right w:val="none" w:sz="0" w:space="0" w:color="auto"/>
      </w:divBdr>
    </w:div>
    <w:div w:id="348068724">
      <w:bodyDiv w:val="1"/>
      <w:marLeft w:val="0"/>
      <w:marRight w:val="0"/>
      <w:marTop w:val="0"/>
      <w:marBottom w:val="0"/>
      <w:divBdr>
        <w:top w:val="none" w:sz="0" w:space="0" w:color="auto"/>
        <w:left w:val="none" w:sz="0" w:space="0" w:color="auto"/>
        <w:bottom w:val="none" w:sz="0" w:space="0" w:color="auto"/>
        <w:right w:val="none" w:sz="0" w:space="0" w:color="auto"/>
      </w:divBdr>
    </w:div>
    <w:div w:id="351150120">
      <w:bodyDiv w:val="1"/>
      <w:marLeft w:val="0"/>
      <w:marRight w:val="0"/>
      <w:marTop w:val="0"/>
      <w:marBottom w:val="0"/>
      <w:divBdr>
        <w:top w:val="none" w:sz="0" w:space="0" w:color="auto"/>
        <w:left w:val="none" w:sz="0" w:space="0" w:color="auto"/>
        <w:bottom w:val="none" w:sz="0" w:space="0" w:color="auto"/>
        <w:right w:val="none" w:sz="0" w:space="0" w:color="auto"/>
      </w:divBdr>
      <w:divsChild>
        <w:div w:id="1186363835">
          <w:marLeft w:val="0"/>
          <w:marRight w:val="0"/>
          <w:marTop w:val="0"/>
          <w:marBottom w:val="0"/>
          <w:divBdr>
            <w:top w:val="none" w:sz="0" w:space="0" w:color="auto"/>
            <w:left w:val="none" w:sz="0" w:space="0" w:color="auto"/>
            <w:bottom w:val="none" w:sz="0" w:space="0" w:color="auto"/>
            <w:right w:val="none" w:sz="0" w:space="0" w:color="auto"/>
          </w:divBdr>
        </w:div>
      </w:divsChild>
    </w:div>
    <w:div w:id="353503033">
      <w:bodyDiv w:val="1"/>
      <w:marLeft w:val="0"/>
      <w:marRight w:val="0"/>
      <w:marTop w:val="0"/>
      <w:marBottom w:val="0"/>
      <w:divBdr>
        <w:top w:val="none" w:sz="0" w:space="0" w:color="auto"/>
        <w:left w:val="none" w:sz="0" w:space="0" w:color="auto"/>
        <w:bottom w:val="none" w:sz="0" w:space="0" w:color="auto"/>
        <w:right w:val="none" w:sz="0" w:space="0" w:color="auto"/>
      </w:divBdr>
    </w:div>
    <w:div w:id="355664637">
      <w:bodyDiv w:val="1"/>
      <w:marLeft w:val="0"/>
      <w:marRight w:val="0"/>
      <w:marTop w:val="0"/>
      <w:marBottom w:val="0"/>
      <w:divBdr>
        <w:top w:val="none" w:sz="0" w:space="0" w:color="auto"/>
        <w:left w:val="none" w:sz="0" w:space="0" w:color="auto"/>
        <w:bottom w:val="none" w:sz="0" w:space="0" w:color="auto"/>
        <w:right w:val="none" w:sz="0" w:space="0" w:color="auto"/>
      </w:divBdr>
    </w:div>
    <w:div w:id="358049431">
      <w:bodyDiv w:val="1"/>
      <w:marLeft w:val="0"/>
      <w:marRight w:val="0"/>
      <w:marTop w:val="0"/>
      <w:marBottom w:val="0"/>
      <w:divBdr>
        <w:top w:val="none" w:sz="0" w:space="0" w:color="auto"/>
        <w:left w:val="none" w:sz="0" w:space="0" w:color="auto"/>
        <w:bottom w:val="none" w:sz="0" w:space="0" w:color="auto"/>
        <w:right w:val="none" w:sz="0" w:space="0" w:color="auto"/>
      </w:divBdr>
    </w:div>
    <w:div w:id="360788642">
      <w:bodyDiv w:val="1"/>
      <w:marLeft w:val="0"/>
      <w:marRight w:val="0"/>
      <w:marTop w:val="0"/>
      <w:marBottom w:val="0"/>
      <w:divBdr>
        <w:top w:val="none" w:sz="0" w:space="0" w:color="auto"/>
        <w:left w:val="none" w:sz="0" w:space="0" w:color="auto"/>
        <w:bottom w:val="none" w:sz="0" w:space="0" w:color="auto"/>
        <w:right w:val="none" w:sz="0" w:space="0" w:color="auto"/>
      </w:divBdr>
    </w:div>
    <w:div w:id="373581969">
      <w:bodyDiv w:val="1"/>
      <w:marLeft w:val="0"/>
      <w:marRight w:val="0"/>
      <w:marTop w:val="0"/>
      <w:marBottom w:val="0"/>
      <w:divBdr>
        <w:top w:val="none" w:sz="0" w:space="0" w:color="auto"/>
        <w:left w:val="none" w:sz="0" w:space="0" w:color="auto"/>
        <w:bottom w:val="none" w:sz="0" w:space="0" w:color="auto"/>
        <w:right w:val="none" w:sz="0" w:space="0" w:color="auto"/>
      </w:divBdr>
    </w:div>
    <w:div w:id="374627057">
      <w:bodyDiv w:val="1"/>
      <w:marLeft w:val="0"/>
      <w:marRight w:val="0"/>
      <w:marTop w:val="0"/>
      <w:marBottom w:val="0"/>
      <w:divBdr>
        <w:top w:val="none" w:sz="0" w:space="0" w:color="auto"/>
        <w:left w:val="none" w:sz="0" w:space="0" w:color="auto"/>
        <w:bottom w:val="none" w:sz="0" w:space="0" w:color="auto"/>
        <w:right w:val="none" w:sz="0" w:space="0" w:color="auto"/>
      </w:divBdr>
    </w:div>
    <w:div w:id="383024326">
      <w:bodyDiv w:val="1"/>
      <w:marLeft w:val="0"/>
      <w:marRight w:val="0"/>
      <w:marTop w:val="0"/>
      <w:marBottom w:val="0"/>
      <w:divBdr>
        <w:top w:val="none" w:sz="0" w:space="0" w:color="auto"/>
        <w:left w:val="none" w:sz="0" w:space="0" w:color="auto"/>
        <w:bottom w:val="none" w:sz="0" w:space="0" w:color="auto"/>
        <w:right w:val="none" w:sz="0" w:space="0" w:color="auto"/>
      </w:divBdr>
    </w:div>
    <w:div w:id="386492981">
      <w:bodyDiv w:val="1"/>
      <w:marLeft w:val="0"/>
      <w:marRight w:val="0"/>
      <w:marTop w:val="0"/>
      <w:marBottom w:val="0"/>
      <w:divBdr>
        <w:top w:val="none" w:sz="0" w:space="0" w:color="auto"/>
        <w:left w:val="none" w:sz="0" w:space="0" w:color="auto"/>
        <w:bottom w:val="none" w:sz="0" w:space="0" w:color="auto"/>
        <w:right w:val="none" w:sz="0" w:space="0" w:color="auto"/>
      </w:divBdr>
    </w:div>
    <w:div w:id="402483012">
      <w:bodyDiv w:val="1"/>
      <w:marLeft w:val="0"/>
      <w:marRight w:val="0"/>
      <w:marTop w:val="0"/>
      <w:marBottom w:val="0"/>
      <w:divBdr>
        <w:top w:val="none" w:sz="0" w:space="0" w:color="auto"/>
        <w:left w:val="none" w:sz="0" w:space="0" w:color="auto"/>
        <w:bottom w:val="none" w:sz="0" w:space="0" w:color="auto"/>
        <w:right w:val="none" w:sz="0" w:space="0" w:color="auto"/>
      </w:divBdr>
    </w:div>
    <w:div w:id="424419350">
      <w:bodyDiv w:val="1"/>
      <w:marLeft w:val="0"/>
      <w:marRight w:val="0"/>
      <w:marTop w:val="0"/>
      <w:marBottom w:val="0"/>
      <w:divBdr>
        <w:top w:val="none" w:sz="0" w:space="0" w:color="auto"/>
        <w:left w:val="none" w:sz="0" w:space="0" w:color="auto"/>
        <w:bottom w:val="none" w:sz="0" w:space="0" w:color="auto"/>
        <w:right w:val="none" w:sz="0" w:space="0" w:color="auto"/>
      </w:divBdr>
    </w:div>
    <w:div w:id="430054382">
      <w:bodyDiv w:val="1"/>
      <w:marLeft w:val="0"/>
      <w:marRight w:val="0"/>
      <w:marTop w:val="0"/>
      <w:marBottom w:val="0"/>
      <w:divBdr>
        <w:top w:val="none" w:sz="0" w:space="0" w:color="auto"/>
        <w:left w:val="none" w:sz="0" w:space="0" w:color="auto"/>
        <w:bottom w:val="none" w:sz="0" w:space="0" w:color="auto"/>
        <w:right w:val="none" w:sz="0" w:space="0" w:color="auto"/>
      </w:divBdr>
    </w:div>
    <w:div w:id="460727064">
      <w:bodyDiv w:val="1"/>
      <w:marLeft w:val="0"/>
      <w:marRight w:val="0"/>
      <w:marTop w:val="0"/>
      <w:marBottom w:val="0"/>
      <w:divBdr>
        <w:top w:val="none" w:sz="0" w:space="0" w:color="auto"/>
        <w:left w:val="none" w:sz="0" w:space="0" w:color="auto"/>
        <w:bottom w:val="none" w:sz="0" w:space="0" w:color="auto"/>
        <w:right w:val="none" w:sz="0" w:space="0" w:color="auto"/>
      </w:divBdr>
    </w:div>
    <w:div w:id="473910039">
      <w:marLeft w:val="0"/>
      <w:marRight w:val="0"/>
      <w:marTop w:val="0"/>
      <w:marBottom w:val="0"/>
      <w:divBdr>
        <w:top w:val="none" w:sz="0" w:space="0" w:color="auto"/>
        <w:left w:val="none" w:sz="0" w:space="0" w:color="auto"/>
        <w:bottom w:val="none" w:sz="0" w:space="0" w:color="auto"/>
        <w:right w:val="none" w:sz="0" w:space="0" w:color="auto"/>
      </w:divBdr>
    </w:div>
    <w:div w:id="473910040">
      <w:marLeft w:val="0"/>
      <w:marRight w:val="0"/>
      <w:marTop w:val="0"/>
      <w:marBottom w:val="0"/>
      <w:divBdr>
        <w:top w:val="none" w:sz="0" w:space="0" w:color="auto"/>
        <w:left w:val="none" w:sz="0" w:space="0" w:color="auto"/>
        <w:bottom w:val="none" w:sz="0" w:space="0" w:color="auto"/>
        <w:right w:val="none" w:sz="0" w:space="0" w:color="auto"/>
      </w:divBdr>
    </w:div>
    <w:div w:id="473910041">
      <w:marLeft w:val="0"/>
      <w:marRight w:val="0"/>
      <w:marTop w:val="0"/>
      <w:marBottom w:val="0"/>
      <w:divBdr>
        <w:top w:val="none" w:sz="0" w:space="0" w:color="auto"/>
        <w:left w:val="none" w:sz="0" w:space="0" w:color="auto"/>
        <w:bottom w:val="none" w:sz="0" w:space="0" w:color="auto"/>
        <w:right w:val="none" w:sz="0" w:space="0" w:color="auto"/>
      </w:divBdr>
    </w:div>
    <w:div w:id="473910042">
      <w:marLeft w:val="0"/>
      <w:marRight w:val="0"/>
      <w:marTop w:val="0"/>
      <w:marBottom w:val="0"/>
      <w:divBdr>
        <w:top w:val="none" w:sz="0" w:space="0" w:color="auto"/>
        <w:left w:val="none" w:sz="0" w:space="0" w:color="auto"/>
        <w:bottom w:val="none" w:sz="0" w:space="0" w:color="auto"/>
        <w:right w:val="none" w:sz="0" w:space="0" w:color="auto"/>
      </w:divBdr>
    </w:div>
    <w:div w:id="473910043">
      <w:marLeft w:val="0"/>
      <w:marRight w:val="0"/>
      <w:marTop w:val="0"/>
      <w:marBottom w:val="0"/>
      <w:divBdr>
        <w:top w:val="none" w:sz="0" w:space="0" w:color="auto"/>
        <w:left w:val="none" w:sz="0" w:space="0" w:color="auto"/>
        <w:bottom w:val="none" w:sz="0" w:space="0" w:color="auto"/>
        <w:right w:val="none" w:sz="0" w:space="0" w:color="auto"/>
      </w:divBdr>
    </w:div>
    <w:div w:id="473910044">
      <w:marLeft w:val="0"/>
      <w:marRight w:val="0"/>
      <w:marTop w:val="0"/>
      <w:marBottom w:val="0"/>
      <w:divBdr>
        <w:top w:val="none" w:sz="0" w:space="0" w:color="auto"/>
        <w:left w:val="none" w:sz="0" w:space="0" w:color="auto"/>
        <w:bottom w:val="none" w:sz="0" w:space="0" w:color="auto"/>
        <w:right w:val="none" w:sz="0" w:space="0" w:color="auto"/>
      </w:divBdr>
    </w:div>
    <w:div w:id="473910045">
      <w:marLeft w:val="0"/>
      <w:marRight w:val="0"/>
      <w:marTop w:val="0"/>
      <w:marBottom w:val="0"/>
      <w:divBdr>
        <w:top w:val="none" w:sz="0" w:space="0" w:color="auto"/>
        <w:left w:val="none" w:sz="0" w:space="0" w:color="auto"/>
        <w:bottom w:val="none" w:sz="0" w:space="0" w:color="auto"/>
        <w:right w:val="none" w:sz="0" w:space="0" w:color="auto"/>
      </w:divBdr>
    </w:div>
    <w:div w:id="473910046">
      <w:marLeft w:val="0"/>
      <w:marRight w:val="0"/>
      <w:marTop w:val="0"/>
      <w:marBottom w:val="0"/>
      <w:divBdr>
        <w:top w:val="none" w:sz="0" w:space="0" w:color="auto"/>
        <w:left w:val="none" w:sz="0" w:space="0" w:color="auto"/>
        <w:bottom w:val="none" w:sz="0" w:space="0" w:color="auto"/>
        <w:right w:val="none" w:sz="0" w:space="0" w:color="auto"/>
      </w:divBdr>
    </w:div>
    <w:div w:id="473910047">
      <w:marLeft w:val="0"/>
      <w:marRight w:val="0"/>
      <w:marTop w:val="0"/>
      <w:marBottom w:val="0"/>
      <w:divBdr>
        <w:top w:val="none" w:sz="0" w:space="0" w:color="auto"/>
        <w:left w:val="none" w:sz="0" w:space="0" w:color="auto"/>
        <w:bottom w:val="none" w:sz="0" w:space="0" w:color="auto"/>
        <w:right w:val="none" w:sz="0" w:space="0" w:color="auto"/>
      </w:divBdr>
    </w:div>
    <w:div w:id="473910048">
      <w:marLeft w:val="0"/>
      <w:marRight w:val="0"/>
      <w:marTop w:val="0"/>
      <w:marBottom w:val="0"/>
      <w:divBdr>
        <w:top w:val="none" w:sz="0" w:space="0" w:color="auto"/>
        <w:left w:val="none" w:sz="0" w:space="0" w:color="auto"/>
        <w:bottom w:val="none" w:sz="0" w:space="0" w:color="auto"/>
        <w:right w:val="none" w:sz="0" w:space="0" w:color="auto"/>
      </w:divBdr>
    </w:div>
    <w:div w:id="473910049">
      <w:marLeft w:val="0"/>
      <w:marRight w:val="0"/>
      <w:marTop w:val="0"/>
      <w:marBottom w:val="0"/>
      <w:divBdr>
        <w:top w:val="none" w:sz="0" w:space="0" w:color="auto"/>
        <w:left w:val="none" w:sz="0" w:space="0" w:color="auto"/>
        <w:bottom w:val="none" w:sz="0" w:space="0" w:color="auto"/>
        <w:right w:val="none" w:sz="0" w:space="0" w:color="auto"/>
      </w:divBdr>
    </w:div>
    <w:div w:id="473910050">
      <w:marLeft w:val="0"/>
      <w:marRight w:val="0"/>
      <w:marTop w:val="0"/>
      <w:marBottom w:val="0"/>
      <w:divBdr>
        <w:top w:val="none" w:sz="0" w:space="0" w:color="auto"/>
        <w:left w:val="none" w:sz="0" w:space="0" w:color="auto"/>
        <w:bottom w:val="none" w:sz="0" w:space="0" w:color="auto"/>
        <w:right w:val="none" w:sz="0" w:space="0" w:color="auto"/>
      </w:divBdr>
    </w:div>
    <w:div w:id="473910051">
      <w:marLeft w:val="0"/>
      <w:marRight w:val="0"/>
      <w:marTop w:val="0"/>
      <w:marBottom w:val="0"/>
      <w:divBdr>
        <w:top w:val="none" w:sz="0" w:space="0" w:color="auto"/>
        <w:left w:val="none" w:sz="0" w:space="0" w:color="auto"/>
        <w:bottom w:val="none" w:sz="0" w:space="0" w:color="auto"/>
        <w:right w:val="none" w:sz="0" w:space="0" w:color="auto"/>
      </w:divBdr>
    </w:div>
    <w:div w:id="473910052">
      <w:marLeft w:val="0"/>
      <w:marRight w:val="0"/>
      <w:marTop w:val="0"/>
      <w:marBottom w:val="0"/>
      <w:divBdr>
        <w:top w:val="none" w:sz="0" w:space="0" w:color="auto"/>
        <w:left w:val="none" w:sz="0" w:space="0" w:color="auto"/>
        <w:bottom w:val="none" w:sz="0" w:space="0" w:color="auto"/>
        <w:right w:val="none" w:sz="0" w:space="0" w:color="auto"/>
      </w:divBdr>
    </w:div>
    <w:div w:id="473910053">
      <w:marLeft w:val="0"/>
      <w:marRight w:val="0"/>
      <w:marTop w:val="0"/>
      <w:marBottom w:val="0"/>
      <w:divBdr>
        <w:top w:val="none" w:sz="0" w:space="0" w:color="auto"/>
        <w:left w:val="none" w:sz="0" w:space="0" w:color="auto"/>
        <w:bottom w:val="none" w:sz="0" w:space="0" w:color="auto"/>
        <w:right w:val="none" w:sz="0" w:space="0" w:color="auto"/>
      </w:divBdr>
    </w:div>
    <w:div w:id="473910054">
      <w:marLeft w:val="0"/>
      <w:marRight w:val="0"/>
      <w:marTop w:val="0"/>
      <w:marBottom w:val="0"/>
      <w:divBdr>
        <w:top w:val="none" w:sz="0" w:space="0" w:color="auto"/>
        <w:left w:val="none" w:sz="0" w:space="0" w:color="auto"/>
        <w:bottom w:val="none" w:sz="0" w:space="0" w:color="auto"/>
        <w:right w:val="none" w:sz="0" w:space="0" w:color="auto"/>
      </w:divBdr>
    </w:div>
    <w:div w:id="473910055">
      <w:marLeft w:val="0"/>
      <w:marRight w:val="0"/>
      <w:marTop w:val="0"/>
      <w:marBottom w:val="0"/>
      <w:divBdr>
        <w:top w:val="none" w:sz="0" w:space="0" w:color="auto"/>
        <w:left w:val="none" w:sz="0" w:space="0" w:color="auto"/>
        <w:bottom w:val="none" w:sz="0" w:space="0" w:color="auto"/>
        <w:right w:val="none" w:sz="0" w:space="0" w:color="auto"/>
      </w:divBdr>
    </w:div>
    <w:div w:id="473910056">
      <w:marLeft w:val="0"/>
      <w:marRight w:val="0"/>
      <w:marTop w:val="0"/>
      <w:marBottom w:val="0"/>
      <w:divBdr>
        <w:top w:val="none" w:sz="0" w:space="0" w:color="auto"/>
        <w:left w:val="none" w:sz="0" w:space="0" w:color="auto"/>
        <w:bottom w:val="none" w:sz="0" w:space="0" w:color="auto"/>
        <w:right w:val="none" w:sz="0" w:space="0" w:color="auto"/>
      </w:divBdr>
    </w:div>
    <w:div w:id="473910057">
      <w:marLeft w:val="0"/>
      <w:marRight w:val="0"/>
      <w:marTop w:val="0"/>
      <w:marBottom w:val="0"/>
      <w:divBdr>
        <w:top w:val="none" w:sz="0" w:space="0" w:color="auto"/>
        <w:left w:val="none" w:sz="0" w:space="0" w:color="auto"/>
        <w:bottom w:val="none" w:sz="0" w:space="0" w:color="auto"/>
        <w:right w:val="none" w:sz="0" w:space="0" w:color="auto"/>
      </w:divBdr>
    </w:div>
    <w:div w:id="473910058">
      <w:marLeft w:val="0"/>
      <w:marRight w:val="0"/>
      <w:marTop w:val="0"/>
      <w:marBottom w:val="0"/>
      <w:divBdr>
        <w:top w:val="none" w:sz="0" w:space="0" w:color="auto"/>
        <w:left w:val="none" w:sz="0" w:space="0" w:color="auto"/>
        <w:bottom w:val="none" w:sz="0" w:space="0" w:color="auto"/>
        <w:right w:val="none" w:sz="0" w:space="0" w:color="auto"/>
      </w:divBdr>
    </w:div>
    <w:div w:id="473910059">
      <w:marLeft w:val="0"/>
      <w:marRight w:val="0"/>
      <w:marTop w:val="0"/>
      <w:marBottom w:val="0"/>
      <w:divBdr>
        <w:top w:val="none" w:sz="0" w:space="0" w:color="auto"/>
        <w:left w:val="none" w:sz="0" w:space="0" w:color="auto"/>
        <w:bottom w:val="none" w:sz="0" w:space="0" w:color="auto"/>
        <w:right w:val="none" w:sz="0" w:space="0" w:color="auto"/>
      </w:divBdr>
    </w:div>
    <w:div w:id="473910060">
      <w:marLeft w:val="0"/>
      <w:marRight w:val="0"/>
      <w:marTop w:val="0"/>
      <w:marBottom w:val="0"/>
      <w:divBdr>
        <w:top w:val="none" w:sz="0" w:space="0" w:color="auto"/>
        <w:left w:val="none" w:sz="0" w:space="0" w:color="auto"/>
        <w:bottom w:val="none" w:sz="0" w:space="0" w:color="auto"/>
        <w:right w:val="none" w:sz="0" w:space="0" w:color="auto"/>
      </w:divBdr>
    </w:div>
    <w:div w:id="473910061">
      <w:marLeft w:val="0"/>
      <w:marRight w:val="0"/>
      <w:marTop w:val="0"/>
      <w:marBottom w:val="0"/>
      <w:divBdr>
        <w:top w:val="none" w:sz="0" w:space="0" w:color="auto"/>
        <w:left w:val="none" w:sz="0" w:space="0" w:color="auto"/>
        <w:bottom w:val="none" w:sz="0" w:space="0" w:color="auto"/>
        <w:right w:val="none" w:sz="0" w:space="0" w:color="auto"/>
      </w:divBdr>
    </w:div>
    <w:div w:id="484860051">
      <w:bodyDiv w:val="1"/>
      <w:marLeft w:val="0"/>
      <w:marRight w:val="0"/>
      <w:marTop w:val="0"/>
      <w:marBottom w:val="0"/>
      <w:divBdr>
        <w:top w:val="none" w:sz="0" w:space="0" w:color="auto"/>
        <w:left w:val="none" w:sz="0" w:space="0" w:color="auto"/>
        <w:bottom w:val="none" w:sz="0" w:space="0" w:color="auto"/>
        <w:right w:val="none" w:sz="0" w:space="0" w:color="auto"/>
      </w:divBdr>
    </w:div>
    <w:div w:id="493491776">
      <w:bodyDiv w:val="1"/>
      <w:marLeft w:val="0"/>
      <w:marRight w:val="0"/>
      <w:marTop w:val="0"/>
      <w:marBottom w:val="0"/>
      <w:divBdr>
        <w:top w:val="none" w:sz="0" w:space="0" w:color="auto"/>
        <w:left w:val="none" w:sz="0" w:space="0" w:color="auto"/>
        <w:bottom w:val="none" w:sz="0" w:space="0" w:color="auto"/>
        <w:right w:val="none" w:sz="0" w:space="0" w:color="auto"/>
      </w:divBdr>
    </w:div>
    <w:div w:id="504707844">
      <w:bodyDiv w:val="1"/>
      <w:marLeft w:val="0"/>
      <w:marRight w:val="0"/>
      <w:marTop w:val="0"/>
      <w:marBottom w:val="0"/>
      <w:divBdr>
        <w:top w:val="none" w:sz="0" w:space="0" w:color="auto"/>
        <w:left w:val="none" w:sz="0" w:space="0" w:color="auto"/>
        <w:bottom w:val="none" w:sz="0" w:space="0" w:color="auto"/>
        <w:right w:val="none" w:sz="0" w:space="0" w:color="auto"/>
      </w:divBdr>
    </w:div>
    <w:div w:id="515972009">
      <w:bodyDiv w:val="1"/>
      <w:marLeft w:val="0"/>
      <w:marRight w:val="0"/>
      <w:marTop w:val="0"/>
      <w:marBottom w:val="0"/>
      <w:divBdr>
        <w:top w:val="none" w:sz="0" w:space="0" w:color="auto"/>
        <w:left w:val="none" w:sz="0" w:space="0" w:color="auto"/>
        <w:bottom w:val="none" w:sz="0" w:space="0" w:color="auto"/>
        <w:right w:val="none" w:sz="0" w:space="0" w:color="auto"/>
      </w:divBdr>
    </w:div>
    <w:div w:id="522286987">
      <w:bodyDiv w:val="1"/>
      <w:marLeft w:val="0"/>
      <w:marRight w:val="0"/>
      <w:marTop w:val="0"/>
      <w:marBottom w:val="0"/>
      <w:divBdr>
        <w:top w:val="none" w:sz="0" w:space="0" w:color="auto"/>
        <w:left w:val="none" w:sz="0" w:space="0" w:color="auto"/>
        <w:bottom w:val="none" w:sz="0" w:space="0" w:color="auto"/>
        <w:right w:val="none" w:sz="0" w:space="0" w:color="auto"/>
      </w:divBdr>
    </w:div>
    <w:div w:id="526144744">
      <w:bodyDiv w:val="1"/>
      <w:marLeft w:val="0"/>
      <w:marRight w:val="0"/>
      <w:marTop w:val="0"/>
      <w:marBottom w:val="0"/>
      <w:divBdr>
        <w:top w:val="none" w:sz="0" w:space="0" w:color="auto"/>
        <w:left w:val="none" w:sz="0" w:space="0" w:color="auto"/>
        <w:bottom w:val="none" w:sz="0" w:space="0" w:color="auto"/>
        <w:right w:val="none" w:sz="0" w:space="0" w:color="auto"/>
      </w:divBdr>
    </w:div>
    <w:div w:id="556741795">
      <w:bodyDiv w:val="1"/>
      <w:marLeft w:val="0"/>
      <w:marRight w:val="0"/>
      <w:marTop w:val="0"/>
      <w:marBottom w:val="0"/>
      <w:divBdr>
        <w:top w:val="none" w:sz="0" w:space="0" w:color="auto"/>
        <w:left w:val="none" w:sz="0" w:space="0" w:color="auto"/>
        <w:bottom w:val="none" w:sz="0" w:space="0" w:color="auto"/>
        <w:right w:val="none" w:sz="0" w:space="0" w:color="auto"/>
      </w:divBdr>
    </w:div>
    <w:div w:id="561872790">
      <w:bodyDiv w:val="1"/>
      <w:marLeft w:val="0"/>
      <w:marRight w:val="0"/>
      <w:marTop w:val="0"/>
      <w:marBottom w:val="0"/>
      <w:divBdr>
        <w:top w:val="none" w:sz="0" w:space="0" w:color="auto"/>
        <w:left w:val="none" w:sz="0" w:space="0" w:color="auto"/>
        <w:bottom w:val="none" w:sz="0" w:space="0" w:color="auto"/>
        <w:right w:val="none" w:sz="0" w:space="0" w:color="auto"/>
      </w:divBdr>
    </w:div>
    <w:div w:id="568883079">
      <w:bodyDiv w:val="1"/>
      <w:marLeft w:val="0"/>
      <w:marRight w:val="0"/>
      <w:marTop w:val="0"/>
      <w:marBottom w:val="0"/>
      <w:divBdr>
        <w:top w:val="none" w:sz="0" w:space="0" w:color="auto"/>
        <w:left w:val="none" w:sz="0" w:space="0" w:color="auto"/>
        <w:bottom w:val="none" w:sz="0" w:space="0" w:color="auto"/>
        <w:right w:val="none" w:sz="0" w:space="0" w:color="auto"/>
      </w:divBdr>
    </w:div>
    <w:div w:id="595594935">
      <w:bodyDiv w:val="1"/>
      <w:marLeft w:val="0"/>
      <w:marRight w:val="0"/>
      <w:marTop w:val="0"/>
      <w:marBottom w:val="0"/>
      <w:divBdr>
        <w:top w:val="none" w:sz="0" w:space="0" w:color="auto"/>
        <w:left w:val="none" w:sz="0" w:space="0" w:color="auto"/>
        <w:bottom w:val="none" w:sz="0" w:space="0" w:color="auto"/>
        <w:right w:val="none" w:sz="0" w:space="0" w:color="auto"/>
      </w:divBdr>
    </w:div>
    <w:div w:id="615402930">
      <w:bodyDiv w:val="1"/>
      <w:marLeft w:val="0"/>
      <w:marRight w:val="0"/>
      <w:marTop w:val="0"/>
      <w:marBottom w:val="0"/>
      <w:divBdr>
        <w:top w:val="none" w:sz="0" w:space="0" w:color="auto"/>
        <w:left w:val="none" w:sz="0" w:space="0" w:color="auto"/>
        <w:bottom w:val="none" w:sz="0" w:space="0" w:color="auto"/>
        <w:right w:val="none" w:sz="0" w:space="0" w:color="auto"/>
      </w:divBdr>
    </w:div>
    <w:div w:id="615479893">
      <w:bodyDiv w:val="1"/>
      <w:marLeft w:val="0"/>
      <w:marRight w:val="0"/>
      <w:marTop w:val="0"/>
      <w:marBottom w:val="0"/>
      <w:divBdr>
        <w:top w:val="none" w:sz="0" w:space="0" w:color="auto"/>
        <w:left w:val="none" w:sz="0" w:space="0" w:color="auto"/>
        <w:bottom w:val="none" w:sz="0" w:space="0" w:color="auto"/>
        <w:right w:val="none" w:sz="0" w:space="0" w:color="auto"/>
      </w:divBdr>
    </w:div>
    <w:div w:id="649024452">
      <w:bodyDiv w:val="1"/>
      <w:marLeft w:val="0"/>
      <w:marRight w:val="0"/>
      <w:marTop w:val="0"/>
      <w:marBottom w:val="0"/>
      <w:divBdr>
        <w:top w:val="none" w:sz="0" w:space="0" w:color="auto"/>
        <w:left w:val="none" w:sz="0" w:space="0" w:color="auto"/>
        <w:bottom w:val="none" w:sz="0" w:space="0" w:color="auto"/>
        <w:right w:val="none" w:sz="0" w:space="0" w:color="auto"/>
      </w:divBdr>
    </w:div>
    <w:div w:id="657030220">
      <w:bodyDiv w:val="1"/>
      <w:marLeft w:val="0"/>
      <w:marRight w:val="0"/>
      <w:marTop w:val="0"/>
      <w:marBottom w:val="0"/>
      <w:divBdr>
        <w:top w:val="none" w:sz="0" w:space="0" w:color="auto"/>
        <w:left w:val="none" w:sz="0" w:space="0" w:color="auto"/>
        <w:bottom w:val="none" w:sz="0" w:space="0" w:color="auto"/>
        <w:right w:val="none" w:sz="0" w:space="0" w:color="auto"/>
      </w:divBdr>
    </w:div>
    <w:div w:id="658309687">
      <w:bodyDiv w:val="1"/>
      <w:marLeft w:val="0"/>
      <w:marRight w:val="0"/>
      <w:marTop w:val="0"/>
      <w:marBottom w:val="0"/>
      <w:divBdr>
        <w:top w:val="none" w:sz="0" w:space="0" w:color="auto"/>
        <w:left w:val="none" w:sz="0" w:space="0" w:color="auto"/>
        <w:bottom w:val="none" w:sz="0" w:space="0" w:color="auto"/>
        <w:right w:val="none" w:sz="0" w:space="0" w:color="auto"/>
      </w:divBdr>
    </w:div>
    <w:div w:id="680591743">
      <w:bodyDiv w:val="1"/>
      <w:marLeft w:val="0"/>
      <w:marRight w:val="0"/>
      <w:marTop w:val="0"/>
      <w:marBottom w:val="0"/>
      <w:divBdr>
        <w:top w:val="none" w:sz="0" w:space="0" w:color="auto"/>
        <w:left w:val="none" w:sz="0" w:space="0" w:color="auto"/>
        <w:bottom w:val="none" w:sz="0" w:space="0" w:color="auto"/>
        <w:right w:val="none" w:sz="0" w:space="0" w:color="auto"/>
      </w:divBdr>
      <w:divsChild>
        <w:div w:id="4791525">
          <w:marLeft w:val="0"/>
          <w:marRight w:val="0"/>
          <w:marTop w:val="0"/>
          <w:marBottom w:val="0"/>
          <w:divBdr>
            <w:top w:val="none" w:sz="0" w:space="0" w:color="auto"/>
            <w:left w:val="none" w:sz="0" w:space="0" w:color="auto"/>
            <w:bottom w:val="none" w:sz="0" w:space="0" w:color="auto"/>
            <w:right w:val="none" w:sz="0" w:space="0" w:color="auto"/>
          </w:divBdr>
          <w:divsChild>
            <w:div w:id="1393499822">
              <w:marLeft w:val="0"/>
              <w:marRight w:val="0"/>
              <w:marTop w:val="0"/>
              <w:marBottom w:val="0"/>
              <w:divBdr>
                <w:top w:val="none" w:sz="0" w:space="0" w:color="auto"/>
                <w:left w:val="none" w:sz="0" w:space="0" w:color="auto"/>
                <w:bottom w:val="none" w:sz="0" w:space="0" w:color="auto"/>
                <w:right w:val="none" w:sz="0" w:space="0" w:color="auto"/>
              </w:divBdr>
              <w:divsChild>
                <w:div w:id="578177114">
                  <w:marLeft w:val="0"/>
                  <w:marRight w:val="0"/>
                  <w:marTop w:val="0"/>
                  <w:marBottom w:val="0"/>
                  <w:divBdr>
                    <w:top w:val="none" w:sz="0" w:space="0" w:color="auto"/>
                    <w:left w:val="none" w:sz="0" w:space="0" w:color="auto"/>
                    <w:bottom w:val="none" w:sz="0" w:space="0" w:color="auto"/>
                    <w:right w:val="none" w:sz="0" w:space="0" w:color="auto"/>
                  </w:divBdr>
                  <w:divsChild>
                    <w:div w:id="182859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243871">
          <w:marLeft w:val="0"/>
          <w:marRight w:val="0"/>
          <w:marTop w:val="0"/>
          <w:marBottom w:val="0"/>
          <w:divBdr>
            <w:top w:val="none" w:sz="0" w:space="0" w:color="auto"/>
            <w:left w:val="none" w:sz="0" w:space="0" w:color="auto"/>
            <w:bottom w:val="none" w:sz="0" w:space="0" w:color="auto"/>
            <w:right w:val="none" w:sz="0" w:space="0" w:color="auto"/>
          </w:divBdr>
          <w:divsChild>
            <w:div w:id="1558392220">
              <w:marLeft w:val="-360"/>
              <w:marRight w:val="-360"/>
              <w:marTop w:val="0"/>
              <w:marBottom w:val="0"/>
              <w:divBdr>
                <w:top w:val="none" w:sz="0" w:space="0" w:color="auto"/>
                <w:left w:val="none" w:sz="0" w:space="0" w:color="auto"/>
                <w:bottom w:val="none" w:sz="0" w:space="0" w:color="auto"/>
                <w:right w:val="none" w:sz="0" w:space="0" w:color="auto"/>
              </w:divBdr>
              <w:divsChild>
                <w:div w:id="775759914">
                  <w:marLeft w:val="0"/>
                  <w:marRight w:val="0"/>
                  <w:marTop w:val="0"/>
                  <w:marBottom w:val="0"/>
                  <w:divBdr>
                    <w:top w:val="none" w:sz="0" w:space="0" w:color="auto"/>
                    <w:left w:val="none" w:sz="0" w:space="0" w:color="auto"/>
                    <w:bottom w:val="none" w:sz="0" w:space="0" w:color="auto"/>
                    <w:right w:val="none" w:sz="0" w:space="0" w:color="auto"/>
                  </w:divBdr>
                  <w:divsChild>
                    <w:div w:id="29310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621176">
      <w:bodyDiv w:val="1"/>
      <w:marLeft w:val="0"/>
      <w:marRight w:val="0"/>
      <w:marTop w:val="0"/>
      <w:marBottom w:val="0"/>
      <w:divBdr>
        <w:top w:val="none" w:sz="0" w:space="0" w:color="auto"/>
        <w:left w:val="none" w:sz="0" w:space="0" w:color="auto"/>
        <w:bottom w:val="none" w:sz="0" w:space="0" w:color="auto"/>
        <w:right w:val="none" w:sz="0" w:space="0" w:color="auto"/>
      </w:divBdr>
    </w:div>
    <w:div w:id="731078437">
      <w:bodyDiv w:val="1"/>
      <w:marLeft w:val="0"/>
      <w:marRight w:val="0"/>
      <w:marTop w:val="0"/>
      <w:marBottom w:val="0"/>
      <w:divBdr>
        <w:top w:val="none" w:sz="0" w:space="0" w:color="auto"/>
        <w:left w:val="none" w:sz="0" w:space="0" w:color="auto"/>
        <w:bottom w:val="none" w:sz="0" w:space="0" w:color="auto"/>
        <w:right w:val="none" w:sz="0" w:space="0" w:color="auto"/>
      </w:divBdr>
    </w:div>
    <w:div w:id="736316369">
      <w:bodyDiv w:val="1"/>
      <w:marLeft w:val="0"/>
      <w:marRight w:val="0"/>
      <w:marTop w:val="0"/>
      <w:marBottom w:val="0"/>
      <w:divBdr>
        <w:top w:val="none" w:sz="0" w:space="0" w:color="auto"/>
        <w:left w:val="none" w:sz="0" w:space="0" w:color="auto"/>
        <w:bottom w:val="none" w:sz="0" w:space="0" w:color="auto"/>
        <w:right w:val="none" w:sz="0" w:space="0" w:color="auto"/>
      </w:divBdr>
    </w:div>
    <w:div w:id="746877956">
      <w:bodyDiv w:val="1"/>
      <w:marLeft w:val="0"/>
      <w:marRight w:val="0"/>
      <w:marTop w:val="0"/>
      <w:marBottom w:val="0"/>
      <w:divBdr>
        <w:top w:val="none" w:sz="0" w:space="0" w:color="auto"/>
        <w:left w:val="none" w:sz="0" w:space="0" w:color="auto"/>
        <w:bottom w:val="none" w:sz="0" w:space="0" w:color="auto"/>
        <w:right w:val="none" w:sz="0" w:space="0" w:color="auto"/>
      </w:divBdr>
    </w:div>
    <w:div w:id="748886883">
      <w:bodyDiv w:val="1"/>
      <w:marLeft w:val="0"/>
      <w:marRight w:val="0"/>
      <w:marTop w:val="0"/>
      <w:marBottom w:val="0"/>
      <w:divBdr>
        <w:top w:val="none" w:sz="0" w:space="0" w:color="auto"/>
        <w:left w:val="none" w:sz="0" w:space="0" w:color="auto"/>
        <w:bottom w:val="none" w:sz="0" w:space="0" w:color="auto"/>
        <w:right w:val="none" w:sz="0" w:space="0" w:color="auto"/>
      </w:divBdr>
    </w:div>
    <w:div w:id="756942425">
      <w:bodyDiv w:val="1"/>
      <w:marLeft w:val="0"/>
      <w:marRight w:val="0"/>
      <w:marTop w:val="0"/>
      <w:marBottom w:val="0"/>
      <w:divBdr>
        <w:top w:val="none" w:sz="0" w:space="0" w:color="auto"/>
        <w:left w:val="none" w:sz="0" w:space="0" w:color="auto"/>
        <w:bottom w:val="none" w:sz="0" w:space="0" w:color="auto"/>
        <w:right w:val="none" w:sz="0" w:space="0" w:color="auto"/>
      </w:divBdr>
    </w:div>
    <w:div w:id="763650537">
      <w:bodyDiv w:val="1"/>
      <w:marLeft w:val="0"/>
      <w:marRight w:val="0"/>
      <w:marTop w:val="0"/>
      <w:marBottom w:val="0"/>
      <w:divBdr>
        <w:top w:val="none" w:sz="0" w:space="0" w:color="auto"/>
        <w:left w:val="none" w:sz="0" w:space="0" w:color="auto"/>
        <w:bottom w:val="none" w:sz="0" w:space="0" w:color="auto"/>
        <w:right w:val="none" w:sz="0" w:space="0" w:color="auto"/>
      </w:divBdr>
    </w:div>
    <w:div w:id="797067406">
      <w:bodyDiv w:val="1"/>
      <w:marLeft w:val="0"/>
      <w:marRight w:val="0"/>
      <w:marTop w:val="0"/>
      <w:marBottom w:val="0"/>
      <w:divBdr>
        <w:top w:val="none" w:sz="0" w:space="0" w:color="auto"/>
        <w:left w:val="none" w:sz="0" w:space="0" w:color="auto"/>
        <w:bottom w:val="none" w:sz="0" w:space="0" w:color="auto"/>
        <w:right w:val="none" w:sz="0" w:space="0" w:color="auto"/>
      </w:divBdr>
    </w:div>
    <w:div w:id="798451876">
      <w:bodyDiv w:val="1"/>
      <w:marLeft w:val="0"/>
      <w:marRight w:val="0"/>
      <w:marTop w:val="0"/>
      <w:marBottom w:val="0"/>
      <w:divBdr>
        <w:top w:val="none" w:sz="0" w:space="0" w:color="auto"/>
        <w:left w:val="none" w:sz="0" w:space="0" w:color="auto"/>
        <w:bottom w:val="none" w:sz="0" w:space="0" w:color="auto"/>
        <w:right w:val="none" w:sz="0" w:space="0" w:color="auto"/>
      </w:divBdr>
    </w:div>
    <w:div w:id="816921366">
      <w:bodyDiv w:val="1"/>
      <w:marLeft w:val="0"/>
      <w:marRight w:val="0"/>
      <w:marTop w:val="0"/>
      <w:marBottom w:val="0"/>
      <w:divBdr>
        <w:top w:val="none" w:sz="0" w:space="0" w:color="auto"/>
        <w:left w:val="none" w:sz="0" w:space="0" w:color="auto"/>
        <w:bottom w:val="none" w:sz="0" w:space="0" w:color="auto"/>
        <w:right w:val="none" w:sz="0" w:space="0" w:color="auto"/>
      </w:divBdr>
    </w:div>
    <w:div w:id="819493328">
      <w:bodyDiv w:val="1"/>
      <w:marLeft w:val="0"/>
      <w:marRight w:val="0"/>
      <w:marTop w:val="0"/>
      <w:marBottom w:val="0"/>
      <w:divBdr>
        <w:top w:val="none" w:sz="0" w:space="0" w:color="auto"/>
        <w:left w:val="none" w:sz="0" w:space="0" w:color="auto"/>
        <w:bottom w:val="none" w:sz="0" w:space="0" w:color="auto"/>
        <w:right w:val="none" w:sz="0" w:space="0" w:color="auto"/>
      </w:divBdr>
    </w:div>
    <w:div w:id="823668367">
      <w:bodyDiv w:val="1"/>
      <w:marLeft w:val="0"/>
      <w:marRight w:val="0"/>
      <w:marTop w:val="0"/>
      <w:marBottom w:val="0"/>
      <w:divBdr>
        <w:top w:val="none" w:sz="0" w:space="0" w:color="auto"/>
        <w:left w:val="none" w:sz="0" w:space="0" w:color="auto"/>
        <w:bottom w:val="none" w:sz="0" w:space="0" w:color="auto"/>
        <w:right w:val="none" w:sz="0" w:space="0" w:color="auto"/>
      </w:divBdr>
    </w:div>
    <w:div w:id="825821017">
      <w:bodyDiv w:val="1"/>
      <w:marLeft w:val="0"/>
      <w:marRight w:val="0"/>
      <w:marTop w:val="0"/>
      <w:marBottom w:val="0"/>
      <w:divBdr>
        <w:top w:val="none" w:sz="0" w:space="0" w:color="auto"/>
        <w:left w:val="none" w:sz="0" w:space="0" w:color="auto"/>
        <w:bottom w:val="none" w:sz="0" w:space="0" w:color="auto"/>
        <w:right w:val="none" w:sz="0" w:space="0" w:color="auto"/>
      </w:divBdr>
      <w:divsChild>
        <w:div w:id="655957700">
          <w:marLeft w:val="0"/>
          <w:marRight w:val="0"/>
          <w:marTop w:val="600"/>
          <w:marBottom w:val="450"/>
          <w:divBdr>
            <w:top w:val="none" w:sz="0" w:space="0" w:color="auto"/>
            <w:left w:val="none" w:sz="0" w:space="0" w:color="auto"/>
            <w:bottom w:val="single" w:sz="6" w:space="11" w:color="A23001"/>
            <w:right w:val="none" w:sz="0" w:space="0" w:color="auto"/>
          </w:divBdr>
          <w:divsChild>
            <w:div w:id="1100838101">
              <w:marLeft w:val="150"/>
              <w:marRight w:val="0"/>
              <w:marTop w:val="0"/>
              <w:marBottom w:val="0"/>
              <w:divBdr>
                <w:top w:val="none" w:sz="0" w:space="0" w:color="auto"/>
                <w:left w:val="none" w:sz="0" w:space="0" w:color="auto"/>
                <w:bottom w:val="none" w:sz="0" w:space="0" w:color="auto"/>
                <w:right w:val="none" w:sz="0" w:space="0" w:color="auto"/>
              </w:divBdr>
            </w:div>
          </w:divsChild>
        </w:div>
        <w:div w:id="1288002951">
          <w:marLeft w:val="0"/>
          <w:marRight w:val="0"/>
          <w:marTop w:val="150"/>
          <w:marBottom w:val="0"/>
          <w:divBdr>
            <w:top w:val="none" w:sz="0" w:space="0" w:color="auto"/>
            <w:left w:val="none" w:sz="0" w:space="0" w:color="auto"/>
            <w:bottom w:val="none" w:sz="0" w:space="0" w:color="auto"/>
            <w:right w:val="none" w:sz="0" w:space="0" w:color="auto"/>
          </w:divBdr>
          <w:divsChild>
            <w:div w:id="85153492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47602222">
      <w:bodyDiv w:val="1"/>
      <w:marLeft w:val="0"/>
      <w:marRight w:val="0"/>
      <w:marTop w:val="0"/>
      <w:marBottom w:val="0"/>
      <w:divBdr>
        <w:top w:val="none" w:sz="0" w:space="0" w:color="auto"/>
        <w:left w:val="none" w:sz="0" w:space="0" w:color="auto"/>
        <w:bottom w:val="none" w:sz="0" w:space="0" w:color="auto"/>
        <w:right w:val="none" w:sz="0" w:space="0" w:color="auto"/>
      </w:divBdr>
    </w:div>
    <w:div w:id="861288887">
      <w:bodyDiv w:val="1"/>
      <w:marLeft w:val="0"/>
      <w:marRight w:val="0"/>
      <w:marTop w:val="0"/>
      <w:marBottom w:val="0"/>
      <w:divBdr>
        <w:top w:val="none" w:sz="0" w:space="0" w:color="auto"/>
        <w:left w:val="none" w:sz="0" w:space="0" w:color="auto"/>
        <w:bottom w:val="none" w:sz="0" w:space="0" w:color="auto"/>
        <w:right w:val="none" w:sz="0" w:space="0" w:color="auto"/>
      </w:divBdr>
    </w:div>
    <w:div w:id="868571235">
      <w:bodyDiv w:val="1"/>
      <w:marLeft w:val="0"/>
      <w:marRight w:val="0"/>
      <w:marTop w:val="0"/>
      <w:marBottom w:val="0"/>
      <w:divBdr>
        <w:top w:val="none" w:sz="0" w:space="0" w:color="auto"/>
        <w:left w:val="none" w:sz="0" w:space="0" w:color="auto"/>
        <w:bottom w:val="none" w:sz="0" w:space="0" w:color="auto"/>
        <w:right w:val="none" w:sz="0" w:space="0" w:color="auto"/>
      </w:divBdr>
    </w:div>
    <w:div w:id="872577428">
      <w:bodyDiv w:val="1"/>
      <w:marLeft w:val="0"/>
      <w:marRight w:val="0"/>
      <w:marTop w:val="0"/>
      <w:marBottom w:val="0"/>
      <w:divBdr>
        <w:top w:val="none" w:sz="0" w:space="0" w:color="auto"/>
        <w:left w:val="none" w:sz="0" w:space="0" w:color="auto"/>
        <w:bottom w:val="none" w:sz="0" w:space="0" w:color="auto"/>
        <w:right w:val="none" w:sz="0" w:space="0" w:color="auto"/>
      </w:divBdr>
    </w:div>
    <w:div w:id="884101726">
      <w:bodyDiv w:val="1"/>
      <w:marLeft w:val="0"/>
      <w:marRight w:val="0"/>
      <w:marTop w:val="0"/>
      <w:marBottom w:val="0"/>
      <w:divBdr>
        <w:top w:val="none" w:sz="0" w:space="0" w:color="auto"/>
        <w:left w:val="none" w:sz="0" w:space="0" w:color="auto"/>
        <w:bottom w:val="none" w:sz="0" w:space="0" w:color="auto"/>
        <w:right w:val="none" w:sz="0" w:space="0" w:color="auto"/>
      </w:divBdr>
    </w:div>
    <w:div w:id="893855034">
      <w:bodyDiv w:val="1"/>
      <w:marLeft w:val="0"/>
      <w:marRight w:val="0"/>
      <w:marTop w:val="0"/>
      <w:marBottom w:val="0"/>
      <w:divBdr>
        <w:top w:val="none" w:sz="0" w:space="0" w:color="auto"/>
        <w:left w:val="none" w:sz="0" w:space="0" w:color="auto"/>
        <w:bottom w:val="none" w:sz="0" w:space="0" w:color="auto"/>
        <w:right w:val="none" w:sz="0" w:space="0" w:color="auto"/>
      </w:divBdr>
    </w:div>
    <w:div w:id="908270761">
      <w:bodyDiv w:val="1"/>
      <w:marLeft w:val="0"/>
      <w:marRight w:val="0"/>
      <w:marTop w:val="0"/>
      <w:marBottom w:val="0"/>
      <w:divBdr>
        <w:top w:val="none" w:sz="0" w:space="0" w:color="auto"/>
        <w:left w:val="none" w:sz="0" w:space="0" w:color="auto"/>
        <w:bottom w:val="none" w:sz="0" w:space="0" w:color="auto"/>
        <w:right w:val="none" w:sz="0" w:space="0" w:color="auto"/>
      </w:divBdr>
    </w:div>
    <w:div w:id="908345761">
      <w:bodyDiv w:val="1"/>
      <w:marLeft w:val="0"/>
      <w:marRight w:val="0"/>
      <w:marTop w:val="0"/>
      <w:marBottom w:val="0"/>
      <w:divBdr>
        <w:top w:val="none" w:sz="0" w:space="0" w:color="auto"/>
        <w:left w:val="none" w:sz="0" w:space="0" w:color="auto"/>
        <w:bottom w:val="none" w:sz="0" w:space="0" w:color="auto"/>
        <w:right w:val="none" w:sz="0" w:space="0" w:color="auto"/>
      </w:divBdr>
    </w:div>
    <w:div w:id="913658533">
      <w:bodyDiv w:val="1"/>
      <w:marLeft w:val="0"/>
      <w:marRight w:val="0"/>
      <w:marTop w:val="0"/>
      <w:marBottom w:val="0"/>
      <w:divBdr>
        <w:top w:val="none" w:sz="0" w:space="0" w:color="auto"/>
        <w:left w:val="none" w:sz="0" w:space="0" w:color="auto"/>
        <w:bottom w:val="none" w:sz="0" w:space="0" w:color="auto"/>
        <w:right w:val="none" w:sz="0" w:space="0" w:color="auto"/>
      </w:divBdr>
    </w:div>
    <w:div w:id="922110124">
      <w:bodyDiv w:val="1"/>
      <w:marLeft w:val="0"/>
      <w:marRight w:val="0"/>
      <w:marTop w:val="0"/>
      <w:marBottom w:val="0"/>
      <w:divBdr>
        <w:top w:val="none" w:sz="0" w:space="0" w:color="auto"/>
        <w:left w:val="none" w:sz="0" w:space="0" w:color="auto"/>
        <w:bottom w:val="none" w:sz="0" w:space="0" w:color="auto"/>
        <w:right w:val="none" w:sz="0" w:space="0" w:color="auto"/>
      </w:divBdr>
    </w:div>
    <w:div w:id="947742098">
      <w:bodyDiv w:val="1"/>
      <w:marLeft w:val="0"/>
      <w:marRight w:val="0"/>
      <w:marTop w:val="0"/>
      <w:marBottom w:val="0"/>
      <w:divBdr>
        <w:top w:val="none" w:sz="0" w:space="0" w:color="auto"/>
        <w:left w:val="none" w:sz="0" w:space="0" w:color="auto"/>
        <w:bottom w:val="none" w:sz="0" w:space="0" w:color="auto"/>
        <w:right w:val="none" w:sz="0" w:space="0" w:color="auto"/>
      </w:divBdr>
    </w:div>
    <w:div w:id="960497769">
      <w:bodyDiv w:val="1"/>
      <w:marLeft w:val="0"/>
      <w:marRight w:val="0"/>
      <w:marTop w:val="0"/>
      <w:marBottom w:val="0"/>
      <w:divBdr>
        <w:top w:val="none" w:sz="0" w:space="0" w:color="auto"/>
        <w:left w:val="none" w:sz="0" w:space="0" w:color="auto"/>
        <w:bottom w:val="none" w:sz="0" w:space="0" w:color="auto"/>
        <w:right w:val="none" w:sz="0" w:space="0" w:color="auto"/>
      </w:divBdr>
    </w:div>
    <w:div w:id="965619481">
      <w:bodyDiv w:val="1"/>
      <w:marLeft w:val="0"/>
      <w:marRight w:val="0"/>
      <w:marTop w:val="0"/>
      <w:marBottom w:val="0"/>
      <w:divBdr>
        <w:top w:val="none" w:sz="0" w:space="0" w:color="auto"/>
        <w:left w:val="none" w:sz="0" w:space="0" w:color="auto"/>
        <w:bottom w:val="none" w:sz="0" w:space="0" w:color="auto"/>
        <w:right w:val="none" w:sz="0" w:space="0" w:color="auto"/>
      </w:divBdr>
    </w:div>
    <w:div w:id="967590956">
      <w:bodyDiv w:val="1"/>
      <w:marLeft w:val="0"/>
      <w:marRight w:val="0"/>
      <w:marTop w:val="0"/>
      <w:marBottom w:val="0"/>
      <w:divBdr>
        <w:top w:val="none" w:sz="0" w:space="0" w:color="auto"/>
        <w:left w:val="none" w:sz="0" w:space="0" w:color="auto"/>
        <w:bottom w:val="none" w:sz="0" w:space="0" w:color="auto"/>
        <w:right w:val="none" w:sz="0" w:space="0" w:color="auto"/>
      </w:divBdr>
    </w:div>
    <w:div w:id="969087650">
      <w:bodyDiv w:val="1"/>
      <w:marLeft w:val="0"/>
      <w:marRight w:val="0"/>
      <w:marTop w:val="0"/>
      <w:marBottom w:val="0"/>
      <w:divBdr>
        <w:top w:val="none" w:sz="0" w:space="0" w:color="auto"/>
        <w:left w:val="none" w:sz="0" w:space="0" w:color="auto"/>
        <w:bottom w:val="none" w:sz="0" w:space="0" w:color="auto"/>
        <w:right w:val="none" w:sz="0" w:space="0" w:color="auto"/>
      </w:divBdr>
    </w:div>
    <w:div w:id="971792931">
      <w:bodyDiv w:val="1"/>
      <w:marLeft w:val="0"/>
      <w:marRight w:val="0"/>
      <w:marTop w:val="0"/>
      <w:marBottom w:val="0"/>
      <w:divBdr>
        <w:top w:val="none" w:sz="0" w:space="0" w:color="auto"/>
        <w:left w:val="none" w:sz="0" w:space="0" w:color="auto"/>
        <w:bottom w:val="none" w:sz="0" w:space="0" w:color="auto"/>
        <w:right w:val="none" w:sz="0" w:space="0" w:color="auto"/>
      </w:divBdr>
    </w:div>
    <w:div w:id="971903342">
      <w:bodyDiv w:val="1"/>
      <w:marLeft w:val="0"/>
      <w:marRight w:val="0"/>
      <w:marTop w:val="0"/>
      <w:marBottom w:val="0"/>
      <w:divBdr>
        <w:top w:val="none" w:sz="0" w:space="0" w:color="auto"/>
        <w:left w:val="none" w:sz="0" w:space="0" w:color="auto"/>
        <w:bottom w:val="none" w:sz="0" w:space="0" w:color="auto"/>
        <w:right w:val="none" w:sz="0" w:space="0" w:color="auto"/>
      </w:divBdr>
    </w:div>
    <w:div w:id="980622797">
      <w:bodyDiv w:val="1"/>
      <w:marLeft w:val="0"/>
      <w:marRight w:val="0"/>
      <w:marTop w:val="0"/>
      <w:marBottom w:val="0"/>
      <w:divBdr>
        <w:top w:val="none" w:sz="0" w:space="0" w:color="auto"/>
        <w:left w:val="none" w:sz="0" w:space="0" w:color="auto"/>
        <w:bottom w:val="none" w:sz="0" w:space="0" w:color="auto"/>
        <w:right w:val="none" w:sz="0" w:space="0" w:color="auto"/>
      </w:divBdr>
    </w:div>
    <w:div w:id="990980803">
      <w:bodyDiv w:val="1"/>
      <w:marLeft w:val="0"/>
      <w:marRight w:val="0"/>
      <w:marTop w:val="0"/>
      <w:marBottom w:val="0"/>
      <w:divBdr>
        <w:top w:val="none" w:sz="0" w:space="0" w:color="auto"/>
        <w:left w:val="none" w:sz="0" w:space="0" w:color="auto"/>
        <w:bottom w:val="none" w:sz="0" w:space="0" w:color="auto"/>
        <w:right w:val="none" w:sz="0" w:space="0" w:color="auto"/>
      </w:divBdr>
    </w:div>
    <w:div w:id="1025978451">
      <w:bodyDiv w:val="1"/>
      <w:marLeft w:val="0"/>
      <w:marRight w:val="0"/>
      <w:marTop w:val="0"/>
      <w:marBottom w:val="0"/>
      <w:divBdr>
        <w:top w:val="none" w:sz="0" w:space="0" w:color="auto"/>
        <w:left w:val="none" w:sz="0" w:space="0" w:color="auto"/>
        <w:bottom w:val="none" w:sz="0" w:space="0" w:color="auto"/>
        <w:right w:val="none" w:sz="0" w:space="0" w:color="auto"/>
      </w:divBdr>
    </w:div>
    <w:div w:id="1032731988">
      <w:bodyDiv w:val="1"/>
      <w:marLeft w:val="0"/>
      <w:marRight w:val="0"/>
      <w:marTop w:val="0"/>
      <w:marBottom w:val="0"/>
      <w:divBdr>
        <w:top w:val="none" w:sz="0" w:space="0" w:color="auto"/>
        <w:left w:val="none" w:sz="0" w:space="0" w:color="auto"/>
        <w:bottom w:val="none" w:sz="0" w:space="0" w:color="auto"/>
        <w:right w:val="none" w:sz="0" w:space="0" w:color="auto"/>
      </w:divBdr>
    </w:div>
    <w:div w:id="1049067278">
      <w:bodyDiv w:val="1"/>
      <w:marLeft w:val="0"/>
      <w:marRight w:val="0"/>
      <w:marTop w:val="0"/>
      <w:marBottom w:val="0"/>
      <w:divBdr>
        <w:top w:val="none" w:sz="0" w:space="0" w:color="auto"/>
        <w:left w:val="none" w:sz="0" w:space="0" w:color="auto"/>
        <w:bottom w:val="none" w:sz="0" w:space="0" w:color="auto"/>
        <w:right w:val="none" w:sz="0" w:space="0" w:color="auto"/>
      </w:divBdr>
    </w:div>
    <w:div w:id="1057439849">
      <w:bodyDiv w:val="1"/>
      <w:marLeft w:val="0"/>
      <w:marRight w:val="0"/>
      <w:marTop w:val="0"/>
      <w:marBottom w:val="0"/>
      <w:divBdr>
        <w:top w:val="none" w:sz="0" w:space="0" w:color="auto"/>
        <w:left w:val="none" w:sz="0" w:space="0" w:color="auto"/>
        <w:bottom w:val="none" w:sz="0" w:space="0" w:color="auto"/>
        <w:right w:val="none" w:sz="0" w:space="0" w:color="auto"/>
      </w:divBdr>
    </w:div>
    <w:div w:id="1069577354">
      <w:bodyDiv w:val="1"/>
      <w:marLeft w:val="0"/>
      <w:marRight w:val="0"/>
      <w:marTop w:val="0"/>
      <w:marBottom w:val="0"/>
      <w:divBdr>
        <w:top w:val="none" w:sz="0" w:space="0" w:color="auto"/>
        <w:left w:val="none" w:sz="0" w:space="0" w:color="auto"/>
        <w:bottom w:val="none" w:sz="0" w:space="0" w:color="auto"/>
        <w:right w:val="none" w:sz="0" w:space="0" w:color="auto"/>
      </w:divBdr>
    </w:div>
    <w:div w:id="1070661842">
      <w:bodyDiv w:val="1"/>
      <w:marLeft w:val="0"/>
      <w:marRight w:val="0"/>
      <w:marTop w:val="0"/>
      <w:marBottom w:val="0"/>
      <w:divBdr>
        <w:top w:val="none" w:sz="0" w:space="0" w:color="auto"/>
        <w:left w:val="none" w:sz="0" w:space="0" w:color="auto"/>
        <w:bottom w:val="none" w:sz="0" w:space="0" w:color="auto"/>
        <w:right w:val="none" w:sz="0" w:space="0" w:color="auto"/>
      </w:divBdr>
    </w:div>
    <w:div w:id="1070807662">
      <w:bodyDiv w:val="1"/>
      <w:marLeft w:val="0"/>
      <w:marRight w:val="0"/>
      <w:marTop w:val="0"/>
      <w:marBottom w:val="0"/>
      <w:divBdr>
        <w:top w:val="none" w:sz="0" w:space="0" w:color="auto"/>
        <w:left w:val="none" w:sz="0" w:space="0" w:color="auto"/>
        <w:bottom w:val="none" w:sz="0" w:space="0" w:color="auto"/>
        <w:right w:val="none" w:sz="0" w:space="0" w:color="auto"/>
      </w:divBdr>
    </w:div>
    <w:div w:id="1078135403">
      <w:bodyDiv w:val="1"/>
      <w:marLeft w:val="0"/>
      <w:marRight w:val="0"/>
      <w:marTop w:val="0"/>
      <w:marBottom w:val="0"/>
      <w:divBdr>
        <w:top w:val="none" w:sz="0" w:space="0" w:color="auto"/>
        <w:left w:val="none" w:sz="0" w:space="0" w:color="auto"/>
        <w:bottom w:val="none" w:sz="0" w:space="0" w:color="auto"/>
        <w:right w:val="none" w:sz="0" w:space="0" w:color="auto"/>
      </w:divBdr>
    </w:div>
    <w:div w:id="1092436542">
      <w:bodyDiv w:val="1"/>
      <w:marLeft w:val="0"/>
      <w:marRight w:val="0"/>
      <w:marTop w:val="0"/>
      <w:marBottom w:val="0"/>
      <w:divBdr>
        <w:top w:val="none" w:sz="0" w:space="0" w:color="auto"/>
        <w:left w:val="none" w:sz="0" w:space="0" w:color="auto"/>
        <w:bottom w:val="none" w:sz="0" w:space="0" w:color="auto"/>
        <w:right w:val="none" w:sz="0" w:space="0" w:color="auto"/>
      </w:divBdr>
    </w:div>
    <w:div w:id="1103769735">
      <w:bodyDiv w:val="1"/>
      <w:marLeft w:val="0"/>
      <w:marRight w:val="0"/>
      <w:marTop w:val="0"/>
      <w:marBottom w:val="0"/>
      <w:divBdr>
        <w:top w:val="none" w:sz="0" w:space="0" w:color="auto"/>
        <w:left w:val="none" w:sz="0" w:space="0" w:color="auto"/>
        <w:bottom w:val="none" w:sz="0" w:space="0" w:color="auto"/>
        <w:right w:val="none" w:sz="0" w:space="0" w:color="auto"/>
      </w:divBdr>
    </w:div>
    <w:div w:id="1106542122">
      <w:bodyDiv w:val="1"/>
      <w:marLeft w:val="0"/>
      <w:marRight w:val="0"/>
      <w:marTop w:val="0"/>
      <w:marBottom w:val="0"/>
      <w:divBdr>
        <w:top w:val="none" w:sz="0" w:space="0" w:color="auto"/>
        <w:left w:val="none" w:sz="0" w:space="0" w:color="auto"/>
        <w:bottom w:val="none" w:sz="0" w:space="0" w:color="auto"/>
        <w:right w:val="none" w:sz="0" w:space="0" w:color="auto"/>
      </w:divBdr>
    </w:div>
    <w:div w:id="1108502265">
      <w:bodyDiv w:val="1"/>
      <w:marLeft w:val="0"/>
      <w:marRight w:val="0"/>
      <w:marTop w:val="0"/>
      <w:marBottom w:val="0"/>
      <w:divBdr>
        <w:top w:val="none" w:sz="0" w:space="0" w:color="auto"/>
        <w:left w:val="none" w:sz="0" w:space="0" w:color="auto"/>
        <w:bottom w:val="none" w:sz="0" w:space="0" w:color="auto"/>
        <w:right w:val="none" w:sz="0" w:space="0" w:color="auto"/>
      </w:divBdr>
    </w:div>
    <w:div w:id="1129321097">
      <w:bodyDiv w:val="1"/>
      <w:marLeft w:val="0"/>
      <w:marRight w:val="0"/>
      <w:marTop w:val="0"/>
      <w:marBottom w:val="0"/>
      <w:divBdr>
        <w:top w:val="none" w:sz="0" w:space="0" w:color="auto"/>
        <w:left w:val="none" w:sz="0" w:space="0" w:color="auto"/>
        <w:bottom w:val="none" w:sz="0" w:space="0" w:color="auto"/>
        <w:right w:val="none" w:sz="0" w:space="0" w:color="auto"/>
      </w:divBdr>
    </w:div>
    <w:div w:id="1154299834">
      <w:bodyDiv w:val="1"/>
      <w:marLeft w:val="0"/>
      <w:marRight w:val="0"/>
      <w:marTop w:val="0"/>
      <w:marBottom w:val="0"/>
      <w:divBdr>
        <w:top w:val="none" w:sz="0" w:space="0" w:color="auto"/>
        <w:left w:val="none" w:sz="0" w:space="0" w:color="auto"/>
        <w:bottom w:val="none" w:sz="0" w:space="0" w:color="auto"/>
        <w:right w:val="none" w:sz="0" w:space="0" w:color="auto"/>
      </w:divBdr>
    </w:div>
    <w:div w:id="1157501300">
      <w:bodyDiv w:val="1"/>
      <w:marLeft w:val="0"/>
      <w:marRight w:val="0"/>
      <w:marTop w:val="0"/>
      <w:marBottom w:val="0"/>
      <w:divBdr>
        <w:top w:val="none" w:sz="0" w:space="0" w:color="auto"/>
        <w:left w:val="none" w:sz="0" w:space="0" w:color="auto"/>
        <w:bottom w:val="none" w:sz="0" w:space="0" w:color="auto"/>
        <w:right w:val="none" w:sz="0" w:space="0" w:color="auto"/>
      </w:divBdr>
    </w:div>
    <w:div w:id="1160733507">
      <w:bodyDiv w:val="1"/>
      <w:marLeft w:val="0"/>
      <w:marRight w:val="0"/>
      <w:marTop w:val="0"/>
      <w:marBottom w:val="0"/>
      <w:divBdr>
        <w:top w:val="none" w:sz="0" w:space="0" w:color="auto"/>
        <w:left w:val="none" w:sz="0" w:space="0" w:color="auto"/>
        <w:bottom w:val="none" w:sz="0" w:space="0" w:color="auto"/>
        <w:right w:val="none" w:sz="0" w:space="0" w:color="auto"/>
      </w:divBdr>
    </w:div>
    <w:div w:id="1170759638">
      <w:bodyDiv w:val="1"/>
      <w:marLeft w:val="0"/>
      <w:marRight w:val="0"/>
      <w:marTop w:val="0"/>
      <w:marBottom w:val="0"/>
      <w:divBdr>
        <w:top w:val="none" w:sz="0" w:space="0" w:color="auto"/>
        <w:left w:val="none" w:sz="0" w:space="0" w:color="auto"/>
        <w:bottom w:val="none" w:sz="0" w:space="0" w:color="auto"/>
        <w:right w:val="none" w:sz="0" w:space="0" w:color="auto"/>
      </w:divBdr>
    </w:div>
    <w:div w:id="1174344151">
      <w:bodyDiv w:val="1"/>
      <w:marLeft w:val="0"/>
      <w:marRight w:val="0"/>
      <w:marTop w:val="0"/>
      <w:marBottom w:val="0"/>
      <w:divBdr>
        <w:top w:val="none" w:sz="0" w:space="0" w:color="auto"/>
        <w:left w:val="none" w:sz="0" w:space="0" w:color="auto"/>
        <w:bottom w:val="none" w:sz="0" w:space="0" w:color="auto"/>
        <w:right w:val="none" w:sz="0" w:space="0" w:color="auto"/>
      </w:divBdr>
    </w:div>
    <w:div w:id="1183281012">
      <w:bodyDiv w:val="1"/>
      <w:marLeft w:val="0"/>
      <w:marRight w:val="0"/>
      <w:marTop w:val="0"/>
      <w:marBottom w:val="0"/>
      <w:divBdr>
        <w:top w:val="none" w:sz="0" w:space="0" w:color="auto"/>
        <w:left w:val="none" w:sz="0" w:space="0" w:color="auto"/>
        <w:bottom w:val="none" w:sz="0" w:space="0" w:color="auto"/>
        <w:right w:val="none" w:sz="0" w:space="0" w:color="auto"/>
      </w:divBdr>
    </w:div>
    <w:div w:id="1192495028">
      <w:bodyDiv w:val="1"/>
      <w:marLeft w:val="0"/>
      <w:marRight w:val="0"/>
      <w:marTop w:val="0"/>
      <w:marBottom w:val="0"/>
      <w:divBdr>
        <w:top w:val="none" w:sz="0" w:space="0" w:color="auto"/>
        <w:left w:val="none" w:sz="0" w:space="0" w:color="auto"/>
        <w:bottom w:val="none" w:sz="0" w:space="0" w:color="auto"/>
        <w:right w:val="none" w:sz="0" w:space="0" w:color="auto"/>
      </w:divBdr>
    </w:div>
    <w:div w:id="1202015222">
      <w:bodyDiv w:val="1"/>
      <w:marLeft w:val="0"/>
      <w:marRight w:val="0"/>
      <w:marTop w:val="0"/>
      <w:marBottom w:val="0"/>
      <w:divBdr>
        <w:top w:val="none" w:sz="0" w:space="0" w:color="auto"/>
        <w:left w:val="none" w:sz="0" w:space="0" w:color="auto"/>
        <w:bottom w:val="none" w:sz="0" w:space="0" w:color="auto"/>
        <w:right w:val="none" w:sz="0" w:space="0" w:color="auto"/>
      </w:divBdr>
    </w:div>
    <w:div w:id="1207990787">
      <w:bodyDiv w:val="1"/>
      <w:marLeft w:val="0"/>
      <w:marRight w:val="0"/>
      <w:marTop w:val="0"/>
      <w:marBottom w:val="0"/>
      <w:divBdr>
        <w:top w:val="none" w:sz="0" w:space="0" w:color="auto"/>
        <w:left w:val="none" w:sz="0" w:space="0" w:color="auto"/>
        <w:bottom w:val="none" w:sz="0" w:space="0" w:color="auto"/>
        <w:right w:val="none" w:sz="0" w:space="0" w:color="auto"/>
      </w:divBdr>
    </w:div>
    <w:div w:id="1261109358">
      <w:bodyDiv w:val="1"/>
      <w:marLeft w:val="0"/>
      <w:marRight w:val="0"/>
      <w:marTop w:val="0"/>
      <w:marBottom w:val="0"/>
      <w:divBdr>
        <w:top w:val="none" w:sz="0" w:space="0" w:color="auto"/>
        <w:left w:val="none" w:sz="0" w:space="0" w:color="auto"/>
        <w:bottom w:val="none" w:sz="0" w:space="0" w:color="auto"/>
        <w:right w:val="none" w:sz="0" w:space="0" w:color="auto"/>
      </w:divBdr>
    </w:div>
    <w:div w:id="1261644749">
      <w:bodyDiv w:val="1"/>
      <w:marLeft w:val="0"/>
      <w:marRight w:val="0"/>
      <w:marTop w:val="0"/>
      <w:marBottom w:val="0"/>
      <w:divBdr>
        <w:top w:val="none" w:sz="0" w:space="0" w:color="auto"/>
        <w:left w:val="none" w:sz="0" w:space="0" w:color="auto"/>
        <w:bottom w:val="none" w:sz="0" w:space="0" w:color="auto"/>
        <w:right w:val="none" w:sz="0" w:space="0" w:color="auto"/>
      </w:divBdr>
    </w:div>
    <w:div w:id="1351637449">
      <w:bodyDiv w:val="1"/>
      <w:marLeft w:val="0"/>
      <w:marRight w:val="0"/>
      <w:marTop w:val="0"/>
      <w:marBottom w:val="0"/>
      <w:divBdr>
        <w:top w:val="none" w:sz="0" w:space="0" w:color="auto"/>
        <w:left w:val="none" w:sz="0" w:space="0" w:color="auto"/>
        <w:bottom w:val="none" w:sz="0" w:space="0" w:color="auto"/>
        <w:right w:val="none" w:sz="0" w:space="0" w:color="auto"/>
      </w:divBdr>
    </w:div>
    <w:div w:id="1358046432">
      <w:bodyDiv w:val="1"/>
      <w:marLeft w:val="0"/>
      <w:marRight w:val="0"/>
      <w:marTop w:val="0"/>
      <w:marBottom w:val="0"/>
      <w:divBdr>
        <w:top w:val="none" w:sz="0" w:space="0" w:color="auto"/>
        <w:left w:val="none" w:sz="0" w:space="0" w:color="auto"/>
        <w:bottom w:val="none" w:sz="0" w:space="0" w:color="auto"/>
        <w:right w:val="none" w:sz="0" w:space="0" w:color="auto"/>
      </w:divBdr>
    </w:div>
    <w:div w:id="1368872956">
      <w:bodyDiv w:val="1"/>
      <w:marLeft w:val="0"/>
      <w:marRight w:val="0"/>
      <w:marTop w:val="0"/>
      <w:marBottom w:val="0"/>
      <w:divBdr>
        <w:top w:val="none" w:sz="0" w:space="0" w:color="auto"/>
        <w:left w:val="none" w:sz="0" w:space="0" w:color="auto"/>
        <w:bottom w:val="none" w:sz="0" w:space="0" w:color="auto"/>
        <w:right w:val="none" w:sz="0" w:space="0" w:color="auto"/>
      </w:divBdr>
    </w:div>
    <w:div w:id="1374428320">
      <w:bodyDiv w:val="1"/>
      <w:marLeft w:val="0"/>
      <w:marRight w:val="0"/>
      <w:marTop w:val="0"/>
      <w:marBottom w:val="0"/>
      <w:divBdr>
        <w:top w:val="none" w:sz="0" w:space="0" w:color="auto"/>
        <w:left w:val="none" w:sz="0" w:space="0" w:color="auto"/>
        <w:bottom w:val="none" w:sz="0" w:space="0" w:color="auto"/>
        <w:right w:val="none" w:sz="0" w:space="0" w:color="auto"/>
      </w:divBdr>
    </w:div>
    <w:div w:id="1382098569">
      <w:bodyDiv w:val="1"/>
      <w:marLeft w:val="0"/>
      <w:marRight w:val="0"/>
      <w:marTop w:val="0"/>
      <w:marBottom w:val="0"/>
      <w:divBdr>
        <w:top w:val="none" w:sz="0" w:space="0" w:color="auto"/>
        <w:left w:val="none" w:sz="0" w:space="0" w:color="auto"/>
        <w:bottom w:val="none" w:sz="0" w:space="0" w:color="auto"/>
        <w:right w:val="none" w:sz="0" w:space="0" w:color="auto"/>
      </w:divBdr>
    </w:div>
    <w:div w:id="1382438569">
      <w:bodyDiv w:val="1"/>
      <w:marLeft w:val="0"/>
      <w:marRight w:val="0"/>
      <w:marTop w:val="0"/>
      <w:marBottom w:val="0"/>
      <w:divBdr>
        <w:top w:val="none" w:sz="0" w:space="0" w:color="auto"/>
        <w:left w:val="none" w:sz="0" w:space="0" w:color="auto"/>
        <w:bottom w:val="none" w:sz="0" w:space="0" w:color="auto"/>
        <w:right w:val="none" w:sz="0" w:space="0" w:color="auto"/>
      </w:divBdr>
    </w:div>
    <w:div w:id="1386026738">
      <w:bodyDiv w:val="1"/>
      <w:marLeft w:val="0"/>
      <w:marRight w:val="0"/>
      <w:marTop w:val="0"/>
      <w:marBottom w:val="0"/>
      <w:divBdr>
        <w:top w:val="none" w:sz="0" w:space="0" w:color="auto"/>
        <w:left w:val="none" w:sz="0" w:space="0" w:color="auto"/>
        <w:bottom w:val="none" w:sz="0" w:space="0" w:color="auto"/>
        <w:right w:val="none" w:sz="0" w:space="0" w:color="auto"/>
      </w:divBdr>
    </w:div>
    <w:div w:id="1391225549">
      <w:bodyDiv w:val="1"/>
      <w:marLeft w:val="0"/>
      <w:marRight w:val="0"/>
      <w:marTop w:val="0"/>
      <w:marBottom w:val="0"/>
      <w:divBdr>
        <w:top w:val="none" w:sz="0" w:space="0" w:color="auto"/>
        <w:left w:val="none" w:sz="0" w:space="0" w:color="auto"/>
        <w:bottom w:val="none" w:sz="0" w:space="0" w:color="auto"/>
        <w:right w:val="none" w:sz="0" w:space="0" w:color="auto"/>
      </w:divBdr>
    </w:div>
    <w:div w:id="1401171341">
      <w:bodyDiv w:val="1"/>
      <w:marLeft w:val="0"/>
      <w:marRight w:val="0"/>
      <w:marTop w:val="0"/>
      <w:marBottom w:val="0"/>
      <w:divBdr>
        <w:top w:val="none" w:sz="0" w:space="0" w:color="auto"/>
        <w:left w:val="none" w:sz="0" w:space="0" w:color="auto"/>
        <w:bottom w:val="none" w:sz="0" w:space="0" w:color="auto"/>
        <w:right w:val="none" w:sz="0" w:space="0" w:color="auto"/>
      </w:divBdr>
    </w:div>
    <w:div w:id="1416828025">
      <w:bodyDiv w:val="1"/>
      <w:marLeft w:val="0"/>
      <w:marRight w:val="0"/>
      <w:marTop w:val="0"/>
      <w:marBottom w:val="0"/>
      <w:divBdr>
        <w:top w:val="none" w:sz="0" w:space="0" w:color="auto"/>
        <w:left w:val="none" w:sz="0" w:space="0" w:color="auto"/>
        <w:bottom w:val="none" w:sz="0" w:space="0" w:color="auto"/>
        <w:right w:val="none" w:sz="0" w:space="0" w:color="auto"/>
      </w:divBdr>
    </w:div>
    <w:div w:id="1425882390">
      <w:bodyDiv w:val="1"/>
      <w:marLeft w:val="0"/>
      <w:marRight w:val="0"/>
      <w:marTop w:val="0"/>
      <w:marBottom w:val="0"/>
      <w:divBdr>
        <w:top w:val="none" w:sz="0" w:space="0" w:color="auto"/>
        <w:left w:val="none" w:sz="0" w:space="0" w:color="auto"/>
        <w:bottom w:val="none" w:sz="0" w:space="0" w:color="auto"/>
        <w:right w:val="none" w:sz="0" w:space="0" w:color="auto"/>
      </w:divBdr>
    </w:div>
    <w:div w:id="1426656182">
      <w:bodyDiv w:val="1"/>
      <w:marLeft w:val="0"/>
      <w:marRight w:val="0"/>
      <w:marTop w:val="0"/>
      <w:marBottom w:val="0"/>
      <w:divBdr>
        <w:top w:val="none" w:sz="0" w:space="0" w:color="auto"/>
        <w:left w:val="none" w:sz="0" w:space="0" w:color="auto"/>
        <w:bottom w:val="none" w:sz="0" w:space="0" w:color="auto"/>
        <w:right w:val="none" w:sz="0" w:space="0" w:color="auto"/>
      </w:divBdr>
      <w:divsChild>
        <w:div w:id="120614889">
          <w:marLeft w:val="0"/>
          <w:marRight w:val="0"/>
          <w:marTop w:val="0"/>
          <w:marBottom w:val="0"/>
          <w:divBdr>
            <w:top w:val="none" w:sz="0" w:space="0" w:color="auto"/>
            <w:left w:val="none" w:sz="0" w:space="0" w:color="auto"/>
            <w:bottom w:val="none" w:sz="0" w:space="0" w:color="auto"/>
            <w:right w:val="none" w:sz="0" w:space="0" w:color="auto"/>
          </w:divBdr>
          <w:divsChild>
            <w:div w:id="2057584091">
              <w:marLeft w:val="0"/>
              <w:marRight w:val="0"/>
              <w:marTop w:val="0"/>
              <w:marBottom w:val="0"/>
              <w:divBdr>
                <w:top w:val="none" w:sz="0" w:space="0" w:color="auto"/>
                <w:left w:val="none" w:sz="0" w:space="0" w:color="auto"/>
                <w:bottom w:val="none" w:sz="0" w:space="0" w:color="auto"/>
                <w:right w:val="none" w:sz="0" w:space="0" w:color="auto"/>
              </w:divBdr>
              <w:divsChild>
                <w:div w:id="1219248476">
                  <w:marLeft w:val="0"/>
                  <w:marRight w:val="0"/>
                  <w:marTop w:val="0"/>
                  <w:marBottom w:val="0"/>
                  <w:divBdr>
                    <w:top w:val="none" w:sz="0" w:space="0" w:color="auto"/>
                    <w:left w:val="none" w:sz="0" w:space="0" w:color="auto"/>
                    <w:bottom w:val="none" w:sz="0" w:space="0" w:color="auto"/>
                    <w:right w:val="none" w:sz="0" w:space="0" w:color="auto"/>
                  </w:divBdr>
                  <w:divsChild>
                    <w:div w:id="5153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288561">
          <w:marLeft w:val="0"/>
          <w:marRight w:val="0"/>
          <w:marTop w:val="0"/>
          <w:marBottom w:val="0"/>
          <w:divBdr>
            <w:top w:val="none" w:sz="0" w:space="0" w:color="auto"/>
            <w:left w:val="none" w:sz="0" w:space="0" w:color="auto"/>
            <w:bottom w:val="none" w:sz="0" w:space="0" w:color="auto"/>
            <w:right w:val="none" w:sz="0" w:space="0" w:color="auto"/>
          </w:divBdr>
          <w:divsChild>
            <w:div w:id="1172722485">
              <w:marLeft w:val="-360"/>
              <w:marRight w:val="-360"/>
              <w:marTop w:val="0"/>
              <w:marBottom w:val="0"/>
              <w:divBdr>
                <w:top w:val="none" w:sz="0" w:space="0" w:color="auto"/>
                <w:left w:val="none" w:sz="0" w:space="0" w:color="auto"/>
                <w:bottom w:val="none" w:sz="0" w:space="0" w:color="auto"/>
                <w:right w:val="none" w:sz="0" w:space="0" w:color="auto"/>
              </w:divBdr>
              <w:divsChild>
                <w:div w:id="194929823">
                  <w:marLeft w:val="0"/>
                  <w:marRight w:val="0"/>
                  <w:marTop w:val="0"/>
                  <w:marBottom w:val="0"/>
                  <w:divBdr>
                    <w:top w:val="none" w:sz="0" w:space="0" w:color="auto"/>
                    <w:left w:val="none" w:sz="0" w:space="0" w:color="auto"/>
                    <w:bottom w:val="none" w:sz="0" w:space="0" w:color="auto"/>
                    <w:right w:val="none" w:sz="0" w:space="0" w:color="auto"/>
                  </w:divBdr>
                  <w:divsChild>
                    <w:div w:id="173823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578772">
      <w:bodyDiv w:val="1"/>
      <w:marLeft w:val="0"/>
      <w:marRight w:val="0"/>
      <w:marTop w:val="0"/>
      <w:marBottom w:val="0"/>
      <w:divBdr>
        <w:top w:val="none" w:sz="0" w:space="0" w:color="auto"/>
        <w:left w:val="none" w:sz="0" w:space="0" w:color="auto"/>
        <w:bottom w:val="none" w:sz="0" w:space="0" w:color="auto"/>
        <w:right w:val="none" w:sz="0" w:space="0" w:color="auto"/>
      </w:divBdr>
    </w:div>
    <w:div w:id="1443382494">
      <w:bodyDiv w:val="1"/>
      <w:marLeft w:val="0"/>
      <w:marRight w:val="0"/>
      <w:marTop w:val="0"/>
      <w:marBottom w:val="0"/>
      <w:divBdr>
        <w:top w:val="none" w:sz="0" w:space="0" w:color="auto"/>
        <w:left w:val="none" w:sz="0" w:space="0" w:color="auto"/>
        <w:bottom w:val="none" w:sz="0" w:space="0" w:color="auto"/>
        <w:right w:val="none" w:sz="0" w:space="0" w:color="auto"/>
      </w:divBdr>
    </w:div>
    <w:div w:id="1446000542">
      <w:bodyDiv w:val="1"/>
      <w:marLeft w:val="0"/>
      <w:marRight w:val="0"/>
      <w:marTop w:val="0"/>
      <w:marBottom w:val="0"/>
      <w:divBdr>
        <w:top w:val="none" w:sz="0" w:space="0" w:color="auto"/>
        <w:left w:val="none" w:sz="0" w:space="0" w:color="auto"/>
        <w:bottom w:val="none" w:sz="0" w:space="0" w:color="auto"/>
        <w:right w:val="none" w:sz="0" w:space="0" w:color="auto"/>
      </w:divBdr>
    </w:div>
    <w:div w:id="1447846229">
      <w:bodyDiv w:val="1"/>
      <w:marLeft w:val="0"/>
      <w:marRight w:val="0"/>
      <w:marTop w:val="0"/>
      <w:marBottom w:val="0"/>
      <w:divBdr>
        <w:top w:val="none" w:sz="0" w:space="0" w:color="auto"/>
        <w:left w:val="none" w:sz="0" w:space="0" w:color="auto"/>
        <w:bottom w:val="none" w:sz="0" w:space="0" w:color="auto"/>
        <w:right w:val="none" w:sz="0" w:space="0" w:color="auto"/>
      </w:divBdr>
    </w:div>
    <w:div w:id="1449466371">
      <w:bodyDiv w:val="1"/>
      <w:marLeft w:val="0"/>
      <w:marRight w:val="0"/>
      <w:marTop w:val="0"/>
      <w:marBottom w:val="0"/>
      <w:divBdr>
        <w:top w:val="none" w:sz="0" w:space="0" w:color="auto"/>
        <w:left w:val="none" w:sz="0" w:space="0" w:color="auto"/>
        <w:bottom w:val="none" w:sz="0" w:space="0" w:color="auto"/>
        <w:right w:val="none" w:sz="0" w:space="0" w:color="auto"/>
      </w:divBdr>
    </w:div>
    <w:div w:id="1465855109">
      <w:bodyDiv w:val="1"/>
      <w:marLeft w:val="0"/>
      <w:marRight w:val="0"/>
      <w:marTop w:val="0"/>
      <w:marBottom w:val="0"/>
      <w:divBdr>
        <w:top w:val="none" w:sz="0" w:space="0" w:color="auto"/>
        <w:left w:val="none" w:sz="0" w:space="0" w:color="auto"/>
        <w:bottom w:val="none" w:sz="0" w:space="0" w:color="auto"/>
        <w:right w:val="none" w:sz="0" w:space="0" w:color="auto"/>
      </w:divBdr>
    </w:div>
    <w:div w:id="1487091358">
      <w:bodyDiv w:val="1"/>
      <w:marLeft w:val="0"/>
      <w:marRight w:val="0"/>
      <w:marTop w:val="0"/>
      <w:marBottom w:val="0"/>
      <w:divBdr>
        <w:top w:val="none" w:sz="0" w:space="0" w:color="auto"/>
        <w:left w:val="none" w:sz="0" w:space="0" w:color="auto"/>
        <w:bottom w:val="none" w:sz="0" w:space="0" w:color="auto"/>
        <w:right w:val="none" w:sz="0" w:space="0" w:color="auto"/>
      </w:divBdr>
    </w:div>
    <w:div w:id="1488131035">
      <w:bodyDiv w:val="1"/>
      <w:marLeft w:val="0"/>
      <w:marRight w:val="0"/>
      <w:marTop w:val="0"/>
      <w:marBottom w:val="0"/>
      <w:divBdr>
        <w:top w:val="none" w:sz="0" w:space="0" w:color="auto"/>
        <w:left w:val="none" w:sz="0" w:space="0" w:color="auto"/>
        <w:bottom w:val="none" w:sz="0" w:space="0" w:color="auto"/>
        <w:right w:val="none" w:sz="0" w:space="0" w:color="auto"/>
      </w:divBdr>
    </w:div>
    <w:div w:id="1499228498">
      <w:bodyDiv w:val="1"/>
      <w:marLeft w:val="0"/>
      <w:marRight w:val="0"/>
      <w:marTop w:val="0"/>
      <w:marBottom w:val="0"/>
      <w:divBdr>
        <w:top w:val="none" w:sz="0" w:space="0" w:color="auto"/>
        <w:left w:val="none" w:sz="0" w:space="0" w:color="auto"/>
        <w:bottom w:val="none" w:sz="0" w:space="0" w:color="auto"/>
        <w:right w:val="none" w:sz="0" w:space="0" w:color="auto"/>
      </w:divBdr>
    </w:div>
    <w:div w:id="1512062399">
      <w:bodyDiv w:val="1"/>
      <w:marLeft w:val="0"/>
      <w:marRight w:val="0"/>
      <w:marTop w:val="0"/>
      <w:marBottom w:val="0"/>
      <w:divBdr>
        <w:top w:val="none" w:sz="0" w:space="0" w:color="auto"/>
        <w:left w:val="none" w:sz="0" w:space="0" w:color="auto"/>
        <w:bottom w:val="none" w:sz="0" w:space="0" w:color="auto"/>
        <w:right w:val="none" w:sz="0" w:space="0" w:color="auto"/>
      </w:divBdr>
    </w:div>
    <w:div w:id="1517424282">
      <w:bodyDiv w:val="1"/>
      <w:marLeft w:val="0"/>
      <w:marRight w:val="0"/>
      <w:marTop w:val="0"/>
      <w:marBottom w:val="0"/>
      <w:divBdr>
        <w:top w:val="none" w:sz="0" w:space="0" w:color="auto"/>
        <w:left w:val="none" w:sz="0" w:space="0" w:color="auto"/>
        <w:bottom w:val="none" w:sz="0" w:space="0" w:color="auto"/>
        <w:right w:val="none" w:sz="0" w:space="0" w:color="auto"/>
      </w:divBdr>
    </w:div>
    <w:div w:id="1525943780">
      <w:bodyDiv w:val="1"/>
      <w:marLeft w:val="0"/>
      <w:marRight w:val="0"/>
      <w:marTop w:val="0"/>
      <w:marBottom w:val="0"/>
      <w:divBdr>
        <w:top w:val="none" w:sz="0" w:space="0" w:color="auto"/>
        <w:left w:val="none" w:sz="0" w:space="0" w:color="auto"/>
        <w:bottom w:val="none" w:sz="0" w:space="0" w:color="auto"/>
        <w:right w:val="none" w:sz="0" w:space="0" w:color="auto"/>
      </w:divBdr>
    </w:div>
    <w:div w:id="1533180328">
      <w:bodyDiv w:val="1"/>
      <w:marLeft w:val="0"/>
      <w:marRight w:val="0"/>
      <w:marTop w:val="0"/>
      <w:marBottom w:val="0"/>
      <w:divBdr>
        <w:top w:val="none" w:sz="0" w:space="0" w:color="auto"/>
        <w:left w:val="none" w:sz="0" w:space="0" w:color="auto"/>
        <w:bottom w:val="none" w:sz="0" w:space="0" w:color="auto"/>
        <w:right w:val="none" w:sz="0" w:space="0" w:color="auto"/>
      </w:divBdr>
    </w:div>
    <w:div w:id="1537768003">
      <w:bodyDiv w:val="1"/>
      <w:marLeft w:val="0"/>
      <w:marRight w:val="0"/>
      <w:marTop w:val="0"/>
      <w:marBottom w:val="0"/>
      <w:divBdr>
        <w:top w:val="none" w:sz="0" w:space="0" w:color="auto"/>
        <w:left w:val="none" w:sz="0" w:space="0" w:color="auto"/>
        <w:bottom w:val="none" w:sz="0" w:space="0" w:color="auto"/>
        <w:right w:val="none" w:sz="0" w:space="0" w:color="auto"/>
      </w:divBdr>
    </w:div>
    <w:div w:id="1559515152">
      <w:bodyDiv w:val="1"/>
      <w:marLeft w:val="0"/>
      <w:marRight w:val="0"/>
      <w:marTop w:val="0"/>
      <w:marBottom w:val="0"/>
      <w:divBdr>
        <w:top w:val="none" w:sz="0" w:space="0" w:color="auto"/>
        <w:left w:val="none" w:sz="0" w:space="0" w:color="auto"/>
        <w:bottom w:val="none" w:sz="0" w:space="0" w:color="auto"/>
        <w:right w:val="none" w:sz="0" w:space="0" w:color="auto"/>
      </w:divBdr>
    </w:div>
    <w:div w:id="1564220147">
      <w:bodyDiv w:val="1"/>
      <w:marLeft w:val="0"/>
      <w:marRight w:val="0"/>
      <w:marTop w:val="0"/>
      <w:marBottom w:val="0"/>
      <w:divBdr>
        <w:top w:val="none" w:sz="0" w:space="0" w:color="auto"/>
        <w:left w:val="none" w:sz="0" w:space="0" w:color="auto"/>
        <w:bottom w:val="none" w:sz="0" w:space="0" w:color="auto"/>
        <w:right w:val="none" w:sz="0" w:space="0" w:color="auto"/>
      </w:divBdr>
    </w:div>
    <w:div w:id="1583953138">
      <w:bodyDiv w:val="1"/>
      <w:marLeft w:val="0"/>
      <w:marRight w:val="0"/>
      <w:marTop w:val="0"/>
      <w:marBottom w:val="0"/>
      <w:divBdr>
        <w:top w:val="none" w:sz="0" w:space="0" w:color="auto"/>
        <w:left w:val="none" w:sz="0" w:space="0" w:color="auto"/>
        <w:bottom w:val="none" w:sz="0" w:space="0" w:color="auto"/>
        <w:right w:val="none" w:sz="0" w:space="0" w:color="auto"/>
      </w:divBdr>
    </w:div>
    <w:div w:id="1584875653">
      <w:bodyDiv w:val="1"/>
      <w:marLeft w:val="0"/>
      <w:marRight w:val="0"/>
      <w:marTop w:val="0"/>
      <w:marBottom w:val="0"/>
      <w:divBdr>
        <w:top w:val="none" w:sz="0" w:space="0" w:color="auto"/>
        <w:left w:val="none" w:sz="0" w:space="0" w:color="auto"/>
        <w:bottom w:val="none" w:sz="0" w:space="0" w:color="auto"/>
        <w:right w:val="none" w:sz="0" w:space="0" w:color="auto"/>
      </w:divBdr>
    </w:div>
    <w:div w:id="1587305910">
      <w:bodyDiv w:val="1"/>
      <w:marLeft w:val="0"/>
      <w:marRight w:val="0"/>
      <w:marTop w:val="0"/>
      <w:marBottom w:val="0"/>
      <w:divBdr>
        <w:top w:val="none" w:sz="0" w:space="0" w:color="auto"/>
        <w:left w:val="none" w:sz="0" w:space="0" w:color="auto"/>
        <w:bottom w:val="none" w:sz="0" w:space="0" w:color="auto"/>
        <w:right w:val="none" w:sz="0" w:space="0" w:color="auto"/>
      </w:divBdr>
    </w:div>
    <w:div w:id="1593585424">
      <w:bodyDiv w:val="1"/>
      <w:marLeft w:val="0"/>
      <w:marRight w:val="0"/>
      <w:marTop w:val="0"/>
      <w:marBottom w:val="0"/>
      <w:divBdr>
        <w:top w:val="none" w:sz="0" w:space="0" w:color="auto"/>
        <w:left w:val="none" w:sz="0" w:space="0" w:color="auto"/>
        <w:bottom w:val="none" w:sz="0" w:space="0" w:color="auto"/>
        <w:right w:val="none" w:sz="0" w:space="0" w:color="auto"/>
      </w:divBdr>
    </w:div>
    <w:div w:id="1621566911">
      <w:bodyDiv w:val="1"/>
      <w:marLeft w:val="0"/>
      <w:marRight w:val="0"/>
      <w:marTop w:val="0"/>
      <w:marBottom w:val="0"/>
      <w:divBdr>
        <w:top w:val="none" w:sz="0" w:space="0" w:color="auto"/>
        <w:left w:val="none" w:sz="0" w:space="0" w:color="auto"/>
        <w:bottom w:val="none" w:sz="0" w:space="0" w:color="auto"/>
        <w:right w:val="none" w:sz="0" w:space="0" w:color="auto"/>
      </w:divBdr>
    </w:div>
    <w:div w:id="1625498952">
      <w:bodyDiv w:val="1"/>
      <w:marLeft w:val="0"/>
      <w:marRight w:val="0"/>
      <w:marTop w:val="0"/>
      <w:marBottom w:val="0"/>
      <w:divBdr>
        <w:top w:val="none" w:sz="0" w:space="0" w:color="auto"/>
        <w:left w:val="none" w:sz="0" w:space="0" w:color="auto"/>
        <w:bottom w:val="none" w:sz="0" w:space="0" w:color="auto"/>
        <w:right w:val="none" w:sz="0" w:space="0" w:color="auto"/>
      </w:divBdr>
    </w:div>
    <w:div w:id="1634865337">
      <w:bodyDiv w:val="1"/>
      <w:marLeft w:val="0"/>
      <w:marRight w:val="0"/>
      <w:marTop w:val="0"/>
      <w:marBottom w:val="0"/>
      <w:divBdr>
        <w:top w:val="none" w:sz="0" w:space="0" w:color="auto"/>
        <w:left w:val="none" w:sz="0" w:space="0" w:color="auto"/>
        <w:bottom w:val="none" w:sz="0" w:space="0" w:color="auto"/>
        <w:right w:val="none" w:sz="0" w:space="0" w:color="auto"/>
      </w:divBdr>
    </w:div>
    <w:div w:id="1653482805">
      <w:bodyDiv w:val="1"/>
      <w:marLeft w:val="0"/>
      <w:marRight w:val="0"/>
      <w:marTop w:val="0"/>
      <w:marBottom w:val="0"/>
      <w:divBdr>
        <w:top w:val="none" w:sz="0" w:space="0" w:color="auto"/>
        <w:left w:val="none" w:sz="0" w:space="0" w:color="auto"/>
        <w:bottom w:val="none" w:sz="0" w:space="0" w:color="auto"/>
        <w:right w:val="none" w:sz="0" w:space="0" w:color="auto"/>
      </w:divBdr>
    </w:div>
    <w:div w:id="1657756198">
      <w:bodyDiv w:val="1"/>
      <w:marLeft w:val="0"/>
      <w:marRight w:val="0"/>
      <w:marTop w:val="0"/>
      <w:marBottom w:val="0"/>
      <w:divBdr>
        <w:top w:val="none" w:sz="0" w:space="0" w:color="auto"/>
        <w:left w:val="none" w:sz="0" w:space="0" w:color="auto"/>
        <w:bottom w:val="none" w:sz="0" w:space="0" w:color="auto"/>
        <w:right w:val="none" w:sz="0" w:space="0" w:color="auto"/>
      </w:divBdr>
    </w:div>
    <w:div w:id="1664813300">
      <w:bodyDiv w:val="1"/>
      <w:marLeft w:val="0"/>
      <w:marRight w:val="0"/>
      <w:marTop w:val="0"/>
      <w:marBottom w:val="0"/>
      <w:divBdr>
        <w:top w:val="none" w:sz="0" w:space="0" w:color="auto"/>
        <w:left w:val="none" w:sz="0" w:space="0" w:color="auto"/>
        <w:bottom w:val="none" w:sz="0" w:space="0" w:color="auto"/>
        <w:right w:val="none" w:sz="0" w:space="0" w:color="auto"/>
      </w:divBdr>
    </w:div>
    <w:div w:id="1669626052">
      <w:bodyDiv w:val="1"/>
      <w:marLeft w:val="0"/>
      <w:marRight w:val="0"/>
      <w:marTop w:val="0"/>
      <w:marBottom w:val="0"/>
      <w:divBdr>
        <w:top w:val="none" w:sz="0" w:space="0" w:color="auto"/>
        <w:left w:val="none" w:sz="0" w:space="0" w:color="auto"/>
        <w:bottom w:val="none" w:sz="0" w:space="0" w:color="auto"/>
        <w:right w:val="none" w:sz="0" w:space="0" w:color="auto"/>
      </w:divBdr>
    </w:div>
    <w:div w:id="1680888660">
      <w:bodyDiv w:val="1"/>
      <w:marLeft w:val="0"/>
      <w:marRight w:val="0"/>
      <w:marTop w:val="0"/>
      <w:marBottom w:val="0"/>
      <w:divBdr>
        <w:top w:val="none" w:sz="0" w:space="0" w:color="auto"/>
        <w:left w:val="none" w:sz="0" w:space="0" w:color="auto"/>
        <w:bottom w:val="none" w:sz="0" w:space="0" w:color="auto"/>
        <w:right w:val="none" w:sz="0" w:space="0" w:color="auto"/>
      </w:divBdr>
    </w:div>
    <w:div w:id="1699895853">
      <w:bodyDiv w:val="1"/>
      <w:marLeft w:val="0"/>
      <w:marRight w:val="0"/>
      <w:marTop w:val="0"/>
      <w:marBottom w:val="0"/>
      <w:divBdr>
        <w:top w:val="none" w:sz="0" w:space="0" w:color="auto"/>
        <w:left w:val="none" w:sz="0" w:space="0" w:color="auto"/>
        <w:bottom w:val="none" w:sz="0" w:space="0" w:color="auto"/>
        <w:right w:val="none" w:sz="0" w:space="0" w:color="auto"/>
      </w:divBdr>
    </w:div>
    <w:div w:id="1711420655">
      <w:bodyDiv w:val="1"/>
      <w:marLeft w:val="0"/>
      <w:marRight w:val="0"/>
      <w:marTop w:val="0"/>
      <w:marBottom w:val="0"/>
      <w:divBdr>
        <w:top w:val="none" w:sz="0" w:space="0" w:color="auto"/>
        <w:left w:val="none" w:sz="0" w:space="0" w:color="auto"/>
        <w:bottom w:val="none" w:sz="0" w:space="0" w:color="auto"/>
        <w:right w:val="none" w:sz="0" w:space="0" w:color="auto"/>
      </w:divBdr>
    </w:div>
    <w:div w:id="1716615497">
      <w:bodyDiv w:val="1"/>
      <w:marLeft w:val="0"/>
      <w:marRight w:val="0"/>
      <w:marTop w:val="0"/>
      <w:marBottom w:val="0"/>
      <w:divBdr>
        <w:top w:val="none" w:sz="0" w:space="0" w:color="auto"/>
        <w:left w:val="none" w:sz="0" w:space="0" w:color="auto"/>
        <w:bottom w:val="none" w:sz="0" w:space="0" w:color="auto"/>
        <w:right w:val="none" w:sz="0" w:space="0" w:color="auto"/>
      </w:divBdr>
    </w:div>
    <w:div w:id="1724326698">
      <w:bodyDiv w:val="1"/>
      <w:marLeft w:val="0"/>
      <w:marRight w:val="0"/>
      <w:marTop w:val="0"/>
      <w:marBottom w:val="0"/>
      <w:divBdr>
        <w:top w:val="none" w:sz="0" w:space="0" w:color="auto"/>
        <w:left w:val="none" w:sz="0" w:space="0" w:color="auto"/>
        <w:bottom w:val="none" w:sz="0" w:space="0" w:color="auto"/>
        <w:right w:val="none" w:sz="0" w:space="0" w:color="auto"/>
      </w:divBdr>
    </w:div>
    <w:div w:id="1753812052">
      <w:bodyDiv w:val="1"/>
      <w:marLeft w:val="0"/>
      <w:marRight w:val="0"/>
      <w:marTop w:val="0"/>
      <w:marBottom w:val="0"/>
      <w:divBdr>
        <w:top w:val="none" w:sz="0" w:space="0" w:color="auto"/>
        <w:left w:val="none" w:sz="0" w:space="0" w:color="auto"/>
        <w:bottom w:val="none" w:sz="0" w:space="0" w:color="auto"/>
        <w:right w:val="none" w:sz="0" w:space="0" w:color="auto"/>
      </w:divBdr>
    </w:div>
    <w:div w:id="1809199359">
      <w:bodyDiv w:val="1"/>
      <w:marLeft w:val="0"/>
      <w:marRight w:val="0"/>
      <w:marTop w:val="0"/>
      <w:marBottom w:val="0"/>
      <w:divBdr>
        <w:top w:val="none" w:sz="0" w:space="0" w:color="auto"/>
        <w:left w:val="none" w:sz="0" w:space="0" w:color="auto"/>
        <w:bottom w:val="none" w:sz="0" w:space="0" w:color="auto"/>
        <w:right w:val="none" w:sz="0" w:space="0" w:color="auto"/>
      </w:divBdr>
    </w:div>
    <w:div w:id="1832256511">
      <w:bodyDiv w:val="1"/>
      <w:marLeft w:val="0"/>
      <w:marRight w:val="0"/>
      <w:marTop w:val="0"/>
      <w:marBottom w:val="0"/>
      <w:divBdr>
        <w:top w:val="none" w:sz="0" w:space="0" w:color="auto"/>
        <w:left w:val="none" w:sz="0" w:space="0" w:color="auto"/>
        <w:bottom w:val="none" w:sz="0" w:space="0" w:color="auto"/>
        <w:right w:val="none" w:sz="0" w:space="0" w:color="auto"/>
      </w:divBdr>
    </w:div>
    <w:div w:id="1837763176">
      <w:bodyDiv w:val="1"/>
      <w:marLeft w:val="0"/>
      <w:marRight w:val="0"/>
      <w:marTop w:val="0"/>
      <w:marBottom w:val="0"/>
      <w:divBdr>
        <w:top w:val="none" w:sz="0" w:space="0" w:color="auto"/>
        <w:left w:val="none" w:sz="0" w:space="0" w:color="auto"/>
        <w:bottom w:val="none" w:sz="0" w:space="0" w:color="auto"/>
        <w:right w:val="none" w:sz="0" w:space="0" w:color="auto"/>
      </w:divBdr>
    </w:div>
    <w:div w:id="1840610915">
      <w:bodyDiv w:val="1"/>
      <w:marLeft w:val="0"/>
      <w:marRight w:val="0"/>
      <w:marTop w:val="0"/>
      <w:marBottom w:val="0"/>
      <w:divBdr>
        <w:top w:val="none" w:sz="0" w:space="0" w:color="auto"/>
        <w:left w:val="none" w:sz="0" w:space="0" w:color="auto"/>
        <w:bottom w:val="none" w:sz="0" w:space="0" w:color="auto"/>
        <w:right w:val="none" w:sz="0" w:space="0" w:color="auto"/>
      </w:divBdr>
      <w:divsChild>
        <w:div w:id="1210266785">
          <w:marLeft w:val="0"/>
          <w:marRight w:val="0"/>
          <w:marTop w:val="600"/>
          <w:marBottom w:val="450"/>
          <w:divBdr>
            <w:top w:val="none" w:sz="0" w:space="0" w:color="auto"/>
            <w:left w:val="none" w:sz="0" w:space="0" w:color="auto"/>
            <w:bottom w:val="single" w:sz="6" w:space="11" w:color="A23001"/>
            <w:right w:val="none" w:sz="0" w:space="0" w:color="auto"/>
          </w:divBdr>
          <w:divsChild>
            <w:div w:id="1903902993">
              <w:marLeft w:val="150"/>
              <w:marRight w:val="0"/>
              <w:marTop w:val="0"/>
              <w:marBottom w:val="0"/>
              <w:divBdr>
                <w:top w:val="none" w:sz="0" w:space="0" w:color="auto"/>
                <w:left w:val="none" w:sz="0" w:space="0" w:color="auto"/>
                <w:bottom w:val="none" w:sz="0" w:space="0" w:color="auto"/>
                <w:right w:val="none" w:sz="0" w:space="0" w:color="auto"/>
              </w:divBdr>
            </w:div>
          </w:divsChild>
        </w:div>
        <w:div w:id="903104546">
          <w:marLeft w:val="0"/>
          <w:marRight w:val="0"/>
          <w:marTop w:val="150"/>
          <w:marBottom w:val="0"/>
          <w:divBdr>
            <w:top w:val="none" w:sz="0" w:space="0" w:color="auto"/>
            <w:left w:val="none" w:sz="0" w:space="0" w:color="auto"/>
            <w:bottom w:val="none" w:sz="0" w:space="0" w:color="auto"/>
            <w:right w:val="none" w:sz="0" w:space="0" w:color="auto"/>
          </w:divBdr>
          <w:divsChild>
            <w:div w:id="194972848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55529599">
      <w:bodyDiv w:val="1"/>
      <w:marLeft w:val="0"/>
      <w:marRight w:val="0"/>
      <w:marTop w:val="0"/>
      <w:marBottom w:val="0"/>
      <w:divBdr>
        <w:top w:val="none" w:sz="0" w:space="0" w:color="auto"/>
        <w:left w:val="none" w:sz="0" w:space="0" w:color="auto"/>
        <w:bottom w:val="none" w:sz="0" w:space="0" w:color="auto"/>
        <w:right w:val="none" w:sz="0" w:space="0" w:color="auto"/>
      </w:divBdr>
    </w:div>
    <w:div w:id="1873959420">
      <w:bodyDiv w:val="1"/>
      <w:marLeft w:val="0"/>
      <w:marRight w:val="0"/>
      <w:marTop w:val="0"/>
      <w:marBottom w:val="0"/>
      <w:divBdr>
        <w:top w:val="none" w:sz="0" w:space="0" w:color="auto"/>
        <w:left w:val="none" w:sz="0" w:space="0" w:color="auto"/>
        <w:bottom w:val="none" w:sz="0" w:space="0" w:color="auto"/>
        <w:right w:val="none" w:sz="0" w:space="0" w:color="auto"/>
      </w:divBdr>
    </w:div>
    <w:div w:id="1876193037">
      <w:bodyDiv w:val="1"/>
      <w:marLeft w:val="0"/>
      <w:marRight w:val="0"/>
      <w:marTop w:val="0"/>
      <w:marBottom w:val="0"/>
      <w:divBdr>
        <w:top w:val="none" w:sz="0" w:space="0" w:color="auto"/>
        <w:left w:val="none" w:sz="0" w:space="0" w:color="auto"/>
        <w:bottom w:val="none" w:sz="0" w:space="0" w:color="auto"/>
        <w:right w:val="none" w:sz="0" w:space="0" w:color="auto"/>
      </w:divBdr>
    </w:div>
    <w:div w:id="1887452453">
      <w:bodyDiv w:val="1"/>
      <w:marLeft w:val="0"/>
      <w:marRight w:val="0"/>
      <w:marTop w:val="0"/>
      <w:marBottom w:val="0"/>
      <w:divBdr>
        <w:top w:val="none" w:sz="0" w:space="0" w:color="auto"/>
        <w:left w:val="none" w:sz="0" w:space="0" w:color="auto"/>
        <w:bottom w:val="none" w:sz="0" w:space="0" w:color="auto"/>
        <w:right w:val="none" w:sz="0" w:space="0" w:color="auto"/>
      </w:divBdr>
    </w:div>
    <w:div w:id="1890220772">
      <w:bodyDiv w:val="1"/>
      <w:marLeft w:val="0"/>
      <w:marRight w:val="0"/>
      <w:marTop w:val="0"/>
      <w:marBottom w:val="0"/>
      <w:divBdr>
        <w:top w:val="none" w:sz="0" w:space="0" w:color="auto"/>
        <w:left w:val="none" w:sz="0" w:space="0" w:color="auto"/>
        <w:bottom w:val="none" w:sz="0" w:space="0" w:color="auto"/>
        <w:right w:val="none" w:sz="0" w:space="0" w:color="auto"/>
      </w:divBdr>
    </w:div>
    <w:div w:id="1891988646">
      <w:bodyDiv w:val="1"/>
      <w:marLeft w:val="0"/>
      <w:marRight w:val="0"/>
      <w:marTop w:val="0"/>
      <w:marBottom w:val="0"/>
      <w:divBdr>
        <w:top w:val="none" w:sz="0" w:space="0" w:color="auto"/>
        <w:left w:val="none" w:sz="0" w:space="0" w:color="auto"/>
        <w:bottom w:val="none" w:sz="0" w:space="0" w:color="auto"/>
        <w:right w:val="none" w:sz="0" w:space="0" w:color="auto"/>
      </w:divBdr>
    </w:div>
    <w:div w:id="1916940572">
      <w:bodyDiv w:val="1"/>
      <w:marLeft w:val="0"/>
      <w:marRight w:val="0"/>
      <w:marTop w:val="0"/>
      <w:marBottom w:val="0"/>
      <w:divBdr>
        <w:top w:val="none" w:sz="0" w:space="0" w:color="auto"/>
        <w:left w:val="none" w:sz="0" w:space="0" w:color="auto"/>
        <w:bottom w:val="none" w:sz="0" w:space="0" w:color="auto"/>
        <w:right w:val="none" w:sz="0" w:space="0" w:color="auto"/>
      </w:divBdr>
    </w:div>
    <w:div w:id="1921478790">
      <w:bodyDiv w:val="1"/>
      <w:marLeft w:val="0"/>
      <w:marRight w:val="0"/>
      <w:marTop w:val="0"/>
      <w:marBottom w:val="0"/>
      <w:divBdr>
        <w:top w:val="none" w:sz="0" w:space="0" w:color="auto"/>
        <w:left w:val="none" w:sz="0" w:space="0" w:color="auto"/>
        <w:bottom w:val="none" w:sz="0" w:space="0" w:color="auto"/>
        <w:right w:val="none" w:sz="0" w:space="0" w:color="auto"/>
      </w:divBdr>
    </w:div>
    <w:div w:id="1923101090">
      <w:bodyDiv w:val="1"/>
      <w:marLeft w:val="0"/>
      <w:marRight w:val="0"/>
      <w:marTop w:val="0"/>
      <w:marBottom w:val="0"/>
      <w:divBdr>
        <w:top w:val="none" w:sz="0" w:space="0" w:color="auto"/>
        <w:left w:val="none" w:sz="0" w:space="0" w:color="auto"/>
        <w:bottom w:val="none" w:sz="0" w:space="0" w:color="auto"/>
        <w:right w:val="none" w:sz="0" w:space="0" w:color="auto"/>
      </w:divBdr>
    </w:div>
    <w:div w:id="1928149029">
      <w:bodyDiv w:val="1"/>
      <w:marLeft w:val="0"/>
      <w:marRight w:val="0"/>
      <w:marTop w:val="0"/>
      <w:marBottom w:val="0"/>
      <w:divBdr>
        <w:top w:val="none" w:sz="0" w:space="0" w:color="auto"/>
        <w:left w:val="none" w:sz="0" w:space="0" w:color="auto"/>
        <w:bottom w:val="none" w:sz="0" w:space="0" w:color="auto"/>
        <w:right w:val="none" w:sz="0" w:space="0" w:color="auto"/>
      </w:divBdr>
    </w:div>
    <w:div w:id="1929272102">
      <w:bodyDiv w:val="1"/>
      <w:marLeft w:val="0"/>
      <w:marRight w:val="0"/>
      <w:marTop w:val="0"/>
      <w:marBottom w:val="0"/>
      <w:divBdr>
        <w:top w:val="none" w:sz="0" w:space="0" w:color="auto"/>
        <w:left w:val="none" w:sz="0" w:space="0" w:color="auto"/>
        <w:bottom w:val="none" w:sz="0" w:space="0" w:color="auto"/>
        <w:right w:val="none" w:sz="0" w:space="0" w:color="auto"/>
      </w:divBdr>
    </w:div>
    <w:div w:id="1942757681">
      <w:bodyDiv w:val="1"/>
      <w:marLeft w:val="0"/>
      <w:marRight w:val="0"/>
      <w:marTop w:val="0"/>
      <w:marBottom w:val="0"/>
      <w:divBdr>
        <w:top w:val="none" w:sz="0" w:space="0" w:color="auto"/>
        <w:left w:val="none" w:sz="0" w:space="0" w:color="auto"/>
        <w:bottom w:val="none" w:sz="0" w:space="0" w:color="auto"/>
        <w:right w:val="none" w:sz="0" w:space="0" w:color="auto"/>
      </w:divBdr>
    </w:div>
    <w:div w:id="1947082337">
      <w:bodyDiv w:val="1"/>
      <w:marLeft w:val="0"/>
      <w:marRight w:val="0"/>
      <w:marTop w:val="0"/>
      <w:marBottom w:val="0"/>
      <w:divBdr>
        <w:top w:val="none" w:sz="0" w:space="0" w:color="auto"/>
        <w:left w:val="none" w:sz="0" w:space="0" w:color="auto"/>
        <w:bottom w:val="none" w:sz="0" w:space="0" w:color="auto"/>
        <w:right w:val="none" w:sz="0" w:space="0" w:color="auto"/>
      </w:divBdr>
    </w:div>
    <w:div w:id="1954745354">
      <w:bodyDiv w:val="1"/>
      <w:marLeft w:val="0"/>
      <w:marRight w:val="0"/>
      <w:marTop w:val="0"/>
      <w:marBottom w:val="0"/>
      <w:divBdr>
        <w:top w:val="none" w:sz="0" w:space="0" w:color="auto"/>
        <w:left w:val="none" w:sz="0" w:space="0" w:color="auto"/>
        <w:bottom w:val="none" w:sz="0" w:space="0" w:color="auto"/>
        <w:right w:val="none" w:sz="0" w:space="0" w:color="auto"/>
      </w:divBdr>
    </w:div>
    <w:div w:id="1959097420">
      <w:bodyDiv w:val="1"/>
      <w:marLeft w:val="0"/>
      <w:marRight w:val="0"/>
      <w:marTop w:val="0"/>
      <w:marBottom w:val="0"/>
      <w:divBdr>
        <w:top w:val="none" w:sz="0" w:space="0" w:color="auto"/>
        <w:left w:val="none" w:sz="0" w:space="0" w:color="auto"/>
        <w:bottom w:val="none" w:sz="0" w:space="0" w:color="auto"/>
        <w:right w:val="none" w:sz="0" w:space="0" w:color="auto"/>
      </w:divBdr>
      <w:divsChild>
        <w:div w:id="2013217823">
          <w:marLeft w:val="0"/>
          <w:marRight w:val="0"/>
          <w:marTop w:val="0"/>
          <w:marBottom w:val="0"/>
          <w:divBdr>
            <w:top w:val="none" w:sz="0" w:space="0" w:color="auto"/>
            <w:left w:val="none" w:sz="0" w:space="0" w:color="auto"/>
            <w:bottom w:val="none" w:sz="0" w:space="0" w:color="auto"/>
            <w:right w:val="none" w:sz="0" w:space="0" w:color="auto"/>
          </w:divBdr>
        </w:div>
      </w:divsChild>
    </w:div>
    <w:div w:id="1965379970">
      <w:bodyDiv w:val="1"/>
      <w:marLeft w:val="0"/>
      <w:marRight w:val="0"/>
      <w:marTop w:val="0"/>
      <w:marBottom w:val="0"/>
      <w:divBdr>
        <w:top w:val="none" w:sz="0" w:space="0" w:color="auto"/>
        <w:left w:val="none" w:sz="0" w:space="0" w:color="auto"/>
        <w:bottom w:val="none" w:sz="0" w:space="0" w:color="auto"/>
        <w:right w:val="none" w:sz="0" w:space="0" w:color="auto"/>
      </w:divBdr>
    </w:div>
    <w:div w:id="1971858385">
      <w:bodyDiv w:val="1"/>
      <w:marLeft w:val="0"/>
      <w:marRight w:val="0"/>
      <w:marTop w:val="0"/>
      <w:marBottom w:val="0"/>
      <w:divBdr>
        <w:top w:val="none" w:sz="0" w:space="0" w:color="auto"/>
        <w:left w:val="none" w:sz="0" w:space="0" w:color="auto"/>
        <w:bottom w:val="none" w:sz="0" w:space="0" w:color="auto"/>
        <w:right w:val="none" w:sz="0" w:space="0" w:color="auto"/>
      </w:divBdr>
    </w:div>
    <w:div w:id="1972052838">
      <w:bodyDiv w:val="1"/>
      <w:marLeft w:val="0"/>
      <w:marRight w:val="0"/>
      <w:marTop w:val="0"/>
      <w:marBottom w:val="0"/>
      <w:divBdr>
        <w:top w:val="none" w:sz="0" w:space="0" w:color="auto"/>
        <w:left w:val="none" w:sz="0" w:space="0" w:color="auto"/>
        <w:bottom w:val="none" w:sz="0" w:space="0" w:color="auto"/>
        <w:right w:val="none" w:sz="0" w:space="0" w:color="auto"/>
      </w:divBdr>
    </w:div>
    <w:div w:id="1998679452">
      <w:bodyDiv w:val="1"/>
      <w:marLeft w:val="0"/>
      <w:marRight w:val="0"/>
      <w:marTop w:val="0"/>
      <w:marBottom w:val="0"/>
      <w:divBdr>
        <w:top w:val="none" w:sz="0" w:space="0" w:color="auto"/>
        <w:left w:val="none" w:sz="0" w:space="0" w:color="auto"/>
        <w:bottom w:val="none" w:sz="0" w:space="0" w:color="auto"/>
        <w:right w:val="none" w:sz="0" w:space="0" w:color="auto"/>
      </w:divBdr>
    </w:div>
    <w:div w:id="2002152587">
      <w:bodyDiv w:val="1"/>
      <w:marLeft w:val="0"/>
      <w:marRight w:val="0"/>
      <w:marTop w:val="0"/>
      <w:marBottom w:val="0"/>
      <w:divBdr>
        <w:top w:val="none" w:sz="0" w:space="0" w:color="auto"/>
        <w:left w:val="none" w:sz="0" w:space="0" w:color="auto"/>
        <w:bottom w:val="none" w:sz="0" w:space="0" w:color="auto"/>
        <w:right w:val="none" w:sz="0" w:space="0" w:color="auto"/>
      </w:divBdr>
    </w:div>
    <w:div w:id="2016834361">
      <w:bodyDiv w:val="1"/>
      <w:marLeft w:val="0"/>
      <w:marRight w:val="0"/>
      <w:marTop w:val="0"/>
      <w:marBottom w:val="0"/>
      <w:divBdr>
        <w:top w:val="none" w:sz="0" w:space="0" w:color="auto"/>
        <w:left w:val="none" w:sz="0" w:space="0" w:color="auto"/>
        <w:bottom w:val="none" w:sz="0" w:space="0" w:color="auto"/>
        <w:right w:val="none" w:sz="0" w:space="0" w:color="auto"/>
      </w:divBdr>
    </w:div>
    <w:div w:id="2023581202">
      <w:bodyDiv w:val="1"/>
      <w:marLeft w:val="0"/>
      <w:marRight w:val="0"/>
      <w:marTop w:val="0"/>
      <w:marBottom w:val="0"/>
      <w:divBdr>
        <w:top w:val="none" w:sz="0" w:space="0" w:color="auto"/>
        <w:left w:val="none" w:sz="0" w:space="0" w:color="auto"/>
        <w:bottom w:val="none" w:sz="0" w:space="0" w:color="auto"/>
        <w:right w:val="none" w:sz="0" w:space="0" w:color="auto"/>
      </w:divBdr>
    </w:div>
    <w:div w:id="2026903893">
      <w:bodyDiv w:val="1"/>
      <w:marLeft w:val="0"/>
      <w:marRight w:val="0"/>
      <w:marTop w:val="0"/>
      <w:marBottom w:val="0"/>
      <w:divBdr>
        <w:top w:val="none" w:sz="0" w:space="0" w:color="auto"/>
        <w:left w:val="none" w:sz="0" w:space="0" w:color="auto"/>
        <w:bottom w:val="none" w:sz="0" w:space="0" w:color="auto"/>
        <w:right w:val="none" w:sz="0" w:space="0" w:color="auto"/>
      </w:divBdr>
    </w:div>
    <w:div w:id="2051877867">
      <w:bodyDiv w:val="1"/>
      <w:marLeft w:val="0"/>
      <w:marRight w:val="0"/>
      <w:marTop w:val="0"/>
      <w:marBottom w:val="0"/>
      <w:divBdr>
        <w:top w:val="none" w:sz="0" w:space="0" w:color="auto"/>
        <w:left w:val="none" w:sz="0" w:space="0" w:color="auto"/>
        <w:bottom w:val="none" w:sz="0" w:space="0" w:color="auto"/>
        <w:right w:val="none" w:sz="0" w:space="0" w:color="auto"/>
      </w:divBdr>
    </w:div>
    <w:div w:id="2055352579">
      <w:bodyDiv w:val="1"/>
      <w:marLeft w:val="0"/>
      <w:marRight w:val="0"/>
      <w:marTop w:val="0"/>
      <w:marBottom w:val="0"/>
      <w:divBdr>
        <w:top w:val="none" w:sz="0" w:space="0" w:color="auto"/>
        <w:left w:val="none" w:sz="0" w:space="0" w:color="auto"/>
        <w:bottom w:val="none" w:sz="0" w:space="0" w:color="auto"/>
        <w:right w:val="none" w:sz="0" w:space="0" w:color="auto"/>
      </w:divBdr>
    </w:div>
    <w:div w:id="2097046833">
      <w:bodyDiv w:val="1"/>
      <w:marLeft w:val="0"/>
      <w:marRight w:val="0"/>
      <w:marTop w:val="0"/>
      <w:marBottom w:val="0"/>
      <w:divBdr>
        <w:top w:val="none" w:sz="0" w:space="0" w:color="auto"/>
        <w:left w:val="none" w:sz="0" w:space="0" w:color="auto"/>
        <w:bottom w:val="none" w:sz="0" w:space="0" w:color="auto"/>
        <w:right w:val="none" w:sz="0" w:space="0" w:color="auto"/>
      </w:divBdr>
    </w:div>
    <w:div w:id="2107575890">
      <w:bodyDiv w:val="1"/>
      <w:marLeft w:val="0"/>
      <w:marRight w:val="0"/>
      <w:marTop w:val="0"/>
      <w:marBottom w:val="0"/>
      <w:divBdr>
        <w:top w:val="none" w:sz="0" w:space="0" w:color="auto"/>
        <w:left w:val="none" w:sz="0" w:space="0" w:color="auto"/>
        <w:bottom w:val="none" w:sz="0" w:space="0" w:color="auto"/>
        <w:right w:val="none" w:sz="0" w:space="0" w:color="auto"/>
      </w:divBdr>
    </w:div>
    <w:div w:id="2112820937">
      <w:bodyDiv w:val="1"/>
      <w:marLeft w:val="0"/>
      <w:marRight w:val="0"/>
      <w:marTop w:val="0"/>
      <w:marBottom w:val="0"/>
      <w:divBdr>
        <w:top w:val="none" w:sz="0" w:space="0" w:color="auto"/>
        <w:left w:val="none" w:sz="0" w:space="0" w:color="auto"/>
        <w:bottom w:val="none" w:sz="0" w:space="0" w:color="auto"/>
        <w:right w:val="none" w:sz="0" w:space="0" w:color="auto"/>
      </w:divBdr>
    </w:div>
    <w:div w:id="2113040628">
      <w:bodyDiv w:val="1"/>
      <w:marLeft w:val="0"/>
      <w:marRight w:val="0"/>
      <w:marTop w:val="0"/>
      <w:marBottom w:val="0"/>
      <w:divBdr>
        <w:top w:val="none" w:sz="0" w:space="0" w:color="auto"/>
        <w:left w:val="none" w:sz="0" w:space="0" w:color="auto"/>
        <w:bottom w:val="none" w:sz="0" w:space="0" w:color="auto"/>
        <w:right w:val="none" w:sz="0" w:space="0" w:color="auto"/>
      </w:divBdr>
    </w:div>
    <w:div w:id="2122455003">
      <w:bodyDiv w:val="1"/>
      <w:marLeft w:val="0"/>
      <w:marRight w:val="0"/>
      <w:marTop w:val="0"/>
      <w:marBottom w:val="0"/>
      <w:divBdr>
        <w:top w:val="none" w:sz="0" w:space="0" w:color="auto"/>
        <w:left w:val="none" w:sz="0" w:space="0" w:color="auto"/>
        <w:bottom w:val="none" w:sz="0" w:space="0" w:color="auto"/>
        <w:right w:val="none" w:sz="0" w:space="0" w:color="auto"/>
      </w:divBdr>
    </w:div>
    <w:div w:id="2125998284">
      <w:bodyDiv w:val="1"/>
      <w:marLeft w:val="0"/>
      <w:marRight w:val="0"/>
      <w:marTop w:val="0"/>
      <w:marBottom w:val="0"/>
      <w:divBdr>
        <w:top w:val="none" w:sz="0" w:space="0" w:color="auto"/>
        <w:left w:val="none" w:sz="0" w:space="0" w:color="auto"/>
        <w:bottom w:val="none" w:sz="0" w:space="0" w:color="auto"/>
        <w:right w:val="none" w:sz="0" w:space="0" w:color="auto"/>
      </w:divBdr>
    </w:div>
    <w:div w:id="213328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footer" Target="footer3.xml"/><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footer" Target="footer2.xml"/><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36D2E-2F10-46E4-8598-5E54F58D7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41</Pages>
  <Words>15139</Words>
  <Characters>83265</Characters>
  <Application>Microsoft Office Word</Application>
  <DocSecurity>0</DocSecurity>
  <Lines>693</Lines>
  <Paragraphs>196</Paragraphs>
  <ScaleCrop>false</ScaleCrop>
  <HeadingPairs>
    <vt:vector size="2" baseType="variant">
      <vt:variant>
        <vt:lpstr>Título</vt:lpstr>
      </vt:variant>
      <vt:variant>
        <vt:i4>1</vt:i4>
      </vt:variant>
    </vt:vector>
  </HeadingPairs>
  <TitlesOfParts>
    <vt:vector size="1" baseType="lpstr">
      <vt:lpstr>SUBSECTOR AGRÍCOLA</vt:lpstr>
    </vt:vector>
  </TitlesOfParts>
  <Company>Hewlett-Packard Company</Company>
  <LinksUpToDate>false</LinksUpToDate>
  <CharactersWithSpaces>98208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SUBSECTOR AGRÍCOLA</dc:title>
  <dc:subject/>
  <dc:creator>Andrés</dc:creator>
  <cp:keywords/>
  <dc:description/>
  <cp:lastModifiedBy>ASAJA CyL</cp:lastModifiedBy>
  <cp:revision>6</cp:revision>
  <cp:lastPrinted>2024-01-08T13:09:00Z</cp:lastPrinted>
  <dcterms:created xsi:type="dcterms:W3CDTF">2024-01-08T08:41:00Z</dcterms:created>
  <dcterms:modified xsi:type="dcterms:W3CDTF">2024-01-09T09:10:00Z</dcterms:modified>
</cp:coreProperties>
</file>