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EFED2" w14:textId="77777777" w:rsidR="00847D5E" w:rsidRPr="00C6165A" w:rsidRDefault="00847D5E" w:rsidP="009C44CB">
      <w:pPr>
        <w:rPr>
          <w:b/>
        </w:rPr>
      </w:pPr>
    </w:p>
    <w:p w14:paraId="3D72AEFB" w14:textId="77777777" w:rsidR="00847D5E" w:rsidRPr="00C6165A" w:rsidRDefault="00847D5E" w:rsidP="009C44CB">
      <w:pPr>
        <w:rPr>
          <w:b/>
        </w:rPr>
      </w:pPr>
    </w:p>
    <w:p w14:paraId="73AFB437" w14:textId="702782C7" w:rsidR="00847D5E" w:rsidRPr="00C6165A" w:rsidRDefault="00847D5E" w:rsidP="009C44CB">
      <w:pPr>
        <w:jc w:val="center"/>
        <w:rPr>
          <w:b/>
        </w:rPr>
      </w:pPr>
    </w:p>
    <w:p w14:paraId="36A18470" w14:textId="50212A67" w:rsidR="00847D5E" w:rsidRPr="00C6165A" w:rsidRDefault="00E75BC5" w:rsidP="00E75BC5">
      <w:pPr>
        <w:jc w:val="center"/>
        <w:rPr>
          <w:b/>
        </w:rPr>
      </w:pPr>
      <w:r>
        <w:rPr>
          <w:noProof/>
        </w:rPr>
        <w:drawing>
          <wp:inline distT="0" distB="0" distL="0" distR="0" wp14:anchorId="536FD102" wp14:editId="54A400BB">
            <wp:extent cx="3524250" cy="1101950"/>
            <wp:effectExtent l="0" t="0" r="0" b="3175"/>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9642" cy="1113016"/>
                    </a:xfrm>
                    <a:prstGeom prst="rect">
                      <a:avLst/>
                    </a:prstGeom>
                    <a:noFill/>
                    <a:ln>
                      <a:noFill/>
                    </a:ln>
                  </pic:spPr>
                </pic:pic>
              </a:graphicData>
            </a:graphic>
          </wp:inline>
        </w:drawing>
      </w:r>
    </w:p>
    <w:p w14:paraId="6D628A3C" w14:textId="77777777" w:rsidR="00847D5E" w:rsidRPr="00C6165A" w:rsidRDefault="00847D5E" w:rsidP="009C44CB">
      <w:pPr>
        <w:rPr>
          <w:b/>
        </w:rPr>
      </w:pPr>
    </w:p>
    <w:p w14:paraId="785E1FEC" w14:textId="77777777" w:rsidR="00595E58" w:rsidRPr="00C6165A" w:rsidRDefault="00595E58" w:rsidP="009C44CB">
      <w:pPr>
        <w:rPr>
          <w:b/>
        </w:rPr>
      </w:pPr>
    </w:p>
    <w:p w14:paraId="4DFB91F3" w14:textId="77777777" w:rsidR="00847D5E" w:rsidRDefault="00847D5E" w:rsidP="009C44CB">
      <w:pPr>
        <w:rPr>
          <w:b/>
        </w:rPr>
      </w:pPr>
    </w:p>
    <w:p w14:paraId="14966CF2" w14:textId="77777777" w:rsidR="00AB4B50" w:rsidRDefault="00AB4B50" w:rsidP="009C44CB">
      <w:pPr>
        <w:rPr>
          <w:b/>
        </w:rPr>
      </w:pPr>
    </w:p>
    <w:p w14:paraId="1031E94B" w14:textId="77777777" w:rsidR="00AB4B50" w:rsidRDefault="00AB4B50" w:rsidP="009C44CB">
      <w:pPr>
        <w:rPr>
          <w:b/>
        </w:rPr>
      </w:pPr>
    </w:p>
    <w:p w14:paraId="65D84116" w14:textId="77777777" w:rsidR="00AB4B50" w:rsidRDefault="00AB4B50" w:rsidP="009C44CB">
      <w:pPr>
        <w:rPr>
          <w:b/>
        </w:rPr>
      </w:pPr>
    </w:p>
    <w:p w14:paraId="76CB4EF5" w14:textId="77777777" w:rsidR="00AB4B50" w:rsidRDefault="00AB4B50" w:rsidP="009C44CB">
      <w:pPr>
        <w:rPr>
          <w:b/>
        </w:rPr>
      </w:pPr>
    </w:p>
    <w:p w14:paraId="6BB890B1" w14:textId="77777777" w:rsidR="00AB4B50" w:rsidRDefault="00AB4B50" w:rsidP="009C44CB">
      <w:pPr>
        <w:rPr>
          <w:b/>
        </w:rPr>
      </w:pPr>
    </w:p>
    <w:p w14:paraId="18EA0F08" w14:textId="77777777" w:rsidR="00AB4B50" w:rsidRDefault="00AB4B50" w:rsidP="009C44CB">
      <w:pPr>
        <w:rPr>
          <w:b/>
        </w:rPr>
      </w:pPr>
    </w:p>
    <w:p w14:paraId="0F77DB82" w14:textId="77777777" w:rsidR="00AB4B50" w:rsidRDefault="00AB4B50" w:rsidP="009C44CB">
      <w:pPr>
        <w:rPr>
          <w:b/>
        </w:rPr>
      </w:pPr>
    </w:p>
    <w:p w14:paraId="4209647D" w14:textId="77777777" w:rsidR="00AB4B50" w:rsidRPr="00C6165A" w:rsidRDefault="00AB4B50" w:rsidP="009C44CB">
      <w:pPr>
        <w:rPr>
          <w:b/>
        </w:rPr>
      </w:pPr>
    </w:p>
    <w:p w14:paraId="471B02CD" w14:textId="77777777" w:rsidR="00847D5E" w:rsidRPr="00C6165A" w:rsidRDefault="00847D5E" w:rsidP="009C44CB">
      <w:pPr>
        <w:rPr>
          <w:b/>
        </w:rPr>
      </w:pPr>
    </w:p>
    <w:p w14:paraId="72473F0C" w14:textId="046A2D76" w:rsidR="00847D5E" w:rsidRPr="00AB4B50" w:rsidRDefault="00847D5E" w:rsidP="00E75BC5">
      <w:pPr>
        <w:spacing w:line="276" w:lineRule="auto"/>
        <w:jc w:val="center"/>
        <w:rPr>
          <w:b/>
          <w:sz w:val="52"/>
          <w:szCs w:val="52"/>
        </w:rPr>
      </w:pPr>
      <w:r w:rsidRPr="00AB4B50">
        <w:rPr>
          <w:b/>
          <w:sz w:val="52"/>
          <w:szCs w:val="52"/>
        </w:rPr>
        <w:t xml:space="preserve">BALANCE </w:t>
      </w:r>
      <w:r w:rsidR="00AB4B50" w:rsidRPr="00AB4B50">
        <w:rPr>
          <w:b/>
          <w:sz w:val="52"/>
          <w:szCs w:val="52"/>
        </w:rPr>
        <w:t xml:space="preserve">2025 </w:t>
      </w:r>
      <w:r w:rsidRPr="00AB4B50">
        <w:rPr>
          <w:b/>
          <w:sz w:val="52"/>
          <w:szCs w:val="52"/>
        </w:rPr>
        <w:t xml:space="preserve">DE </w:t>
      </w:r>
    </w:p>
    <w:p w14:paraId="4EBC9A95" w14:textId="5C166D96" w:rsidR="00A35A55" w:rsidRPr="00AB4B50" w:rsidRDefault="00847D5E" w:rsidP="00AB4B50">
      <w:pPr>
        <w:spacing w:line="276" w:lineRule="auto"/>
        <w:jc w:val="center"/>
        <w:rPr>
          <w:b/>
          <w:sz w:val="52"/>
          <w:szCs w:val="52"/>
        </w:rPr>
      </w:pPr>
      <w:r w:rsidRPr="00AB4B50">
        <w:rPr>
          <w:b/>
          <w:sz w:val="52"/>
          <w:szCs w:val="52"/>
        </w:rPr>
        <w:t xml:space="preserve">LA AGRICULTURA Y GANADERÍA DE CASTILLA Y LEÓN </w:t>
      </w:r>
    </w:p>
    <w:p w14:paraId="07C1C65E" w14:textId="77777777" w:rsidR="00AB4B50" w:rsidRDefault="00AB4B50" w:rsidP="009C44CB">
      <w:pPr>
        <w:rPr>
          <w:b/>
        </w:rPr>
      </w:pPr>
    </w:p>
    <w:p w14:paraId="4FB77366" w14:textId="77777777" w:rsidR="00AB4B50" w:rsidRDefault="00AB4B50" w:rsidP="009C44CB">
      <w:pPr>
        <w:rPr>
          <w:b/>
        </w:rPr>
      </w:pPr>
    </w:p>
    <w:p w14:paraId="74ABD023" w14:textId="77777777" w:rsidR="00AB4B50" w:rsidRDefault="00AB4B50" w:rsidP="009C44CB">
      <w:pPr>
        <w:rPr>
          <w:b/>
        </w:rPr>
      </w:pPr>
    </w:p>
    <w:p w14:paraId="48B1A82C" w14:textId="77777777" w:rsidR="00AB4B50" w:rsidRDefault="00AB4B50" w:rsidP="009C44CB">
      <w:pPr>
        <w:rPr>
          <w:b/>
        </w:rPr>
      </w:pPr>
    </w:p>
    <w:p w14:paraId="66C139C1" w14:textId="77777777" w:rsidR="00AB4B50" w:rsidRDefault="00AB4B50" w:rsidP="009C44CB">
      <w:pPr>
        <w:rPr>
          <w:b/>
        </w:rPr>
      </w:pPr>
    </w:p>
    <w:p w14:paraId="0DECF4B0" w14:textId="77777777" w:rsidR="00AB4B50" w:rsidRDefault="00AB4B50" w:rsidP="009C44CB">
      <w:pPr>
        <w:rPr>
          <w:b/>
        </w:rPr>
      </w:pPr>
    </w:p>
    <w:p w14:paraId="31196621" w14:textId="77777777" w:rsidR="00AB4B50" w:rsidRDefault="00AB4B50" w:rsidP="009C44CB">
      <w:pPr>
        <w:rPr>
          <w:b/>
        </w:rPr>
      </w:pPr>
    </w:p>
    <w:p w14:paraId="78F68EDC" w14:textId="77777777" w:rsidR="00AB4B50" w:rsidRDefault="00AB4B50" w:rsidP="009C44CB">
      <w:pPr>
        <w:rPr>
          <w:b/>
        </w:rPr>
      </w:pPr>
    </w:p>
    <w:p w14:paraId="4130E5AA" w14:textId="77777777" w:rsidR="00AB4B50" w:rsidRDefault="00AB4B50" w:rsidP="009C44CB">
      <w:pPr>
        <w:rPr>
          <w:b/>
        </w:rPr>
      </w:pPr>
    </w:p>
    <w:p w14:paraId="4A97A19C" w14:textId="77777777" w:rsidR="00AB4B50" w:rsidRDefault="00AB4B50" w:rsidP="009C44CB">
      <w:pPr>
        <w:rPr>
          <w:b/>
        </w:rPr>
      </w:pPr>
    </w:p>
    <w:p w14:paraId="794E9414" w14:textId="77777777" w:rsidR="00AB4B50" w:rsidRDefault="00AB4B50" w:rsidP="009C44CB">
      <w:pPr>
        <w:rPr>
          <w:b/>
        </w:rPr>
      </w:pPr>
    </w:p>
    <w:p w14:paraId="078D4AA5" w14:textId="77777777" w:rsidR="00AB4B50" w:rsidRDefault="00AB4B50" w:rsidP="009C44CB">
      <w:pPr>
        <w:rPr>
          <w:b/>
        </w:rPr>
      </w:pPr>
    </w:p>
    <w:p w14:paraId="6769E5CB" w14:textId="77777777" w:rsidR="00AB4B50" w:rsidRPr="00C6165A" w:rsidRDefault="00AB4B50" w:rsidP="009C44CB">
      <w:pPr>
        <w:rPr>
          <w:b/>
        </w:rPr>
      </w:pPr>
    </w:p>
    <w:p w14:paraId="2503E38D" w14:textId="213D70A4" w:rsidR="00A35A55" w:rsidRPr="00C6165A" w:rsidRDefault="00A35A55" w:rsidP="009C44CB">
      <w:pPr>
        <w:rPr>
          <w:b/>
        </w:rPr>
      </w:pPr>
    </w:p>
    <w:p w14:paraId="66ADE35C" w14:textId="77777777" w:rsidR="00847D5E" w:rsidRPr="00C6165A" w:rsidRDefault="00847D5E" w:rsidP="009C44CB">
      <w:pPr>
        <w:rPr>
          <w:b/>
        </w:rPr>
      </w:pPr>
    </w:p>
    <w:p w14:paraId="37F81E3C" w14:textId="77777777" w:rsidR="00847D5E" w:rsidRPr="00C6165A" w:rsidRDefault="00847D5E" w:rsidP="009C44CB">
      <w:pPr>
        <w:rPr>
          <w:b/>
        </w:rPr>
      </w:pPr>
    </w:p>
    <w:p w14:paraId="44ACA728" w14:textId="2187E1EE" w:rsidR="00847D5E" w:rsidRPr="00C6165A" w:rsidRDefault="00847D5E" w:rsidP="009C44CB">
      <w:pPr>
        <w:jc w:val="right"/>
        <w:rPr>
          <w:b/>
        </w:rPr>
      </w:pPr>
      <w:r w:rsidRPr="00C6165A">
        <w:rPr>
          <w:b/>
        </w:rPr>
        <w:t>Valladolid,</w:t>
      </w:r>
      <w:r w:rsidR="006B6CD6" w:rsidRPr="00C6165A">
        <w:rPr>
          <w:b/>
        </w:rPr>
        <w:t xml:space="preserve"> </w:t>
      </w:r>
      <w:r w:rsidR="004E6BDF">
        <w:rPr>
          <w:b/>
        </w:rPr>
        <w:t>enero</w:t>
      </w:r>
      <w:r w:rsidR="006B6CD6" w:rsidRPr="00181390">
        <w:rPr>
          <w:b/>
        </w:rPr>
        <w:t xml:space="preserve"> de</w:t>
      </w:r>
      <w:r w:rsidR="006B6CD6" w:rsidRPr="00C6165A">
        <w:rPr>
          <w:b/>
        </w:rPr>
        <w:t xml:space="preserve"> </w:t>
      </w:r>
      <w:r w:rsidR="00E31265">
        <w:rPr>
          <w:b/>
        </w:rPr>
        <w:t>202</w:t>
      </w:r>
      <w:r w:rsidR="00803CDF">
        <w:rPr>
          <w:b/>
        </w:rPr>
        <w:t>6</w:t>
      </w:r>
    </w:p>
    <w:p w14:paraId="2E958EB0" w14:textId="77777777" w:rsidR="00847D5E" w:rsidRPr="00C6165A" w:rsidRDefault="00847D5E" w:rsidP="009C44CB">
      <w:pPr>
        <w:rPr>
          <w:b/>
        </w:rPr>
      </w:pPr>
    </w:p>
    <w:p w14:paraId="3A8FB1A8" w14:textId="77777777" w:rsidR="00847D5E" w:rsidRPr="00C6165A" w:rsidRDefault="00847D5E" w:rsidP="009C44CB">
      <w:pPr>
        <w:jc w:val="right"/>
        <w:rPr>
          <w:b/>
        </w:rPr>
      </w:pPr>
      <w:r w:rsidRPr="00C6165A">
        <w:rPr>
          <w:b/>
          <w:bCs/>
        </w:rPr>
        <w:t>Servicios Técnicos de ASAJA de Castilla y León</w:t>
      </w:r>
    </w:p>
    <w:p w14:paraId="359F4AF4" w14:textId="77777777" w:rsidR="00847D5E" w:rsidRPr="00C6165A" w:rsidRDefault="00847D5E" w:rsidP="009C44CB">
      <w:pPr>
        <w:rPr>
          <w:b/>
        </w:rPr>
      </w:pPr>
    </w:p>
    <w:p w14:paraId="40C263D9" w14:textId="77777777" w:rsidR="000F009D" w:rsidRPr="00C6165A" w:rsidRDefault="000F009D">
      <w:pPr>
        <w:sectPr w:rsidR="000F009D" w:rsidRPr="00C6165A" w:rsidSect="007C0DF2">
          <w:footerReference w:type="even" r:id="rId9"/>
          <w:footerReference w:type="default" r:id="rId10"/>
          <w:pgSz w:w="11906" w:h="16838"/>
          <w:pgMar w:top="1417" w:right="1701" w:bottom="1417" w:left="1701" w:header="708" w:footer="708" w:gutter="0"/>
          <w:pgNumType w:start="1"/>
          <w:cols w:space="708"/>
          <w:docGrid w:linePitch="360"/>
        </w:sectPr>
      </w:pPr>
    </w:p>
    <w:p w14:paraId="6BAD8E01" w14:textId="77777777" w:rsidR="007460F3" w:rsidRDefault="007460F3" w:rsidP="00D96A47">
      <w:pPr>
        <w:ind w:left="426" w:right="336"/>
        <w:jc w:val="center"/>
        <w:rPr>
          <w:b/>
        </w:rPr>
      </w:pPr>
      <w:bookmarkStart w:id="0" w:name="cultivos_herbaceos"/>
      <w:bookmarkStart w:id="1" w:name="_Hlk186111836"/>
      <w:bookmarkEnd w:id="0"/>
    </w:p>
    <w:p w14:paraId="73477773" w14:textId="77777777" w:rsidR="00F125FD" w:rsidRPr="00F125FD" w:rsidRDefault="00F125FD" w:rsidP="00AA12E3">
      <w:pPr>
        <w:jc w:val="center"/>
        <w:rPr>
          <w:b/>
        </w:rPr>
      </w:pPr>
      <w:r w:rsidRPr="00F125FD">
        <w:rPr>
          <w:b/>
        </w:rPr>
        <w:t>SUBSECTOR AGRÍCOLA</w:t>
      </w:r>
    </w:p>
    <w:p w14:paraId="17BE59FC" w14:textId="77777777" w:rsidR="00F125FD" w:rsidRPr="00F125FD" w:rsidRDefault="00F125FD" w:rsidP="00AA12E3">
      <w:pPr>
        <w:jc w:val="center"/>
        <w:rPr>
          <w:b/>
        </w:rPr>
      </w:pPr>
    </w:p>
    <w:p w14:paraId="7C8EDEE7" w14:textId="77777777" w:rsidR="00F125FD" w:rsidRPr="00F125FD" w:rsidRDefault="00F125FD" w:rsidP="00AA12E3">
      <w:pPr>
        <w:rPr>
          <w:sz w:val="4"/>
          <w:szCs w:val="4"/>
        </w:rPr>
      </w:pPr>
      <w:r w:rsidRPr="00F125FD">
        <w:rPr>
          <w:b/>
        </w:rPr>
        <w:t>Cereales de invierno</w:t>
      </w:r>
    </w:p>
    <w:p w14:paraId="1BB30FDB" w14:textId="77777777" w:rsidR="002E464E" w:rsidRDefault="002E464E" w:rsidP="00AA12E3"/>
    <w:p w14:paraId="705B237E" w14:textId="66013C76" w:rsidR="008D5CA1" w:rsidRPr="00A97402" w:rsidRDefault="00F125FD" w:rsidP="00AA12E3">
      <w:r w:rsidRPr="00F125FD">
        <w:t>La superficie total de cereales de invierno cultivada</w:t>
      </w:r>
      <w:r w:rsidR="008D6744">
        <w:t xml:space="preserve"> en Castilla y Leó</w:t>
      </w:r>
      <w:r w:rsidR="006A3996">
        <w:t>n</w:t>
      </w:r>
      <w:r w:rsidR="004E6BDF">
        <w:t xml:space="preserve"> en 2025</w:t>
      </w:r>
      <w:r w:rsidR="00E81ED1">
        <w:t xml:space="preserve"> fue de 1.81</w:t>
      </w:r>
      <w:r w:rsidR="00FB22B1">
        <w:t>8</w:t>
      </w:r>
      <w:r w:rsidR="00E81ED1">
        <w:t>.2</w:t>
      </w:r>
      <w:r w:rsidR="00FB22B1">
        <w:t>37</w:t>
      </w:r>
      <w:r w:rsidR="00E81ED1">
        <w:t xml:space="preserve"> hectáreas,</w:t>
      </w:r>
      <w:r w:rsidR="00A97402">
        <w:t xml:space="preserve"> </w:t>
      </w:r>
      <w:r w:rsidR="004E6BDF">
        <w:t xml:space="preserve">un </w:t>
      </w:r>
      <w:r w:rsidR="00A97402">
        <w:t>1</w:t>
      </w:r>
      <w:r w:rsidR="00FB22B1">
        <w:t>2,76</w:t>
      </w:r>
      <w:r w:rsidR="00A97402">
        <w:t>%</w:t>
      </w:r>
      <w:r w:rsidR="00E81ED1">
        <w:t xml:space="preserve"> superior</w:t>
      </w:r>
      <w:r w:rsidR="00A97402">
        <w:t xml:space="preserve"> respecto a 2024</w:t>
      </w:r>
      <w:r w:rsidR="00E81ED1">
        <w:t>. La</w:t>
      </w:r>
      <w:r w:rsidR="00C44818">
        <w:t xml:space="preserve"> producción</w:t>
      </w:r>
      <w:r w:rsidR="00E81ED1">
        <w:t xml:space="preserve"> obtenida según los últimos datos oficiales fue de 8.</w:t>
      </w:r>
      <w:r w:rsidR="00FB22B1">
        <w:t>417</w:t>
      </w:r>
      <w:r w:rsidR="00E81ED1">
        <w:t>.2</w:t>
      </w:r>
      <w:r w:rsidR="00FB22B1">
        <w:t>42</w:t>
      </w:r>
      <w:r w:rsidR="00E81ED1">
        <w:t xml:space="preserve"> toneladas, </w:t>
      </w:r>
      <w:r w:rsidR="00F436C4">
        <w:t>lo cual</w:t>
      </w:r>
      <w:r w:rsidR="00A43282">
        <w:t xml:space="preserve"> </w:t>
      </w:r>
      <w:r w:rsidR="00E81ED1">
        <w:t>supone</w:t>
      </w:r>
      <w:r w:rsidR="00C44818">
        <w:t xml:space="preserve"> </w:t>
      </w:r>
      <w:r w:rsidR="00E81ED1">
        <w:t>un incremento</w:t>
      </w:r>
      <w:r w:rsidR="00A97402">
        <w:t xml:space="preserve"> </w:t>
      </w:r>
      <w:r w:rsidR="00E81ED1">
        <w:t>de</w:t>
      </w:r>
      <w:r w:rsidR="00A97402">
        <w:t xml:space="preserve"> un </w:t>
      </w:r>
      <w:r w:rsidR="00B949C0">
        <w:t>2</w:t>
      </w:r>
      <w:r w:rsidR="00FB22B1">
        <w:t>7,38</w:t>
      </w:r>
      <w:r w:rsidR="00C44818">
        <w:t>%</w:t>
      </w:r>
      <w:r w:rsidR="00E81ED1">
        <w:t xml:space="preserve"> respecto a la pasada campaña</w:t>
      </w:r>
      <w:r w:rsidR="00A97402">
        <w:t xml:space="preserve">, </w:t>
      </w:r>
      <w:r w:rsidR="00AB39CB">
        <w:t xml:space="preserve">siendo los </w:t>
      </w:r>
      <w:r w:rsidR="008D5CA1" w:rsidRPr="00896749">
        <w:rPr>
          <w:rStyle w:val="Fuerte"/>
          <w:b w:val="0"/>
          <w:bCs w:val="0"/>
        </w:rPr>
        <w:t>rendimientos medios de 4.626 kg/ha</w:t>
      </w:r>
      <w:r w:rsidR="00A97402">
        <w:rPr>
          <w:rStyle w:val="Fuerte"/>
          <w:b w:val="0"/>
          <w:bCs w:val="0"/>
        </w:rPr>
        <w:t xml:space="preserve">, </w:t>
      </w:r>
      <w:r w:rsidR="008D5CA1" w:rsidRPr="00896749">
        <w:t>un </w:t>
      </w:r>
      <w:r w:rsidR="008D5CA1" w:rsidRPr="00896749">
        <w:rPr>
          <w:rStyle w:val="Fuerte"/>
          <w:b w:val="0"/>
          <w:bCs w:val="0"/>
        </w:rPr>
        <w:t>13%</w:t>
      </w:r>
      <w:r w:rsidR="008D5CA1">
        <w:rPr>
          <w:rStyle w:val="Fuerte"/>
          <w:b w:val="0"/>
          <w:bCs w:val="0"/>
        </w:rPr>
        <w:t xml:space="preserve"> </w:t>
      </w:r>
      <w:r w:rsidR="008D5CA1" w:rsidRPr="00896749">
        <w:rPr>
          <w:rStyle w:val="Fuerte"/>
          <w:b w:val="0"/>
          <w:bCs w:val="0"/>
        </w:rPr>
        <w:t>más</w:t>
      </w:r>
      <w:r w:rsidR="008D5CA1" w:rsidRPr="00896749">
        <w:t> que la campaña pasada y un </w:t>
      </w:r>
      <w:r w:rsidR="008D5CA1" w:rsidRPr="00896749">
        <w:rPr>
          <w:rStyle w:val="Fuerte"/>
          <w:b w:val="0"/>
          <w:bCs w:val="0"/>
        </w:rPr>
        <w:t>32% por encima</w:t>
      </w:r>
      <w:r w:rsidR="008D5CA1" w:rsidRPr="00896749">
        <w:t xml:space="preserve"> de la media de los últimos cinco años, </w:t>
      </w:r>
      <w:r w:rsidR="006D55E8">
        <w:t xml:space="preserve">siendo el de 2025 </w:t>
      </w:r>
      <w:r w:rsidR="008D5CA1" w:rsidRPr="00896749">
        <w:t>el </w:t>
      </w:r>
      <w:r w:rsidR="008D5CA1" w:rsidRPr="00896749">
        <w:rPr>
          <w:rStyle w:val="Fuerte"/>
        </w:rPr>
        <w:t>mejor rendimiento medio de los últimos 15 año</w:t>
      </w:r>
      <w:r w:rsidR="004E6BDF">
        <w:rPr>
          <w:rStyle w:val="Fuerte"/>
        </w:rPr>
        <w:t>s.</w:t>
      </w:r>
    </w:p>
    <w:p w14:paraId="778B22CB" w14:textId="77777777" w:rsidR="007D110B" w:rsidRDefault="007D110B" w:rsidP="00AA12E3">
      <w:pPr>
        <w:jc w:val="left"/>
      </w:pPr>
    </w:p>
    <w:p w14:paraId="725D682E" w14:textId="3F7E9E49" w:rsidR="00F125FD" w:rsidRDefault="00F125FD" w:rsidP="00AA12E3">
      <w:pPr>
        <w:jc w:val="left"/>
      </w:pPr>
      <w:r w:rsidRPr="00F125FD">
        <w:t>Por cultivos, la superficie y producción, así como la variación con respecto a la campaña anterior, se pueden ver en la siguiente tabla:</w:t>
      </w:r>
    </w:p>
    <w:p w14:paraId="6AD0A556" w14:textId="2D7DDA53" w:rsidR="0063024F" w:rsidRDefault="0063024F" w:rsidP="00AA12E3"/>
    <w:tbl>
      <w:tblPr>
        <w:tblW w:w="9028" w:type="dxa"/>
        <w:tblCellMar>
          <w:left w:w="70" w:type="dxa"/>
          <w:right w:w="70" w:type="dxa"/>
        </w:tblCellMar>
        <w:tblLook w:val="04A0" w:firstRow="1" w:lastRow="0" w:firstColumn="1" w:lastColumn="0" w:noHBand="0" w:noVBand="1"/>
      </w:tblPr>
      <w:tblGrid>
        <w:gridCol w:w="1911"/>
        <w:gridCol w:w="1091"/>
        <w:gridCol w:w="1091"/>
        <w:gridCol w:w="1366"/>
        <w:gridCol w:w="1091"/>
        <w:gridCol w:w="1228"/>
        <w:gridCol w:w="1250"/>
      </w:tblGrid>
      <w:tr w:rsidR="00FB301D" w:rsidRPr="00FB301D" w14:paraId="2F89BDEC" w14:textId="77777777" w:rsidTr="006376E5">
        <w:trPr>
          <w:trHeight w:val="278"/>
        </w:trPr>
        <w:tc>
          <w:tcPr>
            <w:tcW w:w="1911" w:type="dxa"/>
            <w:tcBorders>
              <w:top w:val="nil"/>
              <w:left w:val="nil"/>
              <w:bottom w:val="nil"/>
              <w:right w:val="nil"/>
            </w:tcBorders>
            <w:noWrap/>
            <w:vAlign w:val="bottom"/>
            <w:hideMark/>
          </w:tcPr>
          <w:p w14:paraId="7528CF8E" w14:textId="77777777" w:rsidR="00FB301D" w:rsidRPr="009A366E" w:rsidRDefault="00FB301D" w:rsidP="00AA12E3">
            <w:pPr>
              <w:jc w:val="left"/>
              <w:rPr>
                <w:sz w:val="21"/>
                <w:szCs w:val="21"/>
                <w:lang w:eastAsia="es-ES"/>
              </w:rPr>
            </w:pPr>
          </w:p>
        </w:tc>
        <w:tc>
          <w:tcPr>
            <w:tcW w:w="3548" w:type="dxa"/>
            <w:gridSpan w:val="3"/>
            <w:tcBorders>
              <w:top w:val="single" w:sz="4" w:space="0" w:color="auto"/>
              <w:left w:val="single" w:sz="4" w:space="0" w:color="auto"/>
              <w:bottom w:val="single" w:sz="4" w:space="0" w:color="auto"/>
              <w:right w:val="single" w:sz="4" w:space="0" w:color="000000"/>
            </w:tcBorders>
            <w:noWrap/>
            <w:vAlign w:val="bottom"/>
            <w:hideMark/>
          </w:tcPr>
          <w:p w14:paraId="39AF6CC7" w14:textId="77777777" w:rsidR="00FB301D" w:rsidRPr="009A366E" w:rsidRDefault="00FB301D" w:rsidP="00AA12E3">
            <w:pPr>
              <w:jc w:val="center"/>
              <w:rPr>
                <w:b/>
                <w:bCs/>
                <w:color w:val="000000"/>
                <w:sz w:val="21"/>
                <w:szCs w:val="21"/>
                <w:lang w:eastAsia="es-ES"/>
              </w:rPr>
            </w:pPr>
            <w:r w:rsidRPr="009A366E">
              <w:rPr>
                <w:b/>
                <w:bCs/>
                <w:color w:val="000000"/>
                <w:sz w:val="21"/>
                <w:szCs w:val="21"/>
                <w:lang w:eastAsia="es-ES"/>
              </w:rPr>
              <w:t>Superficie (Ha)</w:t>
            </w:r>
          </w:p>
        </w:tc>
        <w:tc>
          <w:tcPr>
            <w:tcW w:w="3569" w:type="dxa"/>
            <w:gridSpan w:val="3"/>
            <w:tcBorders>
              <w:top w:val="single" w:sz="4" w:space="0" w:color="auto"/>
              <w:left w:val="nil"/>
              <w:bottom w:val="single" w:sz="4" w:space="0" w:color="auto"/>
              <w:right w:val="single" w:sz="4" w:space="0" w:color="auto"/>
            </w:tcBorders>
            <w:noWrap/>
            <w:vAlign w:val="bottom"/>
            <w:hideMark/>
          </w:tcPr>
          <w:p w14:paraId="19ECE13E" w14:textId="0400D24F" w:rsidR="00FB301D" w:rsidRPr="009A366E" w:rsidRDefault="00FB301D" w:rsidP="00AA12E3">
            <w:pPr>
              <w:jc w:val="center"/>
              <w:rPr>
                <w:b/>
                <w:bCs/>
                <w:color w:val="000000"/>
                <w:sz w:val="21"/>
                <w:szCs w:val="21"/>
                <w:lang w:eastAsia="es-ES"/>
              </w:rPr>
            </w:pPr>
            <w:r w:rsidRPr="009A366E">
              <w:rPr>
                <w:b/>
                <w:bCs/>
                <w:color w:val="000000"/>
                <w:sz w:val="21"/>
                <w:szCs w:val="21"/>
                <w:lang w:eastAsia="es-ES"/>
              </w:rPr>
              <w:t>Producción (Tm)</w:t>
            </w:r>
          </w:p>
        </w:tc>
      </w:tr>
      <w:tr w:rsidR="00FB301D" w:rsidRPr="00FB301D" w14:paraId="493101F2" w14:textId="77777777" w:rsidTr="006376E5">
        <w:trPr>
          <w:trHeight w:val="278"/>
        </w:trPr>
        <w:tc>
          <w:tcPr>
            <w:tcW w:w="1911" w:type="dxa"/>
            <w:tcBorders>
              <w:top w:val="nil"/>
              <w:left w:val="nil"/>
              <w:bottom w:val="nil"/>
              <w:right w:val="nil"/>
            </w:tcBorders>
            <w:noWrap/>
            <w:vAlign w:val="bottom"/>
            <w:hideMark/>
          </w:tcPr>
          <w:p w14:paraId="5247DBA1" w14:textId="77777777" w:rsidR="00FB301D" w:rsidRPr="009A366E" w:rsidRDefault="00FB301D" w:rsidP="00AA12E3">
            <w:pPr>
              <w:jc w:val="center"/>
              <w:rPr>
                <w:color w:val="000000"/>
                <w:sz w:val="21"/>
                <w:szCs w:val="21"/>
                <w:lang w:eastAsia="es-ES"/>
              </w:rPr>
            </w:pPr>
          </w:p>
        </w:tc>
        <w:tc>
          <w:tcPr>
            <w:tcW w:w="1091" w:type="dxa"/>
            <w:tcBorders>
              <w:top w:val="nil"/>
              <w:left w:val="single" w:sz="4" w:space="0" w:color="auto"/>
              <w:bottom w:val="single" w:sz="4" w:space="0" w:color="auto"/>
              <w:right w:val="single" w:sz="4" w:space="0" w:color="auto"/>
            </w:tcBorders>
            <w:noWrap/>
            <w:vAlign w:val="bottom"/>
            <w:hideMark/>
          </w:tcPr>
          <w:p w14:paraId="29C1819D" w14:textId="77777777" w:rsidR="00FB301D" w:rsidRPr="009A366E" w:rsidRDefault="00FB301D" w:rsidP="00AA12E3">
            <w:pPr>
              <w:jc w:val="center"/>
              <w:rPr>
                <w:b/>
                <w:bCs/>
                <w:color w:val="000000"/>
                <w:sz w:val="21"/>
                <w:szCs w:val="21"/>
                <w:lang w:eastAsia="es-ES"/>
              </w:rPr>
            </w:pPr>
            <w:r w:rsidRPr="009A366E">
              <w:rPr>
                <w:b/>
                <w:bCs/>
                <w:color w:val="000000"/>
                <w:sz w:val="21"/>
                <w:szCs w:val="21"/>
                <w:lang w:eastAsia="es-ES"/>
              </w:rPr>
              <w:t>2024</w:t>
            </w:r>
          </w:p>
        </w:tc>
        <w:tc>
          <w:tcPr>
            <w:tcW w:w="1091" w:type="dxa"/>
            <w:tcBorders>
              <w:top w:val="nil"/>
              <w:left w:val="nil"/>
              <w:bottom w:val="single" w:sz="4" w:space="0" w:color="auto"/>
              <w:right w:val="single" w:sz="4" w:space="0" w:color="auto"/>
            </w:tcBorders>
            <w:noWrap/>
            <w:vAlign w:val="bottom"/>
            <w:hideMark/>
          </w:tcPr>
          <w:p w14:paraId="7F961A81" w14:textId="77777777" w:rsidR="00FB301D" w:rsidRPr="009A366E" w:rsidRDefault="00FB301D" w:rsidP="00AA12E3">
            <w:pPr>
              <w:jc w:val="center"/>
              <w:rPr>
                <w:b/>
                <w:bCs/>
                <w:color w:val="000000"/>
                <w:sz w:val="21"/>
                <w:szCs w:val="21"/>
                <w:lang w:eastAsia="es-ES"/>
              </w:rPr>
            </w:pPr>
            <w:r w:rsidRPr="009A366E">
              <w:rPr>
                <w:b/>
                <w:bCs/>
                <w:color w:val="000000"/>
                <w:sz w:val="21"/>
                <w:szCs w:val="21"/>
                <w:lang w:eastAsia="es-ES"/>
              </w:rPr>
              <w:t>2025</w:t>
            </w:r>
          </w:p>
        </w:tc>
        <w:tc>
          <w:tcPr>
            <w:tcW w:w="1365" w:type="dxa"/>
            <w:tcBorders>
              <w:top w:val="nil"/>
              <w:left w:val="nil"/>
              <w:bottom w:val="single" w:sz="4" w:space="0" w:color="auto"/>
              <w:right w:val="single" w:sz="4" w:space="0" w:color="auto"/>
            </w:tcBorders>
            <w:noWrap/>
            <w:vAlign w:val="bottom"/>
            <w:hideMark/>
          </w:tcPr>
          <w:p w14:paraId="3C83C917" w14:textId="77777777" w:rsidR="00FB301D" w:rsidRPr="009A366E" w:rsidRDefault="00FB301D" w:rsidP="00AA12E3">
            <w:pPr>
              <w:jc w:val="center"/>
              <w:rPr>
                <w:b/>
                <w:bCs/>
                <w:color w:val="000000"/>
                <w:sz w:val="21"/>
                <w:szCs w:val="21"/>
                <w:lang w:eastAsia="es-ES"/>
              </w:rPr>
            </w:pPr>
            <w:r w:rsidRPr="009A366E">
              <w:rPr>
                <w:b/>
                <w:bCs/>
                <w:color w:val="000000"/>
                <w:sz w:val="21"/>
                <w:szCs w:val="21"/>
                <w:lang w:eastAsia="es-ES"/>
              </w:rPr>
              <w:t>Variación %</w:t>
            </w:r>
          </w:p>
        </w:tc>
        <w:tc>
          <w:tcPr>
            <w:tcW w:w="1091" w:type="dxa"/>
            <w:tcBorders>
              <w:top w:val="nil"/>
              <w:left w:val="nil"/>
              <w:bottom w:val="single" w:sz="4" w:space="0" w:color="auto"/>
              <w:right w:val="single" w:sz="4" w:space="0" w:color="auto"/>
            </w:tcBorders>
            <w:noWrap/>
            <w:vAlign w:val="bottom"/>
            <w:hideMark/>
          </w:tcPr>
          <w:p w14:paraId="26C64582" w14:textId="77777777" w:rsidR="00FB301D" w:rsidRPr="009A366E" w:rsidRDefault="00FB301D" w:rsidP="00AA12E3">
            <w:pPr>
              <w:jc w:val="center"/>
              <w:rPr>
                <w:b/>
                <w:bCs/>
                <w:color w:val="000000"/>
                <w:sz w:val="21"/>
                <w:szCs w:val="21"/>
                <w:lang w:eastAsia="es-ES"/>
              </w:rPr>
            </w:pPr>
            <w:r w:rsidRPr="009A366E">
              <w:rPr>
                <w:b/>
                <w:bCs/>
                <w:color w:val="000000"/>
                <w:sz w:val="21"/>
                <w:szCs w:val="21"/>
                <w:lang w:eastAsia="es-ES"/>
              </w:rPr>
              <w:t>2024</w:t>
            </w:r>
          </w:p>
        </w:tc>
        <w:tc>
          <w:tcPr>
            <w:tcW w:w="1228" w:type="dxa"/>
            <w:tcBorders>
              <w:top w:val="nil"/>
              <w:left w:val="nil"/>
              <w:bottom w:val="single" w:sz="4" w:space="0" w:color="auto"/>
              <w:right w:val="single" w:sz="4" w:space="0" w:color="auto"/>
            </w:tcBorders>
            <w:noWrap/>
            <w:vAlign w:val="bottom"/>
            <w:hideMark/>
          </w:tcPr>
          <w:p w14:paraId="1F655103" w14:textId="77777777" w:rsidR="00FB301D" w:rsidRPr="009A366E" w:rsidRDefault="00FB301D" w:rsidP="00AA12E3">
            <w:pPr>
              <w:jc w:val="center"/>
              <w:rPr>
                <w:b/>
                <w:bCs/>
                <w:color w:val="000000"/>
                <w:sz w:val="21"/>
                <w:szCs w:val="21"/>
                <w:lang w:eastAsia="es-ES"/>
              </w:rPr>
            </w:pPr>
            <w:r w:rsidRPr="009A366E">
              <w:rPr>
                <w:b/>
                <w:bCs/>
                <w:color w:val="000000"/>
                <w:sz w:val="21"/>
                <w:szCs w:val="21"/>
                <w:lang w:eastAsia="es-ES"/>
              </w:rPr>
              <w:t>2025</w:t>
            </w:r>
          </w:p>
        </w:tc>
        <w:tc>
          <w:tcPr>
            <w:tcW w:w="1249" w:type="dxa"/>
            <w:tcBorders>
              <w:top w:val="nil"/>
              <w:left w:val="nil"/>
              <w:bottom w:val="single" w:sz="4" w:space="0" w:color="auto"/>
              <w:right w:val="single" w:sz="4" w:space="0" w:color="auto"/>
            </w:tcBorders>
            <w:noWrap/>
            <w:vAlign w:val="bottom"/>
            <w:hideMark/>
          </w:tcPr>
          <w:p w14:paraId="0CE1B031" w14:textId="77777777" w:rsidR="00FB301D" w:rsidRPr="009A366E" w:rsidRDefault="00FB301D" w:rsidP="00AA12E3">
            <w:pPr>
              <w:jc w:val="center"/>
              <w:rPr>
                <w:b/>
                <w:bCs/>
                <w:color w:val="000000"/>
                <w:sz w:val="21"/>
                <w:szCs w:val="21"/>
                <w:lang w:eastAsia="es-ES"/>
              </w:rPr>
            </w:pPr>
            <w:r w:rsidRPr="009A366E">
              <w:rPr>
                <w:b/>
                <w:bCs/>
                <w:color w:val="000000"/>
                <w:sz w:val="21"/>
                <w:szCs w:val="21"/>
                <w:lang w:eastAsia="es-ES"/>
              </w:rPr>
              <w:t>Variación %</w:t>
            </w:r>
          </w:p>
        </w:tc>
      </w:tr>
      <w:tr w:rsidR="00FB301D" w:rsidRPr="00FB301D" w14:paraId="47A41DE5" w14:textId="77777777" w:rsidTr="006376E5">
        <w:trPr>
          <w:trHeight w:val="278"/>
        </w:trPr>
        <w:tc>
          <w:tcPr>
            <w:tcW w:w="1911" w:type="dxa"/>
            <w:tcBorders>
              <w:top w:val="single" w:sz="4" w:space="0" w:color="auto"/>
              <w:left w:val="single" w:sz="4" w:space="0" w:color="auto"/>
              <w:bottom w:val="single" w:sz="4" w:space="0" w:color="auto"/>
              <w:right w:val="single" w:sz="4" w:space="0" w:color="auto"/>
            </w:tcBorders>
            <w:noWrap/>
            <w:vAlign w:val="bottom"/>
            <w:hideMark/>
          </w:tcPr>
          <w:p w14:paraId="782478F4" w14:textId="77777777" w:rsidR="00FB301D" w:rsidRPr="009A366E" w:rsidRDefault="00FB301D" w:rsidP="00AA12E3">
            <w:pPr>
              <w:jc w:val="left"/>
              <w:rPr>
                <w:color w:val="000000"/>
                <w:sz w:val="21"/>
                <w:szCs w:val="21"/>
                <w:lang w:eastAsia="es-ES"/>
              </w:rPr>
            </w:pPr>
            <w:r w:rsidRPr="009A366E">
              <w:rPr>
                <w:color w:val="000000"/>
                <w:sz w:val="21"/>
                <w:szCs w:val="21"/>
                <w:lang w:eastAsia="es-ES"/>
              </w:rPr>
              <w:t>Trigo blando</w:t>
            </w:r>
          </w:p>
        </w:tc>
        <w:tc>
          <w:tcPr>
            <w:tcW w:w="1091" w:type="dxa"/>
            <w:tcBorders>
              <w:top w:val="nil"/>
              <w:left w:val="nil"/>
              <w:bottom w:val="single" w:sz="4" w:space="0" w:color="auto"/>
              <w:right w:val="single" w:sz="4" w:space="0" w:color="auto"/>
            </w:tcBorders>
            <w:noWrap/>
            <w:vAlign w:val="bottom"/>
            <w:hideMark/>
          </w:tcPr>
          <w:p w14:paraId="2A4112E4" w14:textId="77777777" w:rsidR="00FB301D" w:rsidRPr="009A366E" w:rsidRDefault="00FB301D" w:rsidP="00AA12E3">
            <w:pPr>
              <w:jc w:val="center"/>
              <w:rPr>
                <w:color w:val="000000"/>
                <w:sz w:val="21"/>
                <w:szCs w:val="21"/>
                <w:lang w:eastAsia="es-ES"/>
              </w:rPr>
            </w:pPr>
            <w:r w:rsidRPr="009A366E">
              <w:rPr>
                <w:color w:val="000000"/>
                <w:sz w:val="21"/>
                <w:szCs w:val="21"/>
                <w:lang w:eastAsia="es-ES"/>
              </w:rPr>
              <w:t>771.199</w:t>
            </w:r>
          </w:p>
        </w:tc>
        <w:tc>
          <w:tcPr>
            <w:tcW w:w="1091" w:type="dxa"/>
            <w:tcBorders>
              <w:top w:val="nil"/>
              <w:left w:val="nil"/>
              <w:bottom w:val="single" w:sz="4" w:space="0" w:color="auto"/>
              <w:right w:val="single" w:sz="4" w:space="0" w:color="auto"/>
            </w:tcBorders>
            <w:noWrap/>
            <w:vAlign w:val="bottom"/>
            <w:hideMark/>
          </w:tcPr>
          <w:p w14:paraId="1D7E7E2F" w14:textId="77777777" w:rsidR="00FB301D" w:rsidRPr="009A366E" w:rsidRDefault="00FB301D" w:rsidP="00AA12E3">
            <w:pPr>
              <w:jc w:val="center"/>
              <w:rPr>
                <w:color w:val="000000"/>
                <w:sz w:val="21"/>
                <w:szCs w:val="21"/>
                <w:lang w:eastAsia="es-ES"/>
              </w:rPr>
            </w:pPr>
            <w:r w:rsidRPr="009A366E">
              <w:rPr>
                <w:color w:val="000000"/>
                <w:sz w:val="21"/>
                <w:szCs w:val="21"/>
                <w:lang w:eastAsia="es-ES"/>
              </w:rPr>
              <w:t>870.914</w:t>
            </w:r>
          </w:p>
        </w:tc>
        <w:tc>
          <w:tcPr>
            <w:tcW w:w="1365" w:type="dxa"/>
            <w:tcBorders>
              <w:top w:val="nil"/>
              <w:left w:val="nil"/>
              <w:bottom w:val="single" w:sz="4" w:space="0" w:color="auto"/>
              <w:right w:val="single" w:sz="4" w:space="0" w:color="auto"/>
            </w:tcBorders>
            <w:noWrap/>
            <w:vAlign w:val="bottom"/>
            <w:hideMark/>
          </w:tcPr>
          <w:p w14:paraId="18BBA43F" w14:textId="77777777" w:rsidR="00FB301D" w:rsidRPr="009A366E" w:rsidRDefault="00FB301D" w:rsidP="00AA12E3">
            <w:pPr>
              <w:jc w:val="center"/>
              <w:rPr>
                <w:color w:val="000000"/>
                <w:sz w:val="21"/>
                <w:szCs w:val="21"/>
                <w:lang w:eastAsia="es-ES"/>
              </w:rPr>
            </w:pPr>
            <w:r w:rsidRPr="009A366E">
              <w:rPr>
                <w:color w:val="000000"/>
                <w:sz w:val="21"/>
                <w:szCs w:val="21"/>
                <w:lang w:eastAsia="es-ES"/>
              </w:rPr>
              <w:t>12,93</w:t>
            </w:r>
          </w:p>
        </w:tc>
        <w:tc>
          <w:tcPr>
            <w:tcW w:w="1091" w:type="dxa"/>
            <w:tcBorders>
              <w:top w:val="nil"/>
              <w:left w:val="nil"/>
              <w:bottom w:val="single" w:sz="4" w:space="0" w:color="auto"/>
              <w:right w:val="single" w:sz="4" w:space="0" w:color="auto"/>
            </w:tcBorders>
            <w:noWrap/>
            <w:vAlign w:val="bottom"/>
            <w:hideMark/>
          </w:tcPr>
          <w:p w14:paraId="7198D030" w14:textId="77777777" w:rsidR="00FB301D" w:rsidRPr="009A366E" w:rsidRDefault="00FB301D" w:rsidP="00AA12E3">
            <w:pPr>
              <w:jc w:val="center"/>
              <w:rPr>
                <w:color w:val="000000"/>
                <w:sz w:val="21"/>
                <w:szCs w:val="21"/>
                <w:lang w:eastAsia="es-ES"/>
              </w:rPr>
            </w:pPr>
            <w:r w:rsidRPr="009A366E">
              <w:rPr>
                <w:color w:val="000000"/>
                <w:sz w:val="21"/>
                <w:szCs w:val="21"/>
                <w:lang w:eastAsia="es-ES"/>
              </w:rPr>
              <w:t>3.334.712</w:t>
            </w:r>
          </w:p>
        </w:tc>
        <w:tc>
          <w:tcPr>
            <w:tcW w:w="1228" w:type="dxa"/>
            <w:tcBorders>
              <w:top w:val="nil"/>
              <w:left w:val="nil"/>
              <w:bottom w:val="single" w:sz="4" w:space="0" w:color="auto"/>
              <w:right w:val="single" w:sz="4" w:space="0" w:color="auto"/>
            </w:tcBorders>
            <w:noWrap/>
            <w:vAlign w:val="bottom"/>
            <w:hideMark/>
          </w:tcPr>
          <w:p w14:paraId="0E77B056" w14:textId="77777777" w:rsidR="00FB301D" w:rsidRPr="009A366E" w:rsidRDefault="00FB301D" w:rsidP="00AA12E3">
            <w:pPr>
              <w:jc w:val="center"/>
              <w:rPr>
                <w:color w:val="000000"/>
                <w:sz w:val="21"/>
                <w:szCs w:val="21"/>
                <w:lang w:eastAsia="es-ES"/>
              </w:rPr>
            </w:pPr>
            <w:r w:rsidRPr="009A366E">
              <w:rPr>
                <w:color w:val="000000"/>
                <w:sz w:val="21"/>
                <w:szCs w:val="21"/>
                <w:lang w:eastAsia="es-ES"/>
              </w:rPr>
              <w:t>4.190.994</w:t>
            </w:r>
          </w:p>
        </w:tc>
        <w:tc>
          <w:tcPr>
            <w:tcW w:w="1249" w:type="dxa"/>
            <w:tcBorders>
              <w:top w:val="nil"/>
              <w:left w:val="nil"/>
              <w:bottom w:val="single" w:sz="4" w:space="0" w:color="auto"/>
              <w:right w:val="single" w:sz="4" w:space="0" w:color="auto"/>
            </w:tcBorders>
            <w:noWrap/>
            <w:vAlign w:val="bottom"/>
            <w:hideMark/>
          </w:tcPr>
          <w:p w14:paraId="20B48020" w14:textId="77777777" w:rsidR="00FB301D" w:rsidRPr="009A366E" w:rsidRDefault="00FB301D" w:rsidP="00AA12E3">
            <w:pPr>
              <w:jc w:val="center"/>
              <w:rPr>
                <w:color w:val="000000"/>
                <w:sz w:val="21"/>
                <w:szCs w:val="21"/>
                <w:lang w:eastAsia="es-ES"/>
              </w:rPr>
            </w:pPr>
            <w:r w:rsidRPr="009A366E">
              <w:rPr>
                <w:color w:val="000000"/>
                <w:sz w:val="21"/>
                <w:szCs w:val="21"/>
                <w:lang w:eastAsia="es-ES"/>
              </w:rPr>
              <w:t>25,68</w:t>
            </w:r>
          </w:p>
        </w:tc>
      </w:tr>
      <w:tr w:rsidR="00FB301D" w:rsidRPr="00FB301D" w14:paraId="4E9B12AF" w14:textId="77777777" w:rsidTr="006376E5">
        <w:trPr>
          <w:trHeight w:val="278"/>
        </w:trPr>
        <w:tc>
          <w:tcPr>
            <w:tcW w:w="1911" w:type="dxa"/>
            <w:tcBorders>
              <w:top w:val="nil"/>
              <w:left w:val="single" w:sz="4" w:space="0" w:color="auto"/>
              <w:bottom w:val="single" w:sz="4" w:space="0" w:color="auto"/>
              <w:right w:val="single" w:sz="4" w:space="0" w:color="auto"/>
            </w:tcBorders>
            <w:noWrap/>
            <w:vAlign w:val="bottom"/>
            <w:hideMark/>
          </w:tcPr>
          <w:p w14:paraId="7E1BC4F6" w14:textId="77777777" w:rsidR="00FB301D" w:rsidRPr="009A366E" w:rsidRDefault="00FB301D" w:rsidP="00AA12E3">
            <w:pPr>
              <w:jc w:val="left"/>
              <w:rPr>
                <w:color w:val="000000"/>
                <w:sz w:val="21"/>
                <w:szCs w:val="21"/>
                <w:lang w:eastAsia="es-ES"/>
              </w:rPr>
            </w:pPr>
            <w:r w:rsidRPr="009A366E">
              <w:rPr>
                <w:color w:val="000000"/>
                <w:sz w:val="21"/>
                <w:szCs w:val="21"/>
                <w:lang w:eastAsia="es-ES"/>
              </w:rPr>
              <w:t>Trigo duro</w:t>
            </w:r>
          </w:p>
        </w:tc>
        <w:tc>
          <w:tcPr>
            <w:tcW w:w="1091" w:type="dxa"/>
            <w:tcBorders>
              <w:top w:val="nil"/>
              <w:left w:val="nil"/>
              <w:bottom w:val="single" w:sz="4" w:space="0" w:color="auto"/>
              <w:right w:val="single" w:sz="4" w:space="0" w:color="auto"/>
            </w:tcBorders>
            <w:noWrap/>
            <w:vAlign w:val="bottom"/>
            <w:hideMark/>
          </w:tcPr>
          <w:p w14:paraId="0A600B5B" w14:textId="77777777" w:rsidR="00FB301D" w:rsidRPr="009A366E" w:rsidRDefault="00FB301D" w:rsidP="00AA12E3">
            <w:pPr>
              <w:jc w:val="center"/>
              <w:rPr>
                <w:color w:val="000000"/>
                <w:sz w:val="21"/>
                <w:szCs w:val="21"/>
                <w:lang w:eastAsia="es-ES"/>
              </w:rPr>
            </w:pPr>
            <w:r w:rsidRPr="009A366E">
              <w:rPr>
                <w:color w:val="000000"/>
                <w:sz w:val="21"/>
                <w:szCs w:val="21"/>
                <w:lang w:eastAsia="es-ES"/>
              </w:rPr>
              <w:t>902</w:t>
            </w:r>
          </w:p>
        </w:tc>
        <w:tc>
          <w:tcPr>
            <w:tcW w:w="1091" w:type="dxa"/>
            <w:tcBorders>
              <w:top w:val="nil"/>
              <w:left w:val="nil"/>
              <w:bottom w:val="single" w:sz="4" w:space="0" w:color="auto"/>
              <w:right w:val="single" w:sz="4" w:space="0" w:color="auto"/>
            </w:tcBorders>
            <w:noWrap/>
            <w:vAlign w:val="bottom"/>
            <w:hideMark/>
          </w:tcPr>
          <w:p w14:paraId="21A04A72" w14:textId="77777777" w:rsidR="00FB301D" w:rsidRPr="009A366E" w:rsidRDefault="00FB301D" w:rsidP="00AA12E3">
            <w:pPr>
              <w:jc w:val="center"/>
              <w:rPr>
                <w:color w:val="000000"/>
                <w:sz w:val="21"/>
                <w:szCs w:val="21"/>
                <w:lang w:eastAsia="es-ES"/>
              </w:rPr>
            </w:pPr>
            <w:r w:rsidRPr="009A366E">
              <w:rPr>
                <w:color w:val="000000"/>
                <w:sz w:val="21"/>
                <w:szCs w:val="21"/>
                <w:lang w:eastAsia="es-ES"/>
              </w:rPr>
              <w:t>639</w:t>
            </w:r>
          </w:p>
        </w:tc>
        <w:tc>
          <w:tcPr>
            <w:tcW w:w="1365" w:type="dxa"/>
            <w:tcBorders>
              <w:top w:val="nil"/>
              <w:left w:val="nil"/>
              <w:bottom w:val="single" w:sz="4" w:space="0" w:color="auto"/>
              <w:right w:val="single" w:sz="4" w:space="0" w:color="auto"/>
            </w:tcBorders>
            <w:noWrap/>
            <w:vAlign w:val="bottom"/>
            <w:hideMark/>
          </w:tcPr>
          <w:p w14:paraId="1D54CD96" w14:textId="77777777" w:rsidR="00FB301D" w:rsidRPr="009A366E" w:rsidRDefault="00FB301D" w:rsidP="00AA12E3">
            <w:pPr>
              <w:jc w:val="center"/>
              <w:rPr>
                <w:color w:val="000000"/>
                <w:sz w:val="21"/>
                <w:szCs w:val="21"/>
                <w:lang w:eastAsia="es-ES"/>
              </w:rPr>
            </w:pPr>
            <w:r w:rsidRPr="009A366E">
              <w:rPr>
                <w:color w:val="000000"/>
                <w:sz w:val="21"/>
                <w:szCs w:val="21"/>
                <w:lang w:eastAsia="es-ES"/>
              </w:rPr>
              <w:t>-29,16</w:t>
            </w:r>
          </w:p>
        </w:tc>
        <w:tc>
          <w:tcPr>
            <w:tcW w:w="1091" w:type="dxa"/>
            <w:tcBorders>
              <w:top w:val="nil"/>
              <w:left w:val="nil"/>
              <w:bottom w:val="single" w:sz="4" w:space="0" w:color="auto"/>
              <w:right w:val="single" w:sz="4" w:space="0" w:color="auto"/>
            </w:tcBorders>
            <w:noWrap/>
            <w:vAlign w:val="bottom"/>
            <w:hideMark/>
          </w:tcPr>
          <w:p w14:paraId="595FA29F" w14:textId="77777777" w:rsidR="00FB301D" w:rsidRPr="009A366E" w:rsidRDefault="00FB301D" w:rsidP="00AA12E3">
            <w:pPr>
              <w:jc w:val="center"/>
              <w:rPr>
                <w:color w:val="000000"/>
                <w:sz w:val="21"/>
                <w:szCs w:val="21"/>
                <w:lang w:eastAsia="es-ES"/>
              </w:rPr>
            </w:pPr>
            <w:r w:rsidRPr="009A366E">
              <w:rPr>
                <w:color w:val="000000"/>
                <w:sz w:val="21"/>
                <w:szCs w:val="21"/>
                <w:lang w:eastAsia="es-ES"/>
              </w:rPr>
              <w:t>3.984</w:t>
            </w:r>
          </w:p>
        </w:tc>
        <w:tc>
          <w:tcPr>
            <w:tcW w:w="1228" w:type="dxa"/>
            <w:tcBorders>
              <w:top w:val="nil"/>
              <w:left w:val="nil"/>
              <w:bottom w:val="single" w:sz="4" w:space="0" w:color="auto"/>
              <w:right w:val="single" w:sz="4" w:space="0" w:color="auto"/>
            </w:tcBorders>
            <w:noWrap/>
            <w:vAlign w:val="bottom"/>
            <w:hideMark/>
          </w:tcPr>
          <w:p w14:paraId="44EE9144" w14:textId="77777777" w:rsidR="00FB301D" w:rsidRPr="009A366E" w:rsidRDefault="00FB301D" w:rsidP="00AA12E3">
            <w:pPr>
              <w:jc w:val="center"/>
              <w:rPr>
                <w:color w:val="000000"/>
                <w:sz w:val="21"/>
                <w:szCs w:val="21"/>
                <w:lang w:eastAsia="es-ES"/>
              </w:rPr>
            </w:pPr>
            <w:r w:rsidRPr="009A366E">
              <w:rPr>
                <w:color w:val="000000"/>
                <w:sz w:val="21"/>
                <w:szCs w:val="21"/>
                <w:lang w:eastAsia="es-ES"/>
              </w:rPr>
              <w:t>2.824</w:t>
            </w:r>
          </w:p>
        </w:tc>
        <w:tc>
          <w:tcPr>
            <w:tcW w:w="1249" w:type="dxa"/>
            <w:tcBorders>
              <w:top w:val="nil"/>
              <w:left w:val="nil"/>
              <w:bottom w:val="single" w:sz="4" w:space="0" w:color="auto"/>
              <w:right w:val="single" w:sz="4" w:space="0" w:color="auto"/>
            </w:tcBorders>
            <w:noWrap/>
            <w:vAlign w:val="bottom"/>
            <w:hideMark/>
          </w:tcPr>
          <w:p w14:paraId="0F47BFF0" w14:textId="77777777" w:rsidR="00FB301D" w:rsidRPr="009A366E" w:rsidRDefault="00FB301D" w:rsidP="00AA12E3">
            <w:pPr>
              <w:jc w:val="center"/>
              <w:rPr>
                <w:color w:val="000000"/>
                <w:sz w:val="21"/>
                <w:szCs w:val="21"/>
                <w:lang w:eastAsia="es-ES"/>
              </w:rPr>
            </w:pPr>
            <w:r w:rsidRPr="009A366E">
              <w:rPr>
                <w:color w:val="000000"/>
                <w:sz w:val="21"/>
                <w:szCs w:val="21"/>
                <w:lang w:eastAsia="es-ES"/>
              </w:rPr>
              <w:t>-29,12</w:t>
            </w:r>
          </w:p>
        </w:tc>
      </w:tr>
      <w:tr w:rsidR="00FB301D" w:rsidRPr="00FB301D" w14:paraId="677FF0CA" w14:textId="77777777" w:rsidTr="006376E5">
        <w:trPr>
          <w:trHeight w:val="278"/>
        </w:trPr>
        <w:tc>
          <w:tcPr>
            <w:tcW w:w="1911" w:type="dxa"/>
            <w:tcBorders>
              <w:top w:val="nil"/>
              <w:left w:val="single" w:sz="4" w:space="0" w:color="auto"/>
              <w:bottom w:val="single" w:sz="4" w:space="0" w:color="auto"/>
              <w:right w:val="single" w:sz="4" w:space="0" w:color="auto"/>
            </w:tcBorders>
            <w:noWrap/>
            <w:vAlign w:val="bottom"/>
            <w:hideMark/>
          </w:tcPr>
          <w:p w14:paraId="2E289BC4" w14:textId="77777777" w:rsidR="00FB301D" w:rsidRPr="009A366E" w:rsidRDefault="00FB301D" w:rsidP="00AA12E3">
            <w:pPr>
              <w:jc w:val="left"/>
              <w:rPr>
                <w:color w:val="000000"/>
                <w:sz w:val="21"/>
                <w:szCs w:val="21"/>
                <w:lang w:eastAsia="es-ES"/>
              </w:rPr>
            </w:pPr>
            <w:r w:rsidRPr="009A366E">
              <w:rPr>
                <w:color w:val="000000"/>
                <w:sz w:val="21"/>
                <w:szCs w:val="21"/>
                <w:lang w:eastAsia="es-ES"/>
              </w:rPr>
              <w:t xml:space="preserve">Trigo </w:t>
            </w:r>
          </w:p>
        </w:tc>
        <w:tc>
          <w:tcPr>
            <w:tcW w:w="1091" w:type="dxa"/>
            <w:tcBorders>
              <w:top w:val="nil"/>
              <w:left w:val="nil"/>
              <w:bottom w:val="single" w:sz="4" w:space="0" w:color="auto"/>
              <w:right w:val="single" w:sz="4" w:space="0" w:color="auto"/>
            </w:tcBorders>
            <w:noWrap/>
            <w:vAlign w:val="bottom"/>
            <w:hideMark/>
          </w:tcPr>
          <w:p w14:paraId="66EC8006" w14:textId="77777777" w:rsidR="00FB301D" w:rsidRPr="009A366E" w:rsidRDefault="00FB301D" w:rsidP="00AA12E3">
            <w:pPr>
              <w:jc w:val="center"/>
              <w:rPr>
                <w:color w:val="000000"/>
                <w:sz w:val="21"/>
                <w:szCs w:val="21"/>
                <w:lang w:eastAsia="es-ES"/>
              </w:rPr>
            </w:pPr>
            <w:r w:rsidRPr="009A366E">
              <w:rPr>
                <w:color w:val="000000"/>
                <w:sz w:val="21"/>
                <w:szCs w:val="21"/>
                <w:lang w:eastAsia="es-ES"/>
              </w:rPr>
              <w:t>772.101</w:t>
            </w:r>
          </w:p>
        </w:tc>
        <w:tc>
          <w:tcPr>
            <w:tcW w:w="1091" w:type="dxa"/>
            <w:tcBorders>
              <w:top w:val="nil"/>
              <w:left w:val="nil"/>
              <w:bottom w:val="single" w:sz="4" w:space="0" w:color="auto"/>
              <w:right w:val="single" w:sz="4" w:space="0" w:color="auto"/>
            </w:tcBorders>
            <w:noWrap/>
            <w:vAlign w:val="bottom"/>
            <w:hideMark/>
          </w:tcPr>
          <w:p w14:paraId="19F84D82" w14:textId="77777777" w:rsidR="00FB301D" w:rsidRPr="009A366E" w:rsidRDefault="00FB301D" w:rsidP="00AA12E3">
            <w:pPr>
              <w:jc w:val="center"/>
              <w:rPr>
                <w:color w:val="000000"/>
                <w:sz w:val="21"/>
                <w:szCs w:val="21"/>
                <w:lang w:eastAsia="es-ES"/>
              </w:rPr>
            </w:pPr>
            <w:r w:rsidRPr="009A366E">
              <w:rPr>
                <w:color w:val="000000"/>
                <w:sz w:val="21"/>
                <w:szCs w:val="21"/>
                <w:lang w:eastAsia="es-ES"/>
              </w:rPr>
              <w:t>871.553</w:t>
            </w:r>
          </w:p>
        </w:tc>
        <w:tc>
          <w:tcPr>
            <w:tcW w:w="1365" w:type="dxa"/>
            <w:tcBorders>
              <w:top w:val="nil"/>
              <w:left w:val="nil"/>
              <w:bottom w:val="single" w:sz="4" w:space="0" w:color="auto"/>
              <w:right w:val="single" w:sz="4" w:space="0" w:color="auto"/>
            </w:tcBorders>
            <w:noWrap/>
            <w:vAlign w:val="bottom"/>
            <w:hideMark/>
          </w:tcPr>
          <w:p w14:paraId="65C23A35" w14:textId="77777777" w:rsidR="00FB301D" w:rsidRPr="009A366E" w:rsidRDefault="00FB301D" w:rsidP="00AA12E3">
            <w:pPr>
              <w:jc w:val="center"/>
              <w:rPr>
                <w:color w:val="000000"/>
                <w:sz w:val="21"/>
                <w:szCs w:val="21"/>
                <w:lang w:eastAsia="es-ES"/>
              </w:rPr>
            </w:pPr>
            <w:r w:rsidRPr="009A366E">
              <w:rPr>
                <w:color w:val="000000"/>
                <w:sz w:val="21"/>
                <w:szCs w:val="21"/>
                <w:lang w:eastAsia="es-ES"/>
              </w:rPr>
              <w:t>12,88</w:t>
            </w:r>
          </w:p>
        </w:tc>
        <w:tc>
          <w:tcPr>
            <w:tcW w:w="1091" w:type="dxa"/>
            <w:tcBorders>
              <w:top w:val="nil"/>
              <w:left w:val="nil"/>
              <w:bottom w:val="single" w:sz="4" w:space="0" w:color="auto"/>
              <w:right w:val="single" w:sz="4" w:space="0" w:color="auto"/>
            </w:tcBorders>
            <w:noWrap/>
            <w:vAlign w:val="bottom"/>
            <w:hideMark/>
          </w:tcPr>
          <w:p w14:paraId="673FF61E" w14:textId="77777777" w:rsidR="00FB301D" w:rsidRPr="009A366E" w:rsidRDefault="00FB301D" w:rsidP="00AA12E3">
            <w:pPr>
              <w:jc w:val="center"/>
              <w:rPr>
                <w:color w:val="000000"/>
                <w:sz w:val="21"/>
                <w:szCs w:val="21"/>
                <w:lang w:eastAsia="es-ES"/>
              </w:rPr>
            </w:pPr>
            <w:r w:rsidRPr="009A366E">
              <w:rPr>
                <w:color w:val="000000"/>
                <w:sz w:val="21"/>
                <w:szCs w:val="21"/>
                <w:lang w:eastAsia="es-ES"/>
              </w:rPr>
              <w:t>3.338.696</w:t>
            </w:r>
          </w:p>
        </w:tc>
        <w:tc>
          <w:tcPr>
            <w:tcW w:w="1228" w:type="dxa"/>
            <w:tcBorders>
              <w:top w:val="nil"/>
              <w:left w:val="nil"/>
              <w:bottom w:val="single" w:sz="4" w:space="0" w:color="auto"/>
              <w:right w:val="single" w:sz="4" w:space="0" w:color="auto"/>
            </w:tcBorders>
            <w:noWrap/>
            <w:vAlign w:val="bottom"/>
            <w:hideMark/>
          </w:tcPr>
          <w:p w14:paraId="1BD1C833" w14:textId="77777777" w:rsidR="00FB301D" w:rsidRPr="009A366E" w:rsidRDefault="00FB301D" w:rsidP="00AA12E3">
            <w:pPr>
              <w:jc w:val="center"/>
              <w:rPr>
                <w:color w:val="000000"/>
                <w:sz w:val="21"/>
                <w:szCs w:val="21"/>
                <w:lang w:eastAsia="es-ES"/>
              </w:rPr>
            </w:pPr>
            <w:r w:rsidRPr="009A366E">
              <w:rPr>
                <w:color w:val="000000"/>
                <w:sz w:val="21"/>
                <w:szCs w:val="21"/>
                <w:lang w:eastAsia="es-ES"/>
              </w:rPr>
              <w:t>4.193.818</w:t>
            </w:r>
          </w:p>
        </w:tc>
        <w:tc>
          <w:tcPr>
            <w:tcW w:w="1249" w:type="dxa"/>
            <w:tcBorders>
              <w:top w:val="nil"/>
              <w:left w:val="nil"/>
              <w:bottom w:val="single" w:sz="4" w:space="0" w:color="auto"/>
              <w:right w:val="single" w:sz="4" w:space="0" w:color="auto"/>
            </w:tcBorders>
            <w:noWrap/>
            <w:vAlign w:val="bottom"/>
            <w:hideMark/>
          </w:tcPr>
          <w:p w14:paraId="59FA0433" w14:textId="77777777" w:rsidR="00FB301D" w:rsidRPr="009A366E" w:rsidRDefault="00FB301D" w:rsidP="00AA12E3">
            <w:pPr>
              <w:jc w:val="center"/>
              <w:rPr>
                <w:color w:val="000000"/>
                <w:sz w:val="21"/>
                <w:szCs w:val="21"/>
                <w:lang w:eastAsia="es-ES"/>
              </w:rPr>
            </w:pPr>
            <w:r w:rsidRPr="009A366E">
              <w:rPr>
                <w:color w:val="000000"/>
                <w:sz w:val="21"/>
                <w:szCs w:val="21"/>
                <w:lang w:eastAsia="es-ES"/>
              </w:rPr>
              <w:t>25,61</w:t>
            </w:r>
          </w:p>
        </w:tc>
      </w:tr>
      <w:tr w:rsidR="00FB301D" w:rsidRPr="00FB301D" w14:paraId="1F10A7DD" w14:textId="77777777" w:rsidTr="006376E5">
        <w:trPr>
          <w:trHeight w:val="278"/>
        </w:trPr>
        <w:tc>
          <w:tcPr>
            <w:tcW w:w="1911" w:type="dxa"/>
            <w:tcBorders>
              <w:top w:val="nil"/>
              <w:left w:val="single" w:sz="4" w:space="0" w:color="auto"/>
              <w:bottom w:val="single" w:sz="4" w:space="0" w:color="auto"/>
              <w:right w:val="single" w:sz="4" w:space="0" w:color="auto"/>
            </w:tcBorders>
            <w:noWrap/>
            <w:vAlign w:val="bottom"/>
            <w:hideMark/>
          </w:tcPr>
          <w:p w14:paraId="3245748A" w14:textId="77777777" w:rsidR="00FB301D" w:rsidRPr="009A366E" w:rsidRDefault="00FB301D" w:rsidP="00AA12E3">
            <w:pPr>
              <w:jc w:val="left"/>
              <w:rPr>
                <w:color w:val="000000"/>
                <w:sz w:val="21"/>
                <w:szCs w:val="21"/>
                <w:lang w:eastAsia="es-ES"/>
              </w:rPr>
            </w:pPr>
            <w:r w:rsidRPr="009A366E">
              <w:rPr>
                <w:color w:val="000000"/>
                <w:sz w:val="21"/>
                <w:szCs w:val="21"/>
                <w:lang w:eastAsia="es-ES"/>
              </w:rPr>
              <w:t>Cebada</w:t>
            </w:r>
          </w:p>
        </w:tc>
        <w:tc>
          <w:tcPr>
            <w:tcW w:w="1091" w:type="dxa"/>
            <w:tcBorders>
              <w:top w:val="nil"/>
              <w:left w:val="nil"/>
              <w:bottom w:val="single" w:sz="4" w:space="0" w:color="auto"/>
              <w:right w:val="single" w:sz="4" w:space="0" w:color="auto"/>
            </w:tcBorders>
            <w:noWrap/>
            <w:vAlign w:val="bottom"/>
            <w:hideMark/>
          </w:tcPr>
          <w:p w14:paraId="2D948EFA" w14:textId="77777777" w:rsidR="00FB301D" w:rsidRPr="009A366E" w:rsidRDefault="00FB301D" w:rsidP="00AA12E3">
            <w:pPr>
              <w:jc w:val="center"/>
              <w:rPr>
                <w:color w:val="000000"/>
                <w:sz w:val="21"/>
                <w:szCs w:val="21"/>
                <w:lang w:eastAsia="es-ES"/>
              </w:rPr>
            </w:pPr>
            <w:r w:rsidRPr="009A366E">
              <w:rPr>
                <w:color w:val="000000"/>
                <w:sz w:val="21"/>
                <w:szCs w:val="21"/>
                <w:lang w:eastAsia="es-ES"/>
              </w:rPr>
              <w:t>641.416</w:t>
            </w:r>
          </w:p>
        </w:tc>
        <w:tc>
          <w:tcPr>
            <w:tcW w:w="1091" w:type="dxa"/>
            <w:tcBorders>
              <w:top w:val="nil"/>
              <w:left w:val="nil"/>
              <w:bottom w:val="single" w:sz="4" w:space="0" w:color="auto"/>
              <w:right w:val="single" w:sz="4" w:space="0" w:color="auto"/>
            </w:tcBorders>
            <w:noWrap/>
            <w:vAlign w:val="bottom"/>
            <w:hideMark/>
          </w:tcPr>
          <w:p w14:paraId="373DD32E" w14:textId="77777777" w:rsidR="00FB301D" w:rsidRPr="009A366E" w:rsidRDefault="00FB301D" w:rsidP="00AA12E3">
            <w:pPr>
              <w:jc w:val="center"/>
              <w:rPr>
                <w:color w:val="000000"/>
                <w:sz w:val="21"/>
                <w:szCs w:val="21"/>
                <w:lang w:eastAsia="es-ES"/>
              </w:rPr>
            </w:pPr>
            <w:r w:rsidRPr="009A366E">
              <w:rPr>
                <w:color w:val="000000"/>
                <w:sz w:val="21"/>
                <w:szCs w:val="21"/>
                <w:lang w:eastAsia="es-ES"/>
              </w:rPr>
              <w:t>713.263</w:t>
            </w:r>
          </w:p>
        </w:tc>
        <w:tc>
          <w:tcPr>
            <w:tcW w:w="1365" w:type="dxa"/>
            <w:tcBorders>
              <w:top w:val="nil"/>
              <w:left w:val="nil"/>
              <w:bottom w:val="single" w:sz="4" w:space="0" w:color="auto"/>
              <w:right w:val="single" w:sz="4" w:space="0" w:color="auto"/>
            </w:tcBorders>
            <w:noWrap/>
            <w:vAlign w:val="bottom"/>
            <w:hideMark/>
          </w:tcPr>
          <w:p w14:paraId="59DB54B1" w14:textId="77777777" w:rsidR="00FB301D" w:rsidRPr="009A366E" w:rsidRDefault="00FB301D" w:rsidP="00AA12E3">
            <w:pPr>
              <w:jc w:val="center"/>
              <w:rPr>
                <w:color w:val="000000"/>
                <w:sz w:val="21"/>
                <w:szCs w:val="21"/>
                <w:lang w:eastAsia="es-ES"/>
              </w:rPr>
            </w:pPr>
            <w:r w:rsidRPr="009A366E">
              <w:rPr>
                <w:color w:val="000000"/>
                <w:sz w:val="21"/>
                <w:szCs w:val="21"/>
                <w:lang w:eastAsia="es-ES"/>
              </w:rPr>
              <w:t>11,20</w:t>
            </w:r>
          </w:p>
        </w:tc>
        <w:tc>
          <w:tcPr>
            <w:tcW w:w="1091" w:type="dxa"/>
            <w:tcBorders>
              <w:top w:val="nil"/>
              <w:left w:val="nil"/>
              <w:bottom w:val="single" w:sz="4" w:space="0" w:color="auto"/>
              <w:right w:val="single" w:sz="4" w:space="0" w:color="auto"/>
            </w:tcBorders>
            <w:noWrap/>
            <w:vAlign w:val="bottom"/>
            <w:hideMark/>
          </w:tcPr>
          <w:p w14:paraId="4E4CE0FE" w14:textId="77777777" w:rsidR="00FB301D" w:rsidRPr="009A366E" w:rsidRDefault="00FB301D" w:rsidP="00AA12E3">
            <w:pPr>
              <w:jc w:val="center"/>
              <w:rPr>
                <w:color w:val="000000"/>
                <w:sz w:val="21"/>
                <w:szCs w:val="21"/>
                <w:lang w:eastAsia="es-ES"/>
              </w:rPr>
            </w:pPr>
            <w:r w:rsidRPr="009A366E">
              <w:rPr>
                <w:color w:val="000000"/>
                <w:sz w:val="21"/>
                <w:szCs w:val="21"/>
                <w:lang w:eastAsia="es-ES"/>
              </w:rPr>
              <w:t>2.656.616</w:t>
            </w:r>
          </w:p>
        </w:tc>
        <w:tc>
          <w:tcPr>
            <w:tcW w:w="1228" w:type="dxa"/>
            <w:tcBorders>
              <w:top w:val="nil"/>
              <w:left w:val="nil"/>
              <w:bottom w:val="single" w:sz="4" w:space="0" w:color="auto"/>
              <w:right w:val="single" w:sz="4" w:space="0" w:color="auto"/>
            </w:tcBorders>
            <w:noWrap/>
            <w:vAlign w:val="bottom"/>
            <w:hideMark/>
          </w:tcPr>
          <w:p w14:paraId="7660502E" w14:textId="77777777" w:rsidR="00FB301D" w:rsidRPr="009A366E" w:rsidRDefault="00FB301D" w:rsidP="00AA12E3">
            <w:pPr>
              <w:jc w:val="center"/>
              <w:rPr>
                <w:color w:val="000000"/>
                <w:sz w:val="21"/>
                <w:szCs w:val="21"/>
                <w:lang w:eastAsia="es-ES"/>
              </w:rPr>
            </w:pPr>
            <w:r w:rsidRPr="009A366E">
              <w:rPr>
                <w:color w:val="000000"/>
                <w:sz w:val="21"/>
                <w:szCs w:val="21"/>
                <w:lang w:eastAsia="es-ES"/>
              </w:rPr>
              <w:t>3.449.796</w:t>
            </w:r>
          </w:p>
        </w:tc>
        <w:tc>
          <w:tcPr>
            <w:tcW w:w="1249" w:type="dxa"/>
            <w:tcBorders>
              <w:top w:val="nil"/>
              <w:left w:val="nil"/>
              <w:bottom w:val="single" w:sz="4" w:space="0" w:color="auto"/>
              <w:right w:val="single" w:sz="4" w:space="0" w:color="auto"/>
            </w:tcBorders>
            <w:noWrap/>
            <w:vAlign w:val="bottom"/>
            <w:hideMark/>
          </w:tcPr>
          <w:p w14:paraId="67F0E1BB" w14:textId="77777777" w:rsidR="00FB301D" w:rsidRPr="009A366E" w:rsidRDefault="00FB301D" w:rsidP="00AA12E3">
            <w:pPr>
              <w:jc w:val="center"/>
              <w:rPr>
                <w:color w:val="000000"/>
                <w:sz w:val="21"/>
                <w:szCs w:val="21"/>
                <w:lang w:eastAsia="es-ES"/>
              </w:rPr>
            </w:pPr>
            <w:r w:rsidRPr="009A366E">
              <w:rPr>
                <w:color w:val="000000"/>
                <w:sz w:val="21"/>
                <w:szCs w:val="21"/>
                <w:lang w:eastAsia="es-ES"/>
              </w:rPr>
              <w:t>29,86</w:t>
            </w:r>
          </w:p>
        </w:tc>
      </w:tr>
      <w:tr w:rsidR="00FB301D" w:rsidRPr="00FB301D" w14:paraId="0C4F5E08" w14:textId="77777777" w:rsidTr="006376E5">
        <w:trPr>
          <w:trHeight w:val="278"/>
        </w:trPr>
        <w:tc>
          <w:tcPr>
            <w:tcW w:w="1911" w:type="dxa"/>
            <w:tcBorders>
              <w:top w:val="nil"/>
              <w:left w:val="single" w:sz="4" w:space="0" w:color="auto"/>
              <w:bottom w:val="single" w:sz="4" w:space="0" w:color="auto"/>
              <w:right w:val="single" w:sz="4" w:space="0" w:color="auto"/>
            </w:tcBorders>
            <w:noWrap/>
            <w:vAlign w:val="bottom"/>
            <w:hideMark/>
          </w:tcPr>
          <w:p w14:paraId="5D049676" w14:textId="77777777" w:rsidR="00FB301D" w:rsidRPr="009A366E" w:rsidRDefault="00FB301D" w:rsidP="00AA12E3">
            <w:pPr>
              <w:jc w:val="left"/>
              <w:rPr>
                <w:color w:val="000000"/>
                <w:sz w:val="21"/>
                <w:szCs w:val="21"/>
                <w:lang w:eastAsia="es-ES"/>
              </w:rPr>
            </w:pPr>
            <w:r w:rsidRPr="009A366E">
              <w:rPr>
                <w:color w:val="000000"/>
                <w:sz w:val="21"/>
                <w:szCs w:val="21"/>
                <w:lang w:eastAsia="es-ES"/>
              </w:rPr>
              <w:t>Avena</w:t>
            </w:r>
          </w:p>
        </w:tc>
        <w:tc>
          <w:tcPr>
            <w:tcW w:w="1091" w:type="dxa"/>
            <w:tcBorders>
              <w:top w:val="nil"/>
              <w:left w:val="nil"/>
              <w:bottom w:val="single" w:sz="4" w:space="0" w:color="auto"/>
              <w:right w:val="single" w:sz="4" w:space="0" w:color="auto"/>
            </w:tcBorders>
            <w:noWrap/>
            <w:vAlign w:val="bottom"/>
            <w:hideMark/>
          </w:tcPr>
          <w:p w14:paraId="140D0A28" w14:textId="77777777" w:rsidR="00FB301D" w:rsidRPr="009A366E" w:rsidRDefault="00FB301D" w:rsidP="00AA12E3">
            <w:pPr>
              <w:jc w:val="center"/>
              <w:rPr>
                <w:color w:val="000000"/>
                <w:sz w:val="21"/>
                <w:szCs w:val="21"/>
                <w:lang w:eastAsia="es-ES"/>
              </w:rPr>
            </w:pPr>
            <w:r w:rsidRPr="009A366E">
              <w:rPr>
                <w:color w:val="000000"/>
                <w:sz w:val="21"/>
                <w:szCs w:val="21"/>
                <w:lang w:eastAsia="es-ES"/>
              </w:rPr>
              <w:t>94.120</w:t>
            </w:r>
          </w:p>
        </w:tc>
        <w:tc>
          <w:tcPr>
            <w:tcW w:w="1091" w:type="dxa"/>
            <w:tcBorders>
              <w:top w:val="nil"/>
              <w:left w:val="nil"/>
              <w:bottom w:val="single" w:sz="4" w:space="0" w:color="auto"/>
              <w:right w:val="single" w:sz="4" w:space="0" w:color="auto"/>
            </w:tcBorders>
            <w:noWrap/>
            <w:vAlign w:val="bottom"/>
            <w:hideMark/>
          </w:tcPr>
          <w:p w14:paraId="534B597A" w14:textId="77777777" w:rsidR="00FB301D" w:rsidRPr="009A366E" w:rsidRDefault="00FB301D" w:rsidP="00AA12E3">
            <w:pPr>
              <w:jc w:val="center"/>
              <w:rPr>
                <w:color w:val="000000"/>
                <w:sz w:val="21"/>
                <w:szCs w:val="21"/>
                <w:lang w:eastAsia="es-ES"/>
              </w:rPr>
            </w:pPr>
            <w:r w:rsidRPr="009A366E">
              <w:rPr>
                <w:color w:val="000000"/>
                <w:sz w:val="21"/>
                <w:szCs w:val="21"/>
                <w:lang w:eastAsia="es-ES"/>
              </w:rPr>
              <w:t>114.866</w:t>
            </w:r>
          </w:p>
        </w:tc>
        <w:tc>
          <w:tcPr>
            <w:tcW w:w="1365" w:type="dxa"/>
            <w:tcBorders>
              <w:top w:val="nil"/>
              <w:left w:val="nil"/>
              <w:bottom w:val="single" w:sz="4" w:space="0" w:color="auto"/>
              <w:right w:val="single" w:sz="4" w:space="0" w:color="auto"/>
            </w:tcBorders>
            <w:noWrap/>
            <w:vAlign w:val="bottom"/>
            <w:hideMark/>
          </w:tcPr>
          <w:p w14:paraId="0CB478F6" w14:textId="77777777" w:rsidR="00FB301D" w:rsidRPr="009A366E" w:rsidRDefault="00FB301D" w:rsidP="00AA12E3">
            <w:pPr>
              <w:jc w:val="center"/>
              <w:rPr>
                <w:color w:val="000000"/>
                <w:sz w:val="21"/>
                <w:szCs w:val="21"/>
                <w:lang w:eastAsia="es-ES"/>
              </w:rPr>
            </w:pPr>
            <w:r w:rsidRPr="009A366E">
              <w:rPr>
                <w:color w:val="000000"/>
                <w:sz w:val="21"/>
                <w:szCs w:val="21"/>
                <w:lang w:eastAsia="es-ES"/>
              </w:rPr>
              <w:t>22,04</w:t>
            </w:r>
          </w:p>
        </w:tc>
        <w:tc>
          <w:tcPr>
            <w:tcW w:w="1091" w:type="dxa"/>
            <w:tcBorders>
              <w:top w:val="nil"/>
              <w:left w:val="nil"/>
              <w:bottom w:val="single" w:sz="4" w:space="0" w:color="auto"/>
              <w:right w:val="single" w:sz="4" w:space="0" w:color="auto"/>
            </w:tcBorders>
            <w:noWrap/>
            <w:vAlign w:val="bottom"/>
            <w:hideMark/>
          </w:tcPr>
          <w:p w14:paraId="02912E77" w14:textId="77777777" w:rsidR="00FB301D" w:rsidRPr="009A366E" w:rsidRDefault="00FB301D" w:rsidP="00AA12E3">
            <w:pPr>
              <w:jc w:val="center"/>
              <w:rPr>
                <w:color w:val="000000"/>
                <w:sz w:val="21"/>
                <w:szCs w:val="21"/>
                <w:lang w:eastAsia="es-ES"/>
              </w:rPr>
            </w:pPr>
            <w:r w:rsidRPr="009A366E">
              <w:rPr>
                <w:color w:val="000000"/>
                <w:sz w:val="21"/>
                <w:szCs w:val="21"/>
                <w:lang w:eastAsia="es-ES"/>
              </w:rPr>
              <w:t>325.308</w:t>
            </w:r>
          </w:p>
        </w:tc>
        <w:tc>
          <w:tcPr>
            <w:tcW w:w="1228" w:type="dxa"/>
            <w:tcBorders>
              <w:top w:val="nil"/>
              <w:left w:val="nil"/>
              <w:bottom w:val="single" w:sz="4" w:space="0" w:color="auto"/>
              <w:right w:val="single" w:sz="4" w:space="0" w:color="auto"/>
            </w:tcBorders>
            <w:noWrap/>
            <w:vAlign w:val="bottom"/>
            <w:hideMark/>
          </w:tcPr>
          <w:p w14:paraId="16B04E72" w14:textId="77777777" w:rsidR="00FB301D" w:rsidRPr="009A366E" w:rsidRDefault="00FB301D" w:rsidP="00AA12E3">
            <w:pPr>
              <w:jc w:val="center"/>
              <w:rPr>
                <w:color w:val="000000"/>
                <w:sz w:val="21"/>
                <w:szCs w:val="21"/>
                <w:lang w:eastAsia="es-ES"/>
              </w:rPr>
            </w:pPr>
            <w:r w:rsidRPr="009A366E">
              <w:rPr>
                <w:color w:val="000000"/>
                <w:sz w:val="21"/>
                <w:szCs w:val="21"/>
                <w:lang w:eastAsia="es-ES"/>
              </w:rPr>
              <w:t>405.825</w:t>
            </w:r>
          </w:p>
        </w:tc>
        <w:tc>
          <w:tcPr>
            <w:tcW w:w="1249" w:type="dxa"/>
            <w:tcBorders>
              <w:top w:val="nil"/>
              <w:left w:val="nil"/>
              <w:bottom w:val="single" w:sz="4" w:space="0" w:color="auto"/>
              <w:right w:val="single" w:sz="4" w:space="0" w:color="auto"/>
            </w:tcBorders>
            <w:noWrap/>
            <w:vAlign w:val="bottom"/>
            <w:hideMark/>
          </w:tcPr>
          <w:p w14:paraId="04BE1C46" w14:textId="77777777" w:rsidR="00FB301D" w:rsidRPr="009A366E" w:rsidRDefault="00FB301D" w:rsidP="00AA12E3">
            <w:pPr>
              <w:jc w:val="center"/>
              <w:rPr>
                <w:color w:val="000000"/>
                <w:sz w:val="21"/>
                <w:szCs w:val="21"/>
                <w:lang w:eastAsia="es-ES"/>
              </w:rPr>
            </w:pPr>
            <w:r w:rsidRPr="009A366E">
              <w:rPr>
                <w:color w:val="000000"/>
                <w:sz w:val="21"/>
                <w:szCs w:val="21"/>
                <w:lang w:eastAsia="es-ES"/>
              </w:rPr>
              <w:t>24,75</w:t>
            </w:r>
          </w:p>
        </w:tc>
      </w:tr>
      <w:tr w:rsidR="00FB301D" w:rsidRPr="00FB301D" w14:paraId="7471694C" w14:textId="77777777" w:rsidTr="006376E5">
        <w:trPr>
          <w:trHeight w:val="278"/>
        </w:trPr>
        <w:tc>
          <w:tcPr>
            <w:tcW w:w="1911" w:type="dxa"/>
            <w:tcBorders>
              <w:top w:val="nil"/>
              <w:left w:val="single" w:sz="4" w:space="0" w:color="auto"/>
              <w:bottom w:val="single" w:sz="4" w:space="0" w:color="auto"/>
              <w:right w:val="single" w:sz="4" w:space="0" w:color="auto"/>
            </w:tcBorders>
            <w:noWrap/>
            <w:vAlign w:val="bottom"/>
            <w:hideMark/>
          </w:tcPr>
          <w:p w14:paraId="5BD72003" w14:textId="77777777" w:rsidR="00FB301D" w:rsidRPr="009A366E" w:rsidRDefault="00FB301D" w:rsidP="00AA12E3">
            <w:pPr>
              <w:jc w:val="left"/>
              <w:rPr>
                <w:color w:val="000000"/>
                <w:sz w:val="21"/>
                <w:szCs w:val="21"/>
                <w:lang w:eastAsia="es-ES"/>
              </w:rPr>
            </w:pPr>
            <w:r w:rsidRPr="009A366E">
              <w:rPr>
                <w:color w:val="000000"/>
                <w:sz w:val="21"/>
                <w:szCs w:val="21"/>
                <w:lang w:eastAsia="es-ES"/>
              </w:rPr>
              <w:t>Centeno</w:t>
            </w:r>
          </w:p>
        </w:tc>
        <w:tc>
          <w:tcPr>
            <w:tcW w:w="1091" w:type="dxa"/>
            <w:tcBorders>
              <w:top w:val="nil"/>
              <w:left w:val="nil"/>
              <w:bottom w:val="single" w:sz="4" w:space="0" w:color="auto"/>
              <w:right w:val="single" w:sz="4" w:space="0" w:color="auto"/>
            </w:tcBorders>
            <w:noWrap/>
            <w:vAlign w:val="bottom"/>
            <w:hideMark/>
          </w:tcPr>
          <w:p w14:paraId="66F3FB63" w14:textId="77777777" w:rsidR="00FB301D" w:rsidRPr="009A366E" w:rsidRDefault="00FB301D" w:rsidP="00AA12E3">
            <w:pPr>
              <w:jc w:val="center"/>
              <w:rPr>
                <w:color w:val="000000"/>
                <w:sz w:val="21"/>
                <w:szCs w:val="21"/>
                <w:lang w:eastAsia="es-ES"/>
              </w:rPr>
            </w:pPr>
            <w:r w:rsidRPr="009A366E">
              <w:rPr>
                <w:color w:val="000000"/>
                <w:sz w:val="21"/>
                <w:szCs w:val="21"/>
                <w:lang w:eastAsia="es-ES"/>
              </w:rPr>
              <w:t>69.255</w:t>
            </w:r>
          </w:p>
        </w:tc>
        <w:tc>
          <w:tcPr>
            <w:tcW w:w="1091" w:type="dxa"/>
            <w:tcBorders>
              <w:top w:val="nil"/>
              <w:left w:val="nil"/>
              <w:bottom w:val="single" w:sz="4" w:space="0" w:color="auto"/>
              <w:right w:val="single" w:sz="4" w:space="0" w:color="auto"/>
            </w:tcBorders>
            <w:noWrap/>
            <w:vAlign w:val="bottom"/>
            <w:hideMark/>
          </w:tcPr>
          <w:p w14:paraId="38FFFF2C" w14:textId="77777777" w:rsidR="00FB301D" w:rsidRPr="009A366E" w:rsidRDefault="00FB301D" w:rsidP="00AA12E3">
            <w:pPr>
              <w:jc w:val="center"/>
              <w:rPr>
                <w:color w:val="000000"/>
                <w:sz w:val="21"/>
                <w:szCs w:val="21"/>
                <w:lang w:eastAsia="es-ES"/>
              </w:rPr>
            </w:pPr>
            <w:r w:rsidRPr="009A366E">
              <w:rPr>
                <w:color w:val="000000"/>
                <w:sz w:val="21"/>
                <w:szCs w:val="21"/>
                <w:lang w:eastAsia="es-ES"/>
              </w:rPr>
              <w:t>71.692</w:t>
            </w:r>
          </w:p>
        </w:tc>
        <w:tc>
          <w:tcPr>
            <w:tcW w:w="1365" w:type="dxa"/>
            <w:tcBorders>
              <w:top w:val="nil"/>
              <w:left w:val="nil"/>
              <w:bottom w:val="single" w:sz="4" w:space="0" w:color="auto"/>
              <w:right w:val="single" w:sz="4" w:space="0" w:color="auto"/>
            </w:tcBorders>
            <w:noWrap/>
            <w:vAlign w:val="bottom"/>
            <w:hideMark/>
          </w:tcPr>
          <w:p w14:paraId="4FED1EA3" w14:textId="77777777" w:rsidR="00FB301D" w:rsidRPr="009A366E" w:rsidRDefault="00FB301D" w:rsidP="00AA12E3">
            <w:pPr>
              <w:jc w:val="center"/>
              <w:rPr>
                <w:color w:val="000000"/>
                <w:sz w:val="21"/>
                <w:szCs w:val="21"/>
                <w:lang w:eastAsia="es-ES"/>
              </w:rPr>
            </w:pPr>
            <w:r w:rsidRPr="009A366E">
              <w:rPr>
                <w:color w:val="000000"/>
                <w:sz w:val="21"/>
                <w:szCs w:val="21"/>
                <w:lang w:eastAsia="es-ES"/>
              </w:rPr>
              <w:t>3,52</w:t>
            </w:r>
          </w:p>
        </w:tc>
        <w:tc>
          <w:tcPr>
            <w:tcW w:w="1091" w:type="dxa"/>
            <w:tcBorders>
              <w:top w:val="nil"/>
              <w:left w:val="nil"/>
              <w:bottom w:val="single" w:sz="4" w:space="0" w:color="auto"/>
              <w:right w:val="single" w:sz="4" w:space="0" w:color="auto"/>
            </w:tcBorders>
            <w:noWrap/>
            <w:vAlign w:val="bottom"/>
            <w:hideMark/>
          </w:tcPr>
          <w:p w14:paraId="56BD4362" w14:textId="77777777" w:rsidR="00FB301D" w:rsidRPr="009A366E" w:rsidRDefault="00FB301D" w:rsidP="00AA12E3">
            <w:pPr>
              <w:jc w:val="center"/>
              <w:rPr>
                <w:color w:val="000000"/>
                <w:sz w:val="21"/>
                <w:szCs w:val="21"/>
                <w:lang w:eastAsia="es-ES"/>
              </w:rPr>
            </w:pPr>
            <w:r w:rsidRPr="009A366E">
              <w:rPr>
                <w:color w:val="000000"/>
                <w:sz w:val="21"/>
                <w:szCs w:val="21"/>
                <w:lang w:eastAsia="es-ES"/>
              </w:rPr>
              <w:t>171.138</w:t>
            </w:r>
          </w:p>
        </w:tc>
        <w:tc>
          <w:tcPr>
            <w:tcW w:w="1228" w:type="dxa"/>
            <w:tcBorders>
              <w:top w:val="nil"/>
              <w:left w:val="nil"/>
              <w:bottom w:val="single" w:sz="4" w:space="0" w:color="auto"/>
              <w:right w:val="single" w:sz="4" w:space="0" w:color="auto"/>
            </w:tcBorders>
            <w:noWrap/>
            <w:vAlign w:val="bottom"/>
            <w:hideMark/>
          </w:tcPr>
          <w:p w14:paraId="35CEDD38" w14:textId="77777777" w:rsidR="00FB301D" w:rsidRPr="009A366E" w:rsidRDefault="00FB301D" w:rsidP="00AA12E3">
            <w:pPr>
              <w:jc w:val="center"/>
              <w:rPr>
                <w:color w:val="000000"/>
                <w:sz w:val="21"/>
                <w:szCs w:val="21"/>
                <w:lang w:eastAsia="es-ES"/>
              </w:rPr>
            </w:pPr>
            <w:r w:rsidRPr="009A366E">
              <w:rPr>
                <w:color w:val="000000"/>
                <w:sz w:val="21"/>
                <w:szCs w:val="21"/>
                <w:lang w:eastAsia="es-ES"/>
              </w:rPr>
              <w:t>198.921</w:t>
            </w:r>
          </w:p>
        </w:tc>
        <w:tc>
          <w:tcPr>
            <w:tcW w:w="1249" w:type="dxa"/>
            <w:tcBorders>
              <w:top w:val="nil"/>
              <w:left w:val="nil"/>
              <w:bottom w:val="single" w:sz="4" w:space="0" w:color="auto"/>
              <w:right w:val="single" w:sz="4" w:space="0" w:color="auto"/>
            </w:tcBorders>
            <w:noWrap/>
            <w:vAlign w:val="bottom"/>
            <w:hideMark/>
          </w:tcPr>
          <w:p w14:paraId="5C098648" w14:textId="77777777" w:rsidR="00FB301D" w:rsidRPr="009A366E" w:rsidRDefault="00FB301D" w:rsidP="00AA12E3">
            <w:pPr>
              <w:jc w:val="center"/>
              <w:rPr>
                <w:color w:val="000000"/>
                <w:sz w:val="21"/>
                <w:szCs w:val="21"/>
                <w:lang w:eastAsia="es-ES"/>
              </w:rPr>
            </w:pPr>
            <w:r w:rsidRPr="009A366E">
              <w:rPr>
                <w:color w:val="000000"/>
                <w:sz w:val="21"/>
                <w:szCs w:val="21"/>
                <w:lang w:eastAsia="es-ES"/>
              </w:rPr>
              <w:t>16,23</w:t>
            </w:r>
          </w:p>
        </w:tc>
      </w:tr>
      <w:tr w:rsidR="00FB301D" w:rsidRPr="00FB301D" w14:paraId="19A23D02" w14:textId="77777777" w:rsidTr="006376E5">
        <w:trPr>
          <w:trHeight w:val="278"/>
        </w:trPr>
        <w:tc>
          <w:tcPr>
            <w:tcW w:w="1911" w:type="dxa"/>
            <w:tcBorders>
              <w:top w:val="nil"/>
              <w:left w:val="single" w:sz="4" w:space="0" w:color="auto"/>
              <w:bottom w:val="single" w:sz="4" w:space="0" w:color="auto"/>
              <w:right w:val="single" w:sz="4" w:space="0" w:color="auto"/>
            </w:tcBorders>
            <w:noWrap/>
            <w:vAlign w:val="bottom"/>
            <w:hideMark/>
          </w:tcPr>
          <w:p w14:paraId="3DE16D17" w14:textId="77777777" w:rsidR="00FB301D" w:rsidRPr="009A366E" w:rsidRDefault="00FB301D" w:rsidP="00AA12E3">
            <w:pPr>
              <w:jc w:val="left"/>
              <w:rPr>
                <w:color w:val="000000"/>
                <w:sz w:val="21"/>
                <w:szCs w:val="21"/>
                <w:lang w:eastAsia="es-ES"/>
              </w:rPr>
            </w:pPr>
            <w:r w:rsidRPr="009A366E">
              <w:rPr>
                <w:color w:val="000000"/>
                <w:sz w:val="21"/>
                <w:szCs w:val="21"/>
                <w:lang w:eastAsia="es-ES"/>
              </w:rPr>
              <w:t>Triticale</w:t>
            </w:r>
          </w:p>
        </w:tc>
        <w:tc>
          <w:tcPr>
            <w:tcW w:w="1091" w:type="dxa"/>
            <w:tcBorders>
              <w:top w:val="nil"/>
              <w:left w:val="nil"/>
              <w:bottom w:val="single" w:sz="4" w:space="0" w:color="auto"/>
              <w:right w:val="single" w:sz="4" w:space="0" w:color="auto"/>
            </w:tcBorders>
            <w:noWrap/>
            <w:vAlign w:val="bottom"/>
            <w:hideMark/>
          </w:tcPr>
          <w:p w14:paraId="0C22D52A" w14:textId="77777777" w:rsidR="00FB301D" w:rsidRPr="009A366E" w:rsidRDefault="00FB301D" w:rsidP="00AA12E3">
            <w:pPr>
              <w:jc w:val="center"/>
              <w:rPr>
                <w:color w:val="000000"/>
                <w:sz w:val="21"/>
                <w:szCs w:val="21"/>
                <w:lang w:eastAsia="es-ES"/>
              </w:rPr>
            </w:pPr>
            <w:r w:rsidRPr="009A366E">
              <w:rPr>
                <w:color w:val="000000"/>
                <w:sz w:val="21"/>
                <w:szCs w:val="21"/>
                <w:lang w:eastAsia="es-ES"/>
              </w:rPr>
              <w:t>35.648</w:t>
            </w:r>
          </w:p>
        </w:tc>
        <w:tc>
          <w:tcPr>
            <w:tcW w:w="1091" w:type="dxa"/>
            <w:tcBorders>
              <w:top w:val="nil"/>
              <w:left w:val="nil"/>
              <w:bottom w:val="single" w:sz="4" w:space="0" w:color="auto"/>
              <w:right w:val="single" w:sz="4" w:space="0" w:color="auto"/>
            </w:tcBorders>
            <w:noWrap/>
            <w:vAlign w:val="bottom"/>
            <w:hideMark/>
          </w:tcPr>
          <w:p w14:paraId="2F585C83" w14:textId="77777777" w:rsidR="00FB301D" w:rsidRPr="009A366E" w:rsidRDefault="00FB301D" w:rsidP="00AA12E3">
            <w:pPr>
              <w:jc w:val="center"/>
              <w:rPr>
                <w:color w:val="000000"/>
                <w:sz w:val="21"/>
                <w:szCs w:val="21"/>
                <w:lang w:eastAsia="es-ES"/>
              </w:rPr>
            </w:pPr>
            <w:r w:rsidRPr="009A366E">
              <w:rPr>
                <w:color w:val="000000"/>
                <w:sz w:val="21"/>
                <w:szCs w:val="21"/>
                <w:lang w:eastAsia="es-ES"/>
              </w:rPr>
              <w:t>46.863</w:t>
            </w:r>
          </w:p>
        </w:tc>
        <w:tc>
          <w:tcPr>
            <w:tcW w:w="1365" w:type="dxa"/>
            <w:tcBorders>
              <w:top w:val="nil"/>
              <w:left w:val="nil"/>
              <w:bottom w:val="single" w:sz="4" w:space="0" w:color="auto"/>
              <w:right w:val="single" w:sz="4" w:space="0" w:color="auto"/>
            </w:tcBorders>
            <w:noWrap/>
            <w:vAlign w:val="bottom"/>
            <w:hideMark/>
          </w:tcPr>
          <w:p w14:paraId="6BE1E687" w14:textId="77777777" w:rsidR="00FB301D" w:rsidRPr="009A366E" w:rsidRDefault="00FB301D" w:rsidP="00AA12E3">
            <w:pPr>
              <w:jc w:val="center"/>
              <w:rPr>
                <w:color w:val="000000"/>
                <w:sz w:val="21"/>
                <w:szCs w:val="21"/>
                <w:lang w:eastAsia="es-ES"/>
              </w:rPr>
            </w:pPr>
            <w:r w:rsidRPr="009A366E">
              <w:rPr>
                <w:color w:val="000000"/>
                <w:sz w:val="21"/>
                <w:szCs w:val="21"/>
                <w:lang w:eastAsia="es-ES"/>
              </w:rPr>
              <w:t>31,46</w:t>
            </w:r>
          </w:p>
        </w:tc>
        <w:tc>
          <w:tcPr>
            <w:tcW w:w="1091" w:type="dxa"/>
            <w:tcBorders>
              <w:top w:val="nil"/>
              <w:left w:val="nil"/>
              <w:bottom w:val="single" w:sz="4" w:space="0" w:color="auto"/>
              <w:right w:val="single" w:sz="4" w:space="0" w:color="auto"/>
            </w:tcBorders>
            <w:noWrap/>
            <w:vAlign w:val="bottom"/>
            <w:hideMark/>
          </w:tcPr>
          <w:p w14:paraId="5455BA2F" w14:textId="77777777" w:rsidR="00FB301D" w:rsidRPr="009A366E" w:rsidRDefault="00FB301D" w:rsidP="00AA12E3">
            <w:pPr>
              <w:jc w:val="center"/>
              <w:rPr>
                <w:color w:val="000000"/>
                <w:sz w:val="21"/>
                <w:szCs w:val="21"/>
                <w:lang w:eastAsia="es-ES"/>
              </w:rPr>
            </w:pPr>
            <w:r w:rsidRPr="009A366E">
              <w:rPr>
                <w:color w:val="000000"/>
                <w:sz w:val="21"/>
                <w:szCs w:val="21"/>
                <w:lang w:eastAsia="es-ES"/>
              </w:rPr>
              <w:t>116.424</w:t>
            </w:r>
          </w:p>
        </w:tc>
        <w:tc>
          <w:tcPr>
            <w:tcW w:w="1228" w:type="dxa"/>
            <w:tcBorders>
              <w:top w:val="nil"/>
              <w:left w:val="nil"/>
              <w:bottom w:val="single" w:sz="4" w:space="0" w:color="auto"/>
              <w:right w:val="single" w:sz="4" w:space="0" w:color="auto"/>
            </w:tcBorders>
            <w:noWrap/>
            <w:vAlign w:val="bottom"/>
            <w:hideMark/>
          </w:tcPr>
          <w:p w14:paraId="77D481B3" w14:textId="77777777" w:rsidR="00FB301D" w:rsidRPr="009A366E" w:rsidRDefault="00FB301D" w:rsidP="00AA12E3">
            <w:pPr>
              <w:jc w:val="center"/>
              <w:rPr>
                <w:color w:val="000000"/>
                <w:sz w:val="21"/>
                <w:szCs w:val="21"/>
                <w:lang w:eastAsia="es-ES"/>
              </w:rPr>
            </w:pPr>
            <w:r w:rsidRPr="009A366E">
              <w:rPr>
                <w:color w:val="000000"/>
                <w:sz w:val="21"/>
                <w:szCs w:val="21"/>
                <w:lang w:eastAsia="es-ES"/>
              </w:rPr>
              <w:t>168.882</w:t>
            </w:r>
          </w:p>
        </w:tc>
        <w:tc>
          <w:tcPr>
            <w:tcW w:w="1249" w:type="dxa"/>
            <w:tcBorders>
              <w:top w:val="nil"/>
              <w:left w:val="nil"/>
              <w:bottom w:val="single" w:sz="4" w:space="0" w:color="auto"/>
              <w:right w:val="single" w:sz="4" w:space="0" w:color="auto"/>
            </w:tcBorders>
            <w:noWrap/>
            <w:vAlign w:val="bottom"/>
            <w:hideMark/>
          </w:tcPr>
          <w:p w14:paraId="2E80AE0F" w14:textId="77777777" w:rsidR="00FB301D" w:rsidRPr="009A366E" w:rsidRDefault="00FB301D" w:rsidP="00AA12E3">
            <w:pPr>
              <w:jc w:val="center"/>
              <w:rPr>
                <w:color w:val="000000"/>
                <w:sz w:val="21"/>
                <w:szCs w:val="21"/>
                <w:lang w:eastAsia="es-ES"/>
              </w:rPr>
            </w:pPr>
            <w:r w:rsidRPr="009A366E">
              <w:rPr>
                <w:color w:val="000000"/>
                <w:sz w:val="21"/>
                <w:szCs w:val="21"/>
                <w:lang w:eastAsia="es-ES"/>
              </w:rPr>
              <w:t>45,06</w:t>
            </w:r>
          </w:p>
        </w:tc>
      </w:tr>
      <w:tr w:rsidR="00FB301D" w:rsidRPr="00FB301D" w14:paraId="04900853" w14:textId="77777777" w:rsidTr="006376E5">
        <w:trPr>
          <w:trHeight w:val="278"/>
        </w:trPr>
        <w:tc>
          <w:tcPr>
            <w:tcW w:w="1911" w:type="dxa"/>
            <w:tcBorders>
              <w:top w:val="nil"/>
              <w:left w:val="single" w:sz="4" w:space="0" w:color="auto"/>
              <w:bottom w:val="single" w:sz="4" w:space="0" w:color="auto"/>
              <w:right w:val="single" w:sz="4" w:space="0" w:color="auto"/>
            </w:tcBorders>
            <w:noWrap/>
            <w:vAlign w:val="bottom"/>
            <w:hideMark/>
          </w:tcPr>
          <w:p w14:paraId="000B3B1D" w14:textId="22732D71" w:rsidR="00FB301D" w:rsidRPr="006376E5" w:rsidRDefault="00FB301D" w:rsidP="00AA12E3">
            <w:pPr>
              <w:jc w:val="left"/>
              <w:rPr>
                <w:b/>
                <w:bCs/>
                <w:color w:val="000000"/>
                <w:sz w:val="20"/>
                <w:szCs w:val="20"/>
                <w:lang w:eastAsia="es-ES"/>
              </w:rPr>
            </w:pPr>
            <w:r w:rsidRPr="006376E5">
              <w:rPr>
                <w:b/>
                <w:bCs/>
                <w:color w:val="000000"/>
                <w:sz w:val="20"/>
                <w:szCs w:val="20"/>
                <w:lang w:eastAsia="es-ES"/>
              </w:rPr>
              <w:t>Total cereales invierno</w:t>
            </w:r>
          </w:p>
        </w:tc>
        <w:tc>
          <w:tcPr>
            <w:tcW w:w="1091" w:type="dxa"/>
            <w:tcBorders>
              <w:top w:val="nil"/>
              <w:left w:val="nil"/>
              <w:bottom w:val="single" w:sz="4" w:space="0" w:color="auto"/>
              <w:right w:val="single" w:sz="4" w:space="0" w:color="auto"/>
            </w:tcBorders>
            <w:noWrap/>
            <w:vAlign w:val="bottom"/>
            <w:hideMark/>
          </w:tcPr>
          <w:p w14:paraId="49E782A7" w14:textId="0E789549" w:rsidR="00FB301D" w:rsidRPr="009A366E" w:rsidRDefault="00FB301D" w:rsidP="00AA12E3">
            <w:pPr>
              <w:jc w:val="center"/>
              <w:rPr>
                <w:b/>
                <w:bCs/>
                <w:color w:val="000000"/>
                <w:sz w:val="21"/>
                <w:szCs w:val="21"/>
                <w:lang w:eastAsia="es-ES"/>
              </w:rPr>
            </w:pPr>
            <w:r w:rsidRPr="009A366E">
              <w:rPr>
                <w:b/>
                <w:bCs/>
                <w:color w:val="000000"/>
                <w:sz w:val="21"/>
                <w:szCs w:val="21"/>
                <w:lang w:eastAsia="es-ES"/>
              </w:rPr>
              <w:t>1.612.540</w:t>
            </w:r>
          </w:p>
        </w:tc>
        <w:tc>
          <w:tcPr>
            <w:tcW w:w="1091" w:type="dxa"/>
            <w:tcBorders>
              <w:top w:val="nil"/>
              <w:left w:val="nil"/>
              <w:bottom w:val="single" w:sz="4" w:space="0" w:color="auto"/>
              <w:right w:val="single" w:sz="4" w:space="0" w:color="auto"/>
            </w:tcBorders>
            <w:noWrap/>
            <w:vAlign w:val="bottom"/>
            <w:hideMark/>
          </w:tcPr>
          <w:p w14:paraId="518C2692" w14:textId="23ED056E" w:rsidR="00FB301D" w:rsidRPr="009A366E" w:rsidRDefault="00FB301D" w:rsidP="00AA12E3">
            <w:pPr>
              <w:jc w:val="center"/>
              <w:rPr>
                <w:b/>
                <w:bCs/>
                <w:color w:val="000000"/>
                <w:sz w:val="21"/>
                <w:szCs w:val="21"/>
                <w:lang w:eastAsia="es-ES"/>
              </w:rPr>
            </w:pPr>
            <w:r w:rsidRPr="009A366E">
              <w:rPr>
                <w:b/>
                <w:bCs/>
                <w:color w:val="000000"/>
                <w:sz w:val="21"/>
                <w:szCs w:val="21"/>
                <w:lang w:eastAsia="es-ES"/>
              </w:rPr>
              <w:t>1.818.237</w:t>
            </w:r>
          </w:p>
        </w:tc>
        <w:tc>
          <w:tcPr>
            <w:tcW w:w="1365" w:type="dxa"/>
            <w:tcBorders>
              <w:top w:val="nil"/>
              <w:left w:val="nil"/>
              <w:bottom w:val="single" w:sz="4" w:space="0" w:color="auto"/>
              <w:right w:val="single" w:sz="4" w:space="0" w:color="auto"/>
            </w:tcBorders>
            <w:noWrap/>
            <w:vAlign w:val="bottom"/>
            <w:hideMark/>
          </w:tcPr>
          <w:p w14:paraId="08B097B8" w14:textId="77777777" w:rsidR="00FB301D" w:rsidRPr="009A366E" w:rsidRDefault="00FB301D" w:rsidP="00AA12E3">
            <w:pPr>
              <w:jc w:val="center"/>
              <w:rPr>
                <w:b/>
                <w:bCs/>
                <w:color w:val="000000"/>
                <w:sz w:val="21"/>
                <w:szCs w:val="21"/>
                <w:lang w:eastAsia="es-ES"/>
              </w:rPr>
            </w:pPr>
            <w:r w:rsidRPr="009A366E">
              <w:rPr>
                <w:b/>
                <w:bCs/>
                <w:color w:val="000000"/>
                <w:sz w:val="21"/>
                <w:szCs w:val="21"/>
                <w:lang w:eastAsia="es-ES"/>
              </w:rPr>
              <w:t>12,76</w:t>
            </w:r>
          </w:p>
        </w:tc>
        <w:tc>
          <w:tcPr>
            <w:tcW w:w="1091" w:type="dxa"/>
            <w:tcBorders>
              <w:top w:val="nil"/>
              <w:left w:val="nil"/>
              <w:bottom w:val="single" w:sz="4" w:space="0" w:color="auto"/>
              <w:right w:val="single" w:sz="4" w:space="0" w:color="auto"/>
            </w:tcBorders>
            <w:noWrap/>
            <w:vAlign w:val="bottom"/>
            <w:hideMark/>
          </w:tcPr>
          <w:p w14:paraId="79B917CD" w14:textId="77777777" w:rsidR="00FB301D" w:rsidRPr="009A366E" w:rsidRDefault="00FB301D" w:rsidP="00AA12E3">
            <w:pPr>
              <w:jc w:val="center"/>
              <w:rPr>
                <w:b/>
                <w:bCs/>
                <w:color w:val="000000"/>
                <w:sz w:val="21"/>
                <w:szCs w:val="21"/>
                <w:lang w:eastAsia="es-ES"/>
              </w:rPr>
            </w:pPr>
            <w:r w:rsidRPr="009A366E">
              <w:rPr>
                <w:b/>
                <w:bCs/>
                <w:color w:val="000000"/>
                <w:sz w:val="21"/>
                <w:szCs w:val="21"/>
                <w:lang w:eastAsia="es-ES"/>
              </w:rPr>
              <w:t>6.608.182</w:t>
            </w:r>
          </w:p>
        </w:tc>
        <w:tc>
          <w:tcPr>
            <w:tcW w:w="1228" w:type="dxa"/>
            <w:tcBorders>
              <w:top w:val="nil"/>
              <w:left w:val="nil"/>
              <w:bottom w:val="single" w:sz="4" w:space="0" w:color="auto"/>
              <w:right w:val="single" w:sz="4" w:space="0" w:color="auto"/>
            </w:tcBorders>
            <w:noWrap/>
            <w:vAlign w:val="bottom"/>
            <w:hideMark/>
          </w:tcPr>
          <w:p w14:paraId="4CD308E3" w14:textId="77777777" w:rsidR="00FB301D" w:rsidRPr="009A366E" w:rsidRDefault="00FB301D" w:rsidP="00AA12E3">
            <w:pPr>
              <w:jc w:val="center"/>
              <w:rPr>
                <w:b/>
                <w:bCs/>
                <w:color w:val="000000"/>
                <w:sz w:val="21"/>
                <w:szCs w:val="21"/>
                <w:lang w:eastAsia="es-ES"/>
              </w:rPr>
            </w:pPr>
            <w:r w:rsidRPr="009A366E">
              <w:rPr>
                <w:b/>
                <w:bCs/>
                <w:color w:val="000000"/>
                <w:sz w:val="21"/>
                <w:szCs w:val="21"/>
                <w:lang w:eastAsia="es-ES"/>
              </w:rPr>
              <w:t>8.417.242</w:t>
            </w:r>
          </w:p>
        </w:tc>
        <w:tc>
          <w:tcPr>
            <w:tcW w:w="1249" w:type="dxa"/>
            <w:tcBorders>
              <w:top w:val="nil"/>
              <w:left w:val="nil"/>
              <w:bottom w:val="single" w:sz="4" w:space="0" w:color="auto"/>
              <w:right w:val="single" w:sz="4" w:space="0" w:color="auto"/>
            </w:tcBorders>
            <w:noWrap/>
            <w:vAlign w:val="bottom"/>
            <w:hideMark/>
          </w:tcPr>
          <w:p w14:paraId="5708B837" w14:textId="77777777" w:rsidR="00FB301D" w:rsidRPr="009A366E" w:rsidRDefault="00FB301D" w:rsidP="00AA12E3">
            <w:pPr>
              <w:jc w:val="center"/>
              <w:rPr>
                <w:b/>
                <w:bCs/>
                <w:color w:val="000000"/>
                <w:sz w:val="21"/>
                <w:szCs w:val="21"/>
                <w:lang w:eastAsia="es-ES"/>
              </w:rPr>
            </w:pPr>
            <w:r w:rsidRPr="009A366E">
              <w:rPr>
                <w:b/>
                <w:bCs/>
                <w:color w:val="000000"/>
                <w:sz w:val="21"/>
                <w:szCs w:val="21"/>
                <w:lang w:eastAsia="es-ES"/>
              </w:rPr>
              <w:t>27,38</w:t>
            </w:r>
          </w:p>
        </w:tc>
      </w:tr>
    </w:tbl>
    <w:p w14:paraId="487EBEB5" w14:textId="77777777" w:rsidR="00FB22B1" w:rsidRDefault="00FB22B1" w:rsidP="00AA12E3">
      <w:pPr>
        <w:jc w:val="left"/>
      </w:pPr>
    </w:p>
    <w:p w14:paraId="4AE5ED19" w14:textId="6A985731" w:rsidR="0063024F" w:rsidRDefault="0063024F" w:rsidP="00AA12E3">
      <w:pPr>
        <w:rPr>
          <w:sz w:val="16"/>
          <w:szCs w:val="16"/>
          <w:lang w:eastAsia="es-ES"/>
        </w:rPr>
      </w:pPr>
      <w:r w:rsidRPr="00F125FD">
        <w:rPr>
          <w:sz w:val="16"/>
          <w:szCs w:val="16"/>
          <w:lang w:eastAsia="es-ES"/>
        </w:rPr>
        <w:t>Fuente: Elaboración propia a partir de los avances de superficie</w:t>
      </w:r>
      <w:r w:rsidR="0078513B">
        <w:rPr>
          <w:sz w:val="16"/>
          <w:szCs w:val="16"/>
          <w:lang w:eastAsia="es-ES"/>
        </w:rPr>
        <w:t>s</w:t>
      </w:r>
      <w:r w:rsidRPr="00F125FD">
        <w:rPr>
          <w:sz w:val="16"/>
          <w:szCs w:val="16"/>
          <w:lang w:eastAsia="es-ES"/>
        </w:rPr>
        <w:t xml:space="preserve"> y producci</w:t>
      </w:r>
      <w:r w:rsidR="0078513B">
        <w:rPr>
          <w:sz w:val="16"/>
          <w:szCs w:val="16"/>
          <w:lang w:eastAsia="es-ES"/>
        </w:rPr>
        <w:t>ones</w:t>
      </w:r>
      <w:r w:rsidRPr="00F125FD">
        <w:rPr>
          <w:sz w:val="16"/>
          <w:szCs w:val="16"/>
          <w:lang w:eastAsia="es-ES"/>
        </w:rPr>
        <w:t xml:space="preserve"> </w:t>
      </w:r>
      <w:r w:rsidR="00FB301D">
        <w:rPr>
          <w:sz w:val="16"/>
          <w:szCs w:val="16"/>
          <w:lang w:eastAsia="es-ES"/>
        </w:rPr>
        <w:t xml:space="preserve">del </w:t>
      </w:r>
      <w:r w:rsidR="00FB22B1">
        <w:rPr>
          <w:sz w:val="16"/>
          <w:szCs w:val="16"/>
          <w:lang w:eastAsia="es-ES"/>
        </w:rPr>
        <w:t>Ministerio de Agricultura, Pesca y Alimentación</w:t>
      </w:r>
    </w:p>
    <w:p w14:paraId="4A6DE0F8" w14:textId="14E3EC4C" w:rsidR="00D70419" w:rsidRDefault="00D70419" w:rsidP="00AA12E3"/>
    <w:p w14:paraId="6E210458" w14:textId="22ADC65F" w:rsidR="0078513B" w:rsidRDefault="0078513B" w:rsidP="00AA12E3">
      <w:pPr>
        <w:tabs>
          <w:tab w:val="left" w:pos="8364"/>
        </w:tabs>
        <w:jc w:val="center"/>
      </w:pPr>
      <w:r>
        <w:t xml:space="preserve">   </w:t>
      </w:r>
      <w:r>
        <w:rPr>
          <w:noProof/>
        </w:rPr>
        <w:drawing>
          <wp:inline distT="0" distB="0" distL="0" distR="0" wp14:anchorId="4AB93B6C" wp14:editId="32ADC900">
            <wp:extent cx="4676775" cy="2486025"/>
            <wp:effectExtent l="0" t="0" r="9525" b="9525"/>
            <wp:docPr id="433958885" name="Gráfico 1">
              <a:extLst xmlns:a="http://schemas.openxmlformats.org/drawingml/2006/main">
                <a:ext uri="{FF2B5EF4-FFF2-40B4-BE49-F238E27FC236}">
                  <a16:creationId xmlns:a16="http://schemas.microsoft.com/office/drawing/2014/main" id="{1B849220-321A-E73A-390A-5DA8EF75E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13F27E" w14:textId="77777777" w:rsidR="00D70419" w:rsidRDefault="00D70419" w:rsidP="00AA12E3">
      <w:pPr>
        <w:jc w:val="center"/>
      </w:pPr>
    </w:p>
    <w:p w14:paraId="0158A456" w14:textId="6E016D32" w:rsidR="00F6082D" w:rsidRPr="0078513B" w:rsidRDefault="00F6082D" w:rsidP="00AA12E3">
      <w:pPr>
        <w:jc w:val="center"/>
        <w:rPr>
          <w:sz w:val="16"/>
          <w:szCs w:val="16"/>
        </w:rPr>
      </w:pPr>
      <w:r w:rsidRPr="0078513B">
        <w:rPr>
          <w:sz w:val="16"/>
          <w:szCs w:val="16"/>
        </w:rPr>
        <w:t>Elaboración propia. Fuente</w:t>
      </w:r>
      <w:r w:rsidRPr="0078513B">
        <w:rPr>
          <w:i/>
          <w:iCs/>
          <w:sz w:val="16"/>
          <w:szCs w:val="16"/>
        </w:rPr>
        <w:t xml:space="preserve">: </w:t>
      </w:r>
      <w:r w:rsidR="0078513B">
        <w:rPr>
          <w:sz w:val="16"/>
          <w:szCs w:val="16"/>
        </w:rPr>
        <w:t>A</w:t>
      </w:r>
      <w:r w:rsidR="0078513B" w:rsidRPr="0078513B">
        <w:rPr>
          <w:sz w:val="16"/>
          <w:szCs w:val="16"/>
        </w:rPr>
        <w:t>vances de superficies y producciones</w:t>
      </w:r>
      <w:r w:rsidR="0078513B">
        <w:rPr>
          <w:sz w:val="16"/>
          <w:szCs w:val="16"/>
        </w:rPr>
        <w:t xml:space="preserve"> de cultivos</w:t>
      </w:r>
      <w:r w:rsidR="0078513B" w:rsidRPr="0078513B">
        <w:rPr>
          <w:sz w:val="16"/>
          <w:szCs w:val="16"/>
        </w:rPr>
        <w:t xml:space="preserve"> del Ministerio de Agricultura, Pesca y Alimentación</w:t>
      </w:r>
    </w:p>
    <w:p w14:paraId="30BABAAD" w14:textId="77777777" w:rsidR="00F6082D" w:rsidRDefault="00F6082D" w:rsidP="00AA12E3"/>
    <w:p w14:paraId="1DCE66C4" w14:textId="77777777" w:rsidR="00F6082D" w:rsidRDefault="00F6082D" w:rsidP="00AA12E3"/>
    <w:p w14:paraId="45F95E22" w14:textId="77777777" w:rsidR="00FA65AC" w:rsidRDefault="00FA65AC" w:rsidP="00AA12E3">
      <w:pPr>
        <w:shd w:val="clear" w:color="auto" w:fill="FFFFFF"/>
        <w:rPr>
          <w:i/>
          <w:iCs/>
          <w:sz w:val="14"/>
          <w:szCs w:val="14"/>
        </w:rPr>
      </w:pPr>
    </w:p>
    <w:p w14:paraId="2EB251CF" w14:textId="4A20D219" w:rsidR="00FA65AC" w:rsidRPr="00F64BFF" w:rsidRDefault="007D110B" w:rsidP="00AA12E3">
      <w:r w:rsidRPr="00F64BFF">
        <w:lastRenderedPageBreak/>
        <w:t xml:space="preserve">Evolución </w:t>
      </w:r>
      <w:r w:rsidR="002C41CA" w:rsidRPr="00F64BFF">
        <w:t>de</w:t>
      </w:r>
      <w:r w:rsidR="007A2DD3" w:rsidRPr="00F64BFF">
        <w:t xml:space="preserve"> los</w:t>
      </w:r>
      <w:r w:rsidR="002C41CA">
        <w:rPr>
          <w:b/>
          <w:bCs/>
        </w:rPr>
        <w:t xml:space="preserve"> </w:t>
      </w:r>
      <w:r>
        <w:rPr>
          <w:b/>
          <w:bCs/>
        </w:rPr>
        <w:t>p</w:t>
      </w:r>
      <w:r w:rsidRPr="007D110B">
        <w:rPr>
          <w:b/>
          <w:bCs/>
        </w:rPr>
        <w:t>recio</w:t>
      </w:r>
      <w:r w:rsidR="002C41CA">
        <w:rPr>
          <w:b/>
          <w:bCs/>
        </w:rPr>
        <w:t>s</w:t>
      </w:r>
      <w:r w:rsidRPr="007D110B">
        <w:rPr>
          <w:b/>
          <w:bCs/>
        </w:rPr>
        <w:t xml:space="preserve"> </w:t>
      </w:r>
      <w:r w:rsidR="002C41CA" w:rsidRPr="00F64BFF">
        <w:t xml:space="preserve">de </w:t>
      </w:r>
      <w:r w:rsidRPr="00F64BFF">
        <w:t>cereales</w:t>
      </w:r>
      <w:r w:rsidR="002C41CA" w:rsidRPr="00F64BFF">
        <w:t xml:space="preserve"> de</w:t>
      </w:r>
      <w:r w:rsidRPr="00F64BFF">
        <w:t xml:space="preserve"> invierno</w:t>
      </w:r>
      <w:r w:rsidR="002C41CA" w:rsidRPr="00F64BFF">
        <w:t xml:space="preserve"> en Castilla y León:</w:t>
      </w:r>
    </w:p>
    <w:p w14:paraId="3C17CB1B" w14:textId="77777777" w:rsidR="00FA65AC" w:rsidRDefault="00FA65AC" w:rsidP="00AA12E3">
      <w:pPr>
        <w:rPr>
          <w:b/>
          <w:bCs/>
        </w:rPr>
      </w:pPr>
    </w:p>
    <w:p w14:paraId="6F190819" w14:textId="28AD4A48" w:rsidR="00360373" w:rsidRPr="00FC02E9" w:rsidRDefault="00360373" w:rsidP="00AA12E3">
      <w:pPr>
        <w:rPr>
          <w:b/>
          <w:bCs/>
        </w:rPr>
      </w:pPr>
    </w:p>
    <w:p w14:paraId="71108C3C" w14:textId="61529822" w:rsidR="00C61A00" w:rsidRDefault="00B639BA" w:rsidP="00AA12E3">
      <w:r>
        <w:rPr>
          <w:noProof/>
        </w:rPr>
        <w:drawing>
          <wp:inline distT="0" distB="0" distL="0" distR="0" wp14:anchorId="0B25A385" wp14:editId="3AC47E33">
            <wp:extent cx="2781300" cy="2047875"/>
            <wp:effectExtent l="0" t="0" r="0" b="9525"/>
            <wp:docPr id="1538790764" name="Gráfico 1">
              <a:extLst xmlns:a="http://schemas.openxmlformats.org/drawingml/2006/main">
                <a:ext uri="{FF2B5EF4-FFF2-40B4-BE49-F238E27FC236}">
                  <a16:creationId xmlns:a16="http://schemas.microsoft.com/office/drawing/2014/main" id="{D42C40EC-3EBC-86F3-282A-1CCE8A5E1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43F24">
        <w:t xml:space="preserve"> </w:t>
      </w:r>
      <w:r w:rsidR="004068F1">
        <w:rPr>
          <w:noProof/>
        </w:rPr>
        <w:drawing>
          <wp:inline distT="0" distB="0" distL="0" distR="0" wp14:anchorId="1196C473" wp14:editId="40801D43">
            <wp:extent cx="2790825" cy="2066925"/>
            <wp:effectExtent l="0" t="0" r="9525" b="9525"/>
            <wp:docPr id="1979392625" name="Gráfico 1">
              <a:extLst xmlns:a="http://schemas.openxmlformats.org/drawingml/2006/main">
                <a:ext uri="{FF2B5EF4-FFF2-40B4-BE49-F238E27FC236}">
                  <a16:creationId xmlns:a16="http://schemas.microsoft.com/office/drawing/2014/main" id="{E98F23EE-8926-58FF-2809-277C8B594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243F24">
        <w:t xml:space="preserve">  </w:t>
      </w:r>
      <w:r w:rsidR="00582415">
        <w:t xml:space="preserve">  </w:t>
      </w:r>
      <w:r w:rsidR="00243F24">
        <w:t xml:space="preserve">                                                                   </w:t>
      </w:r>
      <w:r w:rsidR="00AE35EB">
        <w:t xml:space="preserve">  </w:t>
      </w:r>
      <w:r w:rsidR="00607562">
        <w:t xml:space="preserve">   </w:t>
      </w:r>
      <w:r w:rsidR="007A2DD3">
        <w:t xml:space="preserve">  </w:t>
      </w:r>
      <w:r w:rsidR="00AE35EB">
        <w:t xml:space="preserve">  </w:t>
      </w:r>
    </w:p>
    <w:p w14:paraId="257456A1" w14:textId="119D725D" w:rsidR="00C61A00" w:rsidRDefault="00C61A00" w:rsidP="00AA12E3">
      <w:pPr>
        <w:jc w:val="left"/>
      </w:pPr>
    </w:p>
    <w:p w14:paraId="2677A0F1" w14:textId="74EDD27E" w:rsidR="00685FEF" w:rsidRDefault="00FE136C" w:rsidP="00AA12E3">
      <w:pPr>
        <w:jc w:val="left"/>
      </w:pPr>
      <w:r>
        <w:rPr>
          <w:noProof/>
        </w:rPr>
        <w:drawing>
          <wp:inline distT="0" distB="0" distL="0" distR="0" wp14:anchorId="19EAFAAF" wp14:editId="2E6738F9">
            <wp:extent cx="2800350" cy="2143125"/>
            <wp:effectExtent l="0" t="0" r="0" b="9525"/>
            <wp:docPr id="378613755" name="Gráfico 1">
              <a:extLst xmlns:a="http://schemas.openxmlformats.org/drawingml/2006/main">
                <a:ext uri="{FF2B5EF4-FFF2-40B4-BE49-F238E27FC236}">
                  <a16:creationId xmlns:a16="http://schemas.microsoft.com/office/drawing/2014/main" id="{37C8B761-4D0F-F457-899D-8680FE5AD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AE35EB">
        <w:t xml:space="preserve"> </w:t>
      </w:r>
      <w:r w:rsidR="004B3BA4">
        <w:rPr>
          <w:noProof/>
        </w:rPr>
        <w:drawing>
          <wp:inline distT="0" distB="0" distL="0" distR="0" wp14:anchorId="60A38196" wp14:editId="706B4040">
            <wp:extent cx="2790825" cy="2143125"/>
            <wp:effectExtent l="0" t="0" r="9525" b="9525"/>
            <wp:docPr id="1260062771" name="Gráfico 1">
              <a:extLst xmlns:a="http://schemas.openxmlformats.org/drawingml/2006/main">
                <a:ext uri="{FF2B5EF4-FFF2-40B4-BE49-F238E27FC236}">
                  <a16:creationId xmlns:a16="http://schemas.microsoft.com/office/drawing/2014/main" id="{B501C2DD-85D1-2D64-1D5F-BE148DBD9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E35EB">
        <w:t xml:space="preserve">   </w:t>
      </w:r>
      <w:r w:rsidR="00607562">
        <w:t xml:space="preserve">  </w:t>
      </w:r>
      <w:r w:rsidR="00243F24">
        <w:t xml:space="preserve">     </w:t>
      </w:r>
      <w:r w:rsidR="00582415">
        <w:t xml:space="preserve">   </w:t>
      </w:r>
      <w:r w:rsidR="00607562">
        <w:t xml:space="preserve"> </w:t>
      </w:r>
      <w:r w:rsidR="00AE35EB">
        <w:t xml:space="preserve"> </w:t>
      </w:r>
    </w:p>
    <w:p w14:paraId="49241055" w14:textId="77777777" w:rsidR="00E43842" w:rsidRDefault="00E43842" w:rsidP="00AA12E3"/>
    <w:p w14:paraId="7E912086" w14:textId="7269E5FC" w:rsidR="00FA65AC" w:rsidRPr="00B70349" w:rsidRDefault="00AE35EB" w:rsidP="00AA12E3">
      <w:pPr>
        <w:rPr>
          <w:i/>
          <w:iCs/>
          <w:sz w:val="16"/>
          <w:szCs w:val="16"/>
        </w:rPr>
      </w:pPr>
      <w:r>
        <w:rPr>
          <w:sz w:val="16"/>
          <w:szCs w:val="16"/>
        </w:rPr>
        <w:t xml:space="preserve">   </w:t>
      </w:r>
      <w:r w:rsidR="00582415">
        <w:rPr>
          <w:sz w:val="16"/>
          <w:szCs w:val="16"/>
        </w:rPr>
        <w:t xml:space="preserve">    </w:t>
      </w:r>
      <w:r>
        <w:rPr>
          <w:sz w:val="16"/>
          <w:szCs w:val="16"/>
        </w:rPr>
        <w:t xml:space="preserve"> </w:t>
      </w:r>
      <w:r w:rsidR="00FA65AC" w:rsidRPr="00C61A00">
        <w:rPr>
          <w:sz w:val="16"/>
          <w:szCs w:val="16"/>
        </w:rPr>
        <w:t>Elaboración propia</w:t>
      </w:r>
      <w:r w:rsidR="00FA65AC" w:rsidRPr="00C61A00">
        <w:rPr>
          <w:i/>
          <w:iCs/>
          <w:sz w:val="16"/>
          <w:szCs w:val="16"/>
        </w:rPr>
        <w:t>. Fuente: Observatorio de precios de los productos agrícolas y ganaderos de Castilla y León</w:t>
      </w:r>
    </w:p>
    <w:p w14:paraId="2099C24C" w14:textId="77777777" w:rsidR="00FA65AC" w:rsidRDefault="00FA65AC" w:rsidP="00AA12E3"/>
    <w:p w14:paraId="1367E572" w14:textId="77777777" w:rsidR="00392EF9" w:rsidRDefault="00392EF9" w:rsidP="00AA12E3">
      <w:pPr>
        <w:tabs>
          <w:tab w:val="left" w:pos="5415"/>
        </w:tabs>
        <w:rPr>
          <w:b/>
        </w:rPr>
      </w:pPr>
    </w:p>
    <w:p w14:paraId="5C226FBE" w14:textId="4B0F0E5B" w:rsidR="00A50360" w:rsidRDefault="004B31AF" w:rsidP="00AA12E3">
      <w:pPr>
        <w:tabs>
          <w:tab w:val="left" w:pos="5415"/>
        </w:tabs>
        <w:rPr>
          <w:bCs/>
        </w:rPr>
      </w:pPr>
      <w:r>
        <w:rPr>
          <w:bCs/>
        </w:rPr>
        <w:t>En</w:t>
      </w:r>
      <w:r w:rsidR="001D6DAC">
        <w:rPr>
          <w:bCs/>
        </w:rPr>
        <w:t xml:space="preserve"> cuanto al precio, en</w:t>
      </w:r>
      <w:r>
        <w:rPr>
          <w:bCs/>
        </w:rPr>
        <w:t xml:space="preserve"> 2025</w:t>
      </w:r>
      <w:r w:rsidR="00A50360">
        <w:rPr>
          <w:bCs/>
        </w:rPr>
        <w:t xml:space="preserve"> </w:t>
      </w:r>
      <w:r w:rsidR="00D13151">
        <w:rPr>
          <w:bCs/>
        </w:rPr>
        <w:t xml:space="preserve">todos </w:t>
      </w:r>
      <w:r w:rsidR="00A50360">
        <w:rPr>
          <w:bCs/>
        </w:rPr>
        <w:t>los cereales en Castilla y León han presentado una cotización</w:t>
      </w:r>
      <w:r w:rsidR="00F36443">
        <w:rPr>
          <w:bCs/>
        </w:rPr>
        <w:t xml:space="preserve"> media</w:t>
      </w:r>
      <w:r w:rsidR="00A50360">
        <w:rPr>
          <w:bCs/>
        </w:rPr>
        <w:t xml:space="preserve"> inferior a la de la anterior campaña.</w:t>
      </w:r>
    </w:p>
    <w:p w14:paraId="315366EA" w14:textId="4BACC5EB" w:rsidR="00B612E7" w:rsidRDefault="00A50360" w:rsidP="00AA12E3">
      <w:pPr>
        <w:tabs>
          <w:tab w:val="left" w:pos="5415"/>
        </w:tabs>
        <w:rPr>
          <w:bCs/>
        </w:rPr>
      </w:pPr>
      <w:r>
        <w:rPr>
          <w:bCs/>
        </w:rPr>
        <w:t xml:space="preserve">En el caso del </w:t>
      </w:r>
      <w:r w:rsidR="004B31AF">
        <w:rPr>
          <w:bCs/>
        </w:rPr>
        <w:t>trigo</w:t>
      </w:r>
      <w:r w:rsidR="00353A4B">
        <w:rPr>
          <w:bCs/>
        </w:rPr>
        <w:t xml:space="preserve"> y la cebada</w:t>
      </w:r>
      <w:r w:rsidR="00D13151">
        <w:rPr>
          <w:bCs/>
        </w:rPr>
        <w:t xml:space="preserve">, </w:t>
      </w:r>
      <w:r w:rsidR="00A27C9D">
        <w:rPr>
          <w:bCs/>
        </w:rPr>
        <w:t xml:space="preserve">pese a haber iniciado el año con cotizaciones </w:t>
      </w:r>
      <w:r w:rsidR="00353A4B">
        <w:rPr>
          <w:bCs/>
        </w:rPr>
        <w:t>medias superiores a las de 2024</w:t>
      </w:r>
      <w:r w:rsidR="00A27C9D">
        <w:rPr>
          <w:bCs/>
        </w:rPr>
        <w:t>, cambi</w:t>
      </w:r>
      <w:r w:rsidR="00353A4B">
        <w:rPr>
          <w:bCs/>
        </w:rPr>
        <w:t>aron</w:t>
      </w:r>
      <w:r w:rsidR="00A27C9D">
        <w:rPr>
          <w:bCs/>
        </w:rPr>
        <w:t xml:space="preserve"> la tendencia al comenzar la nueva cosecha, </w:t>
      </w:r>
      <w:r w:rsidR="00FB05EC">
        <w:rPr>
          <w:bCs/>
        </w:rPr>
        <w:t xml:space="preserve">estando en </w:t>
      </w:r>
      <w:r w:rsidR="00353A4B">
        <w:rPr>
          <w:bCs/>
        </w:rPr>
        <w:t>diciembre</w:t>
      </w:r>
      <w:r w:rsidR="00A27C9D">
        <w:rPr>
          <w:bCs/>
        </w:rPr>
        <w:t xml:space="preserve"> un 10</w:t>
      </w:r>
      <w:r w:rsidR="00353A4B">
        <w:rPr>
          <w:bCs/>
        </w:rPr>
        <w:t>,86</w:t>
      </w:r>
      <w:r w:rsidR="00A27C9D">
        <w:rPr>
          <w:bCs/>
        </w:rPr>
        <w:t>%</w:t>
      </w:r>
      <w:r w:rsidR="00353A4B">
        <w:rPr>
          <w:bCs/>
        </w:rPr>
        <w:t xml:space="preserve"> y 6,67% </w:t>
      </w:r>
      <w:r w:rsidR="00A27C9D">
        <w:rPr>
          <w:bCs/>
        </w:rPr>
        <w:t>por debajo del precio del año anterior</w:t>
      </w:r>
      <w:r w:rsidR="007B7440">
        <w:rPr>
          <w:bCs/>
        </w:rPr>
        <w:t xml:space="preserve"> respectivamente.</w:t>
      </w:r>
      <w:r w:rsidR="00A27C9D">
        <w:rPr>
          <w:bCs/>
        </w:rPr>
        <w:t xml:space="preserve"> </w:t>
      </w:r>
      <w:r w:rsidR="00B612E7">
        <w:rPr>
          <w:bCs/>
        </w:rPr>
        <w:t xml:space="preserve"> </w:t>
      </w:r>
    </w:p>
    <w:p w14:paraId="2AAFAEE5" w14:textId="0045F852" w:rsidR="008A5146" w:rsidRDefault="00372F80" w:rsidP="00AA12E3">
      <w:pPr>
        <w:tabs>
          <w:tab w:val="left" w:pos="5415"/>
        </w:tabs>
        <w:rPr>
          <w:bCs/>
        </w:rPr>
      </w:pPr>
      <w:r>
        <w:rPr>
          <w:bCs/>
        </w:rPr>
        <w:t xml:space="preserve">Respecto </w:t>
      </w:r>
      <w:r w:rsidR="008A5146">
        <w:rPr>
          <w:bCs/>
        </w:rPr>
        <w:t>a la avena, las diferencias en la cotización han sido más acusadas respecto a la anterior campaña, con una media de un 27% por debajo respecto a 2024</w:t>
      </w:r>
      <w:r w:rsidR="00A50360">
        <w:rPr>
          <w:bCs/>
        </w:rPr>
        <w:t>.</w:t>
      </w:r>
    </w:p>
    <w:p w14:paraId="7ABACB94" w14:textId="4EB84849" w:rsidR="00A50360" w:rsidRDefault="00A50360" w:rsidP="00AA12E3">
      <w:pPr>
        <w:tabs>
          <w:tab w:val="left" w:pos="5415"/>
        </w:tabs>
        <w:rPr>
          <w:bCs/>
        </w:rPr>
      </w:pPr>
      <w:r>
        <w:rPr>
          <w:bCs/>
        </w:rPr>
        <w:t>En el caso del centeno, la cotización media se ha situado en torno al 7% por debajo respecto a 2024.</w:t>
      </w:r>
    </w:p>
    <w:p w14:paraId="1F6296B7" w14:textId="77777777" w:rsidR="00AB4B50" w:rsidRDefault="00AB4B50" w:rsidP="00AA12E3">
      <w:pPr>
        <w:tabs>
          <w:tab w:val="left" w:pos="5415"/>
        </w:tabs>
        <w:rPr>
          <w:bCs/>
        </w:rPr>
      </w:pPr>
    </w:p>
    <w:p w14:paraId="4453B3E0" w14:textId="77777777" w:rsidR="00AB4B50" w:rsidRDefault="00AB4B50" w:rsidP="00AA12E3">
      <w:pPr>
        <w:tabs>
          <w:tab w:val="left" w:pos="5415"/>
        </w:tabs>
        <w:rPr>
          <w:bCs/>
        </w:rPr>
      </w:pPr>
    </w:p>
    <w:p w14:paraId="5BA165F0" w14:textId="77777777" w:rsidR="00AB4B50" w:rsidRDefault="00AB4B50" w:rsidP="00AA12E3">
      <w:pPr>
        <w:tabs>
          <w:tab w:val="left" w:pos="5415"/>
        </w:tabs>
        <w:rPr>
          <w:bCs/>
        </w:rPr>
      </w:pPr>
    </w:p>
    <w:p w14:paraId="1C4A51B0" w14:textId="77777777" w:rsidR="00AA12E3" w:rsidRDefault="00AA12E3" w:rsidP="00AA12E3">
      <w:pPr>
        <w:tabs>
          <w:tab w:val="left" w:pos="5415"/>
        </w:tabs>
        <w:rPr>
          <w:bCs/>
        </w:rPr>
      </w:pPr>
    </w:p>
    <w:p w14:paraId="49B443C1" w14:textId="77777777" w:rsidR="00AA12E3" w:rsidRDefault="00AA12E3" w:rsidP="00AA12E3">
      <w:pPr>
        <w:tabs>
          <w:tab w:val="left" w:pos="5415"/>
        </w:tabs>
        <w:rPr>
          <w:bCs/>
        </w:rPr>
      </w:pPr>
    </w:p>
    <w:p w14:paraId="1F98576D" w14:textId="77777777" w:rsidR="00AA12E3" w:rsidRPr="004B31AF" w:rsidRDefault="00AA12E3" w:rsidP="00AA12E3">
      <w:pPr>
        <w:tabs>
          <w:tab w:val="left" w:pos="5415"/>
        </w:tabs>
        <w:rPr>
          <w:bCs/>
        </w:rPr>
      </w:pPr>
    </w:p>
    <w:p w14:paraId="7AC1953E" w14:textId="77777777" w:rsidR="00445183" w:rsidRDefault="00445183" w:rsidP="00AA12E3">
      <w:pPr>
        <w:tabs>
          <w:tab w:val="left" w:pos="5415"/>
        </w:tabs>
        <w:rPr>
          <w:b/>
        </w:rPr>
      </w:pPr>
    </w:p>
    <w:p w14:paraId="42C5C604" w14:textId="77777777" w:rsidR="00F64BFF" w:rsidRDefault="00F64BFF" w:rsidP="00AA12E3">
      <w:pPr>
        <w:tabs>
          <w:tab w:val="left" w:pos="5415"/>
        </w:tabs>
        <w:rPr>
          <w:b/>
        </w:rPr>
      </w:pPr>
      <w:r w:rsidRPr="00F125FD">
        <w:rPr>
          <w:b/>
        </w:rPr>
        <w:lastRenderedPageBreak/>
        <w:t>Maíz</w:t>
      </w:r>
      <w:r>
        <w:rPr>
          <w:b/>
        </w:rPr>
        <w:t>:</w:t>
      </w:r>
    </w:p>
    <w:p w14:paraId="384A620B" w14:textId="77777777" w:rsidR="00F64BFF" w:rsidRDefault="00F64BFF" w:rsidP="00AA12E3">
      <w:pPr>
        <w:tabs>
          <w:tab w:val="left" w:pos="5415"/>
        </w:tabs>
        <w:rPr>
          <w:b/>
        </w:rPr>
      </w:pPr>
    </w:p>
    <w:p w14:paraId="18A00AA1" w14:textId="77777777" w:rsidR="00F64BFF" w:rsidRDefault="00F64BFF" w:rsidP="00AA12E3">
      <w:pPr>
        <w:rPr>
          <w:bCs/>
        </w:rPr>
      </w:pPr>
      <w:r w:rsidRPr="00F37DC8">
        <w:rPr>
          <w:bCs/>
        </w:rPr>
        <w:t xml:space="preserve">La superficie </w:t>
      </w:r>
      <w:r>
        <w:rPr>
          <w:bCs/>
        </w:rPr>
        <w:t>de maíz sembrada esta campaña ha sido de 111.696 hectáreas, un 5,84% más que la anterior, con una estimación de producción de 1.435.888 toneladas, un 5,36% por encima respecto a la pasada campaña.</w:t>
      </w:r>
    </w:p>
    <w:p w14:paraId="4EC472AB" w14:textId="77777777" w:rsidR="00F64BFF" w:rsidRDefault="00F64BFF" w:rsidP="00AA12E3">
      <w:pPr>
        <w:rPr>
          <w:bCs/>
        </w:rPr>
      </w:pPr>
      <w:r>
        <w:rPr>
          <w:bCs/>
        </w:rPr>
        <w:t>En cuanto a la cotización, en noviembre de 2025 se situaba en 213,7 euros por tonelada, un 6,7% por debajo del precio del año anterior.</w:t>
      </w:r>
    </w:p>
    <w:p w14:paraId="1B5B539F" w14:textId="77777777" w:rsidR="00F64BFF" w:rsidRDefault="00F64BFF" w:rsidP="00AA12E3">
      <w:pPr>
        <w:rPr>
          <w:bCs/>
        </w:rPr>
      </w:pPr>
    </w:p>
    <w:p w14:paraId="19A3B881" w14:textId="77777777" w:rsidR="00F64BFF" w:rsidRDefault="00F64BFF" w:rsidP="00AA12E3">
      <w:pPr>
        <w:jc w:val="center"/>
        <w:rPr>
          <w:rFonts w:ascii="Calibri" w:hAnsi="Calibri" w:cs="Calibri"/>
          <w:color w:val="000000"/>
          <w:sz w:val="22"/>
          <w:szCs w:val="22"/>
          <w:lang w:eastAsia="es-ES"/>
        </w:rPr>
      </w:pPr>
      <w:r>
        <w:rPr>
          <w:rFonts w:ascii="Calibri" w:hAnsi="Calibri" w:cs="Calibri"/>
          <w:color w:val="000000"/>
          <w:sz w:val="22"/>
          <w:szCs w:val="22"/>
          <w:lang w:eastAsia="es-ES"/>
        </w:rPr>
        <w:t xml:space="preserve"> </w:t>
      </w:r>
      <w:r>
        <w:rPr>
          <w:noProof/>
        </w:rPr>
        <w:drawing>
          <wp:inline distT="0" distB="0" distL="0" distR="0" wp14:anchorId="619AC392" wp14:editId="094DA690">
            <wp:extent cx="4067175" cy="1943100"/>
            <wp:effectExtent l="0" t="0" r="9525" b="0"/>
            <wp:docPr id="342101972" name="Gráfico 1">
              <a:extLst xmlns:a="http://schemas.openxmlformats.org/drawingml/2006/main">
                <a:ext uri="{FF2B5EF4-FFF2-40B4-BE49-F238E27FC236}">
                  <a16:creationId xmlns:a16="http://schemas.microsoft.com/office/drawing/2014/main" id="{C3124958-BC0C-8C1A-4839-566A962FC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E9FA1D" w14:textId="77777777" w:rsidR="00F64BFF" w:rsidRPr="00F37DC8" w:rsidRDefault="00F64BFF" w:rsidP="00AA12E3">
      <w:pPr>
        <w:jc w:val="center"/>
        <w:rPr>
          <w:rFonts w:ascii="Calibri" w:hAnsi="Calibri" w:cs="Calibri"/>
          <w:color w:val="000000"/>
          <w:sz w:val="22"/>
          <w:szCs w:val="22"/>
          <w:lang w:eastAsia="es-ES"/>
        </w:rPr>
      </w:pPr>
    </w:p>
    <w:p w14:paraId="032D0ECB" w14:textId="77777777" w:rsidR="00F64BFF" w:rsidRDefault="00F64BFF" w:rsidP="00AA12E3">
      <w:pPr>
        <w:tabs>
          <w:tab w:val="left" w:pos="5415"/>
        </w:tabs>
        <w:jc w:val="center"/>
        <w:rPr>
          <w:b/>
        </w:rPr>
      </w:pPr>
      <w:r w:rsidRPr="00D87444">
        <w:rPr>
          <w:bCs/>
          <w:sz w:val="16"/>
          <w:szCs w:val="16"/>
        </w:rPr>
        <w:t xml:space="preserve"> Fuente: Elaboración propia a partir de datos de superficies y producciones del Ministerio de Agricultura</w:t>
      </w:r>
    </w:p>
    <w:p w14:paraId="729D3691" w14:textId="77777777" w:rsidR="00F64BFF" w:rsidRPr="00F37DC8" w:rsidRDefault="00F64BFF" w:rsidP="00AA12E3">
      <w:pPr>
        <w:tabs>
          <w:tab w:val="left" w:pos="5415"/>
        </w:tabs>
        <w:rPr>
          <w:bCs/>
        </w:rPr>
      </w:pPr>
    </w:p>
    <w:p w14:paraId="2DA1C988" w14:textId="77777777" w:rsidR="00F64BFF" w:rsidRDefault="00F64BFF" w:rsidP="00AA12E3">
      <w:pPr>
        <w:jc w:val="center"/>
      </w:pPr>
    </w:p>
    <w:p w14:paraId="32BD3C5A" w14:textId="77777777" w:rsidR="00F64BFF" w:rsidRDefault="00F64BFF" w:rsidP="00AA12E3">
      <w:pPr>
        <w:jc w:val="center"/>
      </w:pPr>
      <w:r>
        <w:t xml:space="preserve"> </w:t>
      </w:r>
      <w:r>
        <w:rPr>
          <w:noProof/>
        </w:rPr>
        <w:drawing>
          <wp:inline distT="0" distB="0" distL="0" distR="0" wp14:anchorId="02FB92B8" wp14:editId="08385D5C">
            <wp:extent cx="4181475" cy="2276475"/>
            <wp:effectExtent l="0" t="0" r="9525" b="9525"/>
            <wp:docPr id="1197346712" name="Gráfico 1">
              <a:extLst xmlns:a="http://schemas.openxmlformats.org/drawingml/2006/main">
                <a:ext uri="{FF2B5EF4-FFF2-40B4-BE49-F238E27FC236}">
                  <a16:creationId xmlns:a16="http://schemas.microsoft.com/office/drawing/2014/main" id="{508BC385-E194-5621-F02D-5A17FBC4C2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C10949" w14:textId="77777777" w:rsidR="00F64BFF" w:rsidRPr="00F125FD" w:rsidRDefault="00F64BFF" w:rsidP="00AA12E3">
      <w:pPr>
        <w:jc w:val="center"/>
      </w:pPr>
    </w:p>
    <w:p w14:paraId="288DFF07" w14:textId="77777777" w:rsidR="00F64BFF" w:rsidRPr="00824231" w:rsidRDefault="00F64BFF" w:rsidP="00AA12E3">
      <w:pPr>
        <w:spacing w:after="60"/>
        <w:jc w:val="center"/>
        <w:rPr>
          <w:sz w:val="16"/>
          <w:szCs w:val="16"/>
          <w:lang w:eastAsia="es-ES"/>
        </w:rPr>
      </w:pPr>
      <w:r w:rsidRPr="00824231">
        <w:rPr>
          <w:i/>
          <w:iCs/>
          <w:sz w:val="16"/>
          <w:szCs w:val="16"/>
          <w:lang w:eastAsia="es-ES"/>
        </w:rPr>
        <w:t xml:space="preserve">   </w:t>
      </w:r>
      <w:r w:rsidRPr="00824231">
        <w:rPr>
          <w:sz w:val="16"/>
          <w:szCs w:val="16"/>
          <w:lang w:eastAsia="es-ES"/>
        </w:rPr>
        <w:t>Fuente: Elaboración propia a partir de datos del Observatorio de precios de los productos agrícolas y ganaderos de Castilla y León</w:t>
      </w:r>
    </w:p>
    <w:p w14:paraId="6A7D6A49" w14:textId="77777777" w:rsidR="00F64BFF" w:rsidRPr="00F125FD" w:rsidRDefault="00F64BFF" w:rsidP="00AA12E3"/>
    <w:p w14:paraId="68635BF1" w14:textId="77777777" w:rsidR="00F64BFF" w:rsidRDefault="00F64BFF" w:rsidP="00AA12E3"/>
    <w:p w14:paraId="7905765D" w14:textId="77777777" w:rsidR="00F64BFF" w:rsidRDefault="00F64BFF" w:rsidP="00AA12E3"/>
    <w:p w14:paraId="4A996514" w14:textId="325EA31A" w:rsidR="00360373" w:rsidRDefault="00FD1C5E" w:rsidP="00AA12E3">
      <w:pPr>
        <w:tabs>
          <w:tab w:val="left" w:pos="5415"/>
        </w:tabs>
        <w:rPr>
          <w:b/>
        </w:rPr>
      </w:pPr>
      <w:r>
        <w:rPr>
          <w:b/>
        </w:rPr>
        <w:t>Cultivos industriales</w:t>
      </w:r>
    </w:p>
    <w:p w14:paraId="31DAB15E" w14:textId="77777777" w:rsidR="00FD1C5E" w:rsidRDefault="00FD1C5E" w:rsidP="00AA12E3">
      <w:pPr>
        <w:tabs>
          <w:tab w:val="left" w:pos="5415"/>
        </w:tabs>
        <w:rPr>
          <w:b/>
        </w:rPr>
      </w:pPr>
    </w:p>
    <w:p w14:paraId="7A17DC4D" w14:textId="3CD41C2F" w:rsidR="00360373" w:rsidRDefault="00FD1C5E" w:rsidP="00AA12E3">
      <w:pPr>
        <w:tabs>
          <w:tab w:val="left" w:pos="5415"/>
        </w:tabs>
        <w:rPr>
          <w:b/>
        </w:rPr>
      </w:pPr>
      <w:r>
        <w:rPr>
          <w:b/>
        </w:rPr>
        <w:t>Remolacha azucarera:</w:t>
      </w:r>
    </w:p>
    <w:p w14:paraId="2927C79B" w14:textId="77777777" w:rsidR="00E46D06" w:rsidRDefault="00E46D06" w:rsidP="00AA12E3">
      <w:pPr>
        <w:tabs>
          <w:tab w:val="left" w:pos="5415"/>
        </w:tabs>
        <w:rPr>
          <w:bCs/>
        </w:rPr>
      </w:pPr>
    </w:p>
    <w:p w14:paraId="4B241A0C" w14:textId="01168566" w:rsidR="00E46D06" w:rsidRDefault="00E46D06" w:rsidP="00AA12E3">
      <w:pPr>
        <w:tabs>
          <w:tab w:val="left" w:pos="5415"/>
        </w:tabs>
        <w:rPr>
          <w:bCs/>
        </w:rPr>
      </w:pPr>
      <w:r>
        <w:rPr>
          <w:bCs/>
        </w:rPr>
        <w:t xml:space="preserve">Según los </w:t>
      </w:r>
      <w:r w:rsidRPr="00075866">
        <w:rPr>
          <w:bCs/>
        </w:rPr>
        <w:t xml:space="preserve">Datos de Campaña de </w:t>
      </w:r>
      <w:r>
        <w:rPr>
          <w:bCs/>
        </w:rPr>
        <w:t>R</w:t>
      </w:r>
      <w:r w:rsidRPr="00075866">
        <w:rPr>
          <w:bCs/>
        </w:rPr>
        <w:t>emolacha Azucarera</w:t>
      </w:r>
      <w:r>
        <w:rPr>
          <w:bCs/>
        </w:rPr>
        <w:t xml:space="preserve"> del </w:t>
      </w:r>
      <w:r w:rsidRPr="00075866">
        <w:rPr>
          <w:bCs/>
        </w:rPr>
        <w:t>Ministerio de Agricultura, Pesca y Alimentación</w:t>
      </w:r>
      <w:r>
        <w:rPr>
          <w:bCs/>
        </w:rPr>
        <w:t>, l</w:t>
      </w:r>
      <w:r w:rsidRPr="009F2E1C">
        <w:rPr>
          <w:bCs/>
        </w:rPr>
        <w:t xml:space="preserve">a producción </w:t>
      </w:r>
      <w:r>
        <w:rPr>
          <w:bCs/>
        </w:rPr>
        <w:t xml:space="preserve">recogida en Castilla y León en la campaña 2024/2025 ascendió a 2.427.000 toneladas, lo que supone un 78% de la producción total nacional. </w:t>
      </w:r>
    </w:p>
    <w:p w14:paraId="3035AB6A" w14:textId="15FDC28C" w:rsidR="00AB4B50" w:rsidRDefault="00E46D06" w:rsidP="00AA12E3">
      <w:pPr>
        <w:tabs>
          <w:tab w:val="left" w:pos="5415"/>
        </w:tabs>
        <w:rPr>
          <w:bCs/>
        </w:rPr>
      </w:pPr>
      <w:r>
        <w:rPr>
          <w:bCs/>
        </w:rPr>
        <w:lastRenderedPageBreak/>
        <w:t>La superficie cultivada fue de 31.816 hectáreas, un 30% m</w:t>
      </w:r>
      <w:r w:rsidR="000D3142">
        <w:rPr>
          <w:bCs/>
        </w:rPr>
        <w:t>ás</w:t>
      </w:r>
      <w:r>
        <w:rPr>
          <w:bCs/>
        </w:rPr>
        <w:t xml:space="preserve"> que la campaña anterior. </w:t>
      </w:r>
    </w:p>
    <w:p w14:paraId="10323E27" w14:textId="7D2CBE64" w:rsidR="00C85E5C" w:rsidRDefault="00872E6B" w:rsidP="00AA12E3">
      <w:pPr>
        <w:tabs>
          <w:tab w:val="left" w:pos="5415"/>
        </w:tabs>
        <w:rPr>
          <w:bCs/>
        </w:rPr>
      </w:pPr>
      <w:r>
        <w:rPr>
          <w:bCs/>
        </w:rPr>
        <w:t>En cuanto a l</w:t>
      </w:r>
      <w:r w:rsidR="006061EB" w:rsidRPr="006061EB">
        <w:rPr>
          <w:bCs/>
        </w:rPr>
        <w:t>os rendimientos</w:t>
      </w:r>
      <w:r w:rsidR="00950E99">
        <w:rPr>
          <w:bCs/>
        </w:rPr>
        <w:t xml:space="preserve"> medios</w:t>
      </w:r>
      <w:r w:rsidR="006061EB" w:rsidRPr="006061EB">
        <w:rPr>
          <w:bCs/>
        </w:rPr>
        <w:t xml:space="preserve"> relativos a la campaña 2024/2025</w:t>
      </w:r>
      <w:r>
        <w:rPr>
          <w:bCs/>
        </w:rPr>
        <w:t>,</w:t>
      </w:r>
      <w:r w:rsidR="006061EB">
        <w:rPr>
          <w:bCs/>
        </w:rPr>
        <w:t xml:space="preserve"> </w:t>
      </w:r>
      <w:r>
        <w:rPr>
          <w:bCs/>
        </w:rPr>
        <w:t xml:space="preserve">éstos </w:t>
      </w:r>
      <w:r w:rsidR="006061EB">
        <w:rPr>
          <w:bCs/>
        </w:rPr>
        <w:t>se situa</w:t>
      </w:r>
      <w:r w:rsidR="000D3142">
        <w:rPr>
          <w:bCs/>
        </w:rPr>
        <w:t>ron</w:t>
      </w:r>
      <w:r w:rsidR="006061EB">
        <w:rPr>
          <w:bCs/>
        </w:rPr>
        <w:t xml:space="preserve"> en 76,3 </w:t>
      </w:r>
      <w:r w:rsidR="00950E99">
        <w:rPr>
          <w:bCs/>
        </w:rPr>
        <w:t>T/Ha</w:t>
      </w:r>
      <w:r w:rsidR="007D25F4">
        <w:rPr>
          <w:bCs/>
        </w:rPr>
        <w:t xml:space="preserve"> (no se tenían registros de rendimientos tan bajos desde principios de la década </w:t>
      </w:r>
      <w:r w:rsidR="007D25F4" w:rsidRPr="00625160">
        <w:rPr>
          <w:bCs/>
        </w:rPr>
        <w:t>de los noventa del siglo</w:t>
      </w:r>
      <w:r w:rsidR="007D25F4">
        <w:rPr>
          <w:bCs/>
        </w:rPr>
        <w:t xml:space="preserve"> pasado).</w:t>
      </w:r>
    </w:p>
    <w:p w14:paraId="6D5D667B" w14:textId="05B4B4E7" w:rsidR="000D3142" w:rsidRDefault="00950E99" w:rsidP="00AA12E3">
      <w:pPr>
        <w:tabs>
          <w:tab w:val="left" w:pos="5415"/>
        </w:tabs>
        <w:rPr>
          <w:bCs/>
        </w:rPr>
      </w:pPr>
      <w:r>
        <w:rPr>
          <w:bCs/>
        </w:rPr>
        <w:t>L</w:t>
      </w:r>
      <w:r w:rsidR="00EA39FE">
        <w:rPr>
          <w:bCs/>
        </w:rPr>
        <w:t xml:space="preserve">a actual </w:t>
      </w:r>
      <w:r w:rsidR="00C2764C" w:rsidRPr="00C2764C">
        <w:rPr>
          <w:bCs/>
        </w:rPr>
        <w:t>campaña</w:t>
      </w:r>
      <w:r w:rsidR="00A771F6">
        <w:rPr>
          <w:bCs/>
        </w:rPr>
        <w:t xml:space="preserve"> 2025/2026</w:t>
      </w:r>
      <w:r w:rsidR="00C2764C" w:rsidRPr="00C2764C">
        <w:rPr>
          <w:bCs/>
        </w:rPr>
        <w:t>, ha estado marcad</w:t>
      </w:r>
      <w:r>
        <w:rPr>
          <w:bCs/>
        </w:rPr>
        <w:t>a</w:t>
      </w:r>
      <w:r w:rsidR="00C2764C" w:rsidRPr="00C2764C">
        <w:rPr>
          <w:bCs/>
        </w:rPr>
        <w:t xml:space="preserve"> por el retraso de las siembras,</w:t>
      </w:r>
      <w:r w:rsidR="00F222FF">
        <w:rPr>
          <w:bCs/>
        </w:rPr>
        <w:t xml:space="preserve"> </w:t>
      </w:r>
      <w:r w:rsidR="000D3142">
        <w:rPr>
          <w:bCs/>
        </w:rPr>
        <w:t xml:space="preserve">que se efectuaron </w:t>
      </w:r>
      <w:r w:rsidR="000D3142" w:rsidRPr="00C2764C">
        <w:rPr>
          <w:bCs/>
        </w:rPr>
        <w:t>con unas tres o cuatro semanas de demora respecto</w:t>
      </w:r>
      <w:r w:rsidR="000D3142">
        <w:rPr>
          <w:bCs/>
        </w:rPr>
        <w:t xml:space="preserve"> </w:t>
      </w:r>
      <w:r w:rsidR="000D3142" w:rsidRPr="00C2764C">
        <w:rPr>
          <w:bCs/>
        </w:rPr>
        <w:t>al calendario habitual debido a las abundantes precipitaciones de marzo, coincidiendo con el periodo de preparación del terreno y las fechas tradicionales de siembra</w:t>
      </w:r>
      <w:r w:rsidR="0029483E">
        <w:rPr>
          <w:bCs/>
        </w:rPr>
        <w:t>. Tampoco la oferta de precios para este año animó a los agricultores a sembrar, con solo 18.</w:t>
      </w:r>
      <w:r w:rsidR="001D08CF">
        <w:rPr>
          <w:bCs/>
        </w:rPr>
        <w:t>973</w:t>
      </w:r>
      <w:r w:rsidR="0029483E">
        <w:rPr>
          <w:bCs/>
        </w:rPr>
        <w:t xml:space="preserve"> hectáreas sembradas, un 40 % menos respecto a la pasada campaña.</w:t>
      </w:r>
    </w:p>
    <w:p w14:paraId="2BEF4E1B" w14:textId="77777777" w:rsidR="0082288C" w:rsidRDefault="0082288C" w:rsidP="00AA12E3">
      <w:pPr>
        <w:tabs>
          <w:tab w:val="left" w:pos="5415"/>
        </w:tabs>
        <w:rPr>
          <w:bCs/>
        </w:rPr>
      </w:pPr>
    </w:p>
    <w:p w14:paraId="15389AAE" w14:textId="55DCFE7C" w:rsidR="0082288C" w:rsidRDefault="0082288C" w:rsidP="00AA12E3">
      <w:pPr>
        <w:tabs>
          <w:tab w:val="left" w:pos="5415"/>
        </w:tabs>
        <w:jc w:val="center"/>
        <w:rPr>
          <w:bCs/>
        </w:rPr>
      </w:pPr>
      <w:r>
        <w:rPr>
          <w:noProof/>
        </w:rPr>
        <w:drawing>
          <wp:inline distT="0" distB="0" distL="0" distR="0" wp14:anchorId="1A1BBBEF" wp14:editId="52A2C0D4">
            <wp:extent cx="4229100" cy="1762125"/>
            <wp:effectExtent l="0" t="0" r="0" b="9525"/>
            <wp:docPr id="663737906" name="Gráfico 1">
              <a:extLst xmlns:a="http://schemas.openxmlformats.org/drawingml/2006/main">
                <a:ext uri="{FF2B5EF4-FFF2-40B4-BE49-F238E27FC236}">
                  <a16:creationId xmlns:a16="http://schemas.microsoft.com/office/drawing/2014/main" id="{E1897CBA-258C-CCA7-7786-9A3F264083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C70A4A" w14:textId="77777777" w:rsidR="0082288C" w:rsidRDefault="0082288C" w:rsidP="00AA12E3">
      <w:pPr>
        <w:tabs>
          <w:tab w:val="left" w:pos="5415"/>
        </w:tabs>
        <w:jc w:val="center"/>
        <w:rPr>
          <w:b/>
        </w:rPr>
      </w:pPr>
    </w:p>
    <w:p w14:paraId="2DE29FC3" w14:textId="77777777" w:rsidR="0082288C" w:rsidRDefault="0082288C" w:rsidP="00AA12E3">
      <w:pPr>
        <w:tabs>
          <w:tab w:val="left" w:pos="1095"/>
        </w:tabs>
        <w:jc w:val="center"/>
        <w:rPr>
          <w:bCs/>
          <w:sz w:val="16"/>
          <w:szCs w:val="16"/>
        </w:rPr>
      </w:pPr>
      <w:r w:rsidRPr="00C61A00">
        <w:rPr>
          <w:sz w:val="16"/>
          <w:szCs w:val="16"/>
        </w:rPr>
        <w:t>Elaboración propia</w:t>
      </w:r>
      <w:r w:rsidRPr="00C61A00">
        <w:rPr>
          <w:i/>
          <w:iCs/>
          <w:sz w:val="16"/>
          <w:szCs w:val="16"/>
        </w:rPr>
        <w:t xml:space="preserve">. Fuente: </w:t>
      </w:r>
      <w:r w:rsidRPr="00D87444">
        <w:rPr>
          <w:bCs/>
          <w:sz w:val="16"/>
          <w:szCs w:val="16"/>
        </w:rPr>
        <w:t>Elaboración propia a partir de datos de superficies y producciones del Ministerio de Agricultura</w:t>
      </w:r>
    </w:p>
    <w:p w14:paraId="784A0C4E" w14:textId="77777777" w:rsidR="0082288C" w:rsidRDefault="0082288C" w:rsidP="00AA12E3">
      <w:pPr>
        <w:tabs>
          <w:tab w:val="left" w:pos="5415"/>
        </w:tabs>
        <w:rPr>
          <w:bCs/>
        </w:rPr>
      </w:pPr>
    </w:p>
    <w:p w14:paraId="4FA8805D" w14:textId="170036CC" w:rsidR="00950E99" w:rsidRDefault="001E450B" w:rsidP="00AA12E3">
      <w:pPr>
        <w:tabs>
          <w:tab w:val="left" w:pos="5415"/>
        </w:tabs>
        <w:rPr>
          <w:bCs/>
        </w:rPr>
      </w:pPr>
      <w:r>
        <w:rPr>
          <w:bCs/>
        </w:rPr>
        <w:t xml:space="preserve">En cuanto al </w:t>
      </w:r>
      <w:r w:rsidR="00950E99" w:rsidRPr="00C2764C">
        <w:rPr>
          <w:bCs/>
        </w:rPr>
        <w:t xml:space="preserve">desarrollo </w:t>
      </w:r>
      <w:r w:rsidR="00950E99">
        <w:rPr>
          <w:bCs/>
        </w:rPr>
        <w:t xml:space="preserve">vegetativo </w:t>
      </w:r>
      <w:r w:rsidR="00950E99" w:rsidRPr="00C2764C">
        <w:rPr>
          <w:bCs/>
        </w:rPr>
        <w:t>de la remolacha</w:t>
      </w:r>
      <w:r>
        <w:rPr>
          <w:bCs/>
        </w:rPr>
        <w:t xml:space="preserve">, las temperaturas moderadas del mes de julio favorecieron un desarrollo normal. </w:t>
      </w:r>
    </w:p>
    <w:p w14:paraId="29124843" w14:textId="3F53E99B" w:rsidR="00D54C2E" w:rsidRDefault="00515E40" w:rsidP="00AA12E3">
      <w:pPr>
        <w:tabs>
          <w:tab w:val="left" w:pos="5415"/>
        </w:tabs>
        <w:rPr>
          <w:bCs/>
        </w:rPr>
      </w:pPr>
      <w:r w:rsidRPr="00515E40">
        <w:rPr>
          <w:bCs/>
        </w:rPr>
        <w:t>Sin embargo, las altas temperaturas de la primera quincena de agosto, tanto diurnas como nocturnas, podrían haber afectado a la acumulación de sacarosa en la raíz. A partir de mediados de agosto, las condiciones se suavizaron y, unido al óptimo estado sanitario del cultivo, la remolacha ha mostrado un crecimiento notable en peso y polarización</w:t>
      </w:r>
      <w:r w:rsidR="0029483E">
        <w:rPr>
          <w:bCs/>
        </w:rPr>
        <w:t xml:space="preserve">, </w:t>
      </w:r>
      <w:r w:rsidR="001E450B">
        <w:rPr>
          <w:bCs/>
        </w:rPr>
        <w:t>lo cual</w:t>
      </w:r>
      <w:r w:rsidR="0029483E">
        <w:rPr>
          <w:bCs/>
        </w:rPr>
        <w:t xml:space="preserve"> se está constatando en la actual campaña de molturación en las fábricas</w:t>
      </w:r>
      <w:r w:rsidR="006A3275">
        <w:rPr>
          <w:bCs/>
        </w:rPr>
        <w:t xml:space="preserve"> de Olmedo (ACOR) y Toro (Azucarera)</w:t>
      </w:r>
      <w:r w:rsidR="001E450B">
        <w:rPr>
          <w:bCs/>
        </w:rPr>
        <w:t>,</w:t>
      </w:r>
      <w:r w:rsidR="0029483E">
        <w:rPr>
          <w:bCs/>
        </w:rPr>
        <w:t xml:space="preserve"> que</w:t>
      </w:r>
      <w:r w:rsidR="006A3275">
        <w:rPr>
          <w:bCs/>
        </w:rPr>
        <w:t xml:space="preserve"> comenzaron la campaña remolachera el 20 y 27 de octubre respectivamente, y</w:t>
      </w:r>
      <w:r w:rsidR="0029483E">
        <w:rPr>
          <w:bCs/>
        </w:rPr>
        <w:t xml:space="preserve"> aún permanecen abiertas. </w:t>
      </w:r>
    </w:p>
    <w:p w14:paraId="63E99FEF" w14:textId="3245D978" w:rsidR="00A430B0" w:rsidRDefault="00A430B0" w:rsidP="00AA12E3">
      <w:pPr>
        <w:tabs>
          <w:tab w:val="left" w:pos="5415"/>
        </w:tabs>
        <w:rPr>
          <w:bCs/>
        </w:rPr>
      </w:pPr>
    </w:p>
    <w:p w14:paraId="44CFCCE3" w14:textId="196D181A" w:rsidR="00933F39" w:rsidRPr="00933F39" w:rsidRDefault="00A430B0" w:rsidP="00AA12E3">
      <w:pPr>
        <w:tabs>
          <w:tab w:val="left" w:pos="5415"/>
        </w:tabs>
        <w:rPr>
          <w:bCs/>
        </w:rPr>
      </w:pPr>
      <w:r>
        <w:rPr>
          <w:bCs/>
        </w:rPr>
        <w:t xml:space="preserve">Pero lo más significativo y preocupante para este cultivo </w:t>
      </w:r>
      <w:r w:rsidR="00933F39">
        <w:rPr>
          <w:bCs/>
        </w:rPr>
        <w:t xml:space="preserve">en 2025 </w:t>
      </w:r>
      <w:r>
        <w:rPr>
          <w:bCs/>
        </w:rPr>
        <w:t xml:space="preserve">ocurrió el pasado mayo, cuando Azucarera anunció por sorpresa el cierre de 3 de sus 4 azucareras. En Castilla y </w:t>
      </w:r>
      <w:r w:rsidRPr="00A430B0">
        <w:rPr>
          <w:bCs/>
        </w:rPr>
        <w:t>León</w:t>
      </w:r>
      <w:r>
        <w:rPr>
          <w:bCs/>
        </w:rPr>
        <w:t>, donde l</w:t>
      </w:r>
      <w:r w:rsidR="00933F39">
        <w:rPr>
          <w:bCs/>
        </w:rPr>
        <w:t xml:space="preserve">os contratos </w:t>
      </w:r>
      <w:r>
        <w:rPr>
          <w:bCs/>
        </w:rPr>
        <w:t xml:space="preserve">de </w:t>
      </w:r>
      <w:r w:rsidR="00933F39">
        <w:rPr>
          <w:bCs/>
        </w:rPr>
        <w:t>r</w:t>
      </w:r>
      <w:r>
        <w:rPr>
          <w:bCs/>
        </w:rPr>
        <w:t>emolacha se había</w:t>
      </w:r>
      <w:r w:rsidR="00933F39">
        <w:rPr>
          <w:bCs/>
        </w:rPr>
        <w:t>n</w:t>
      </w:r>
      <w:r>
        <w:rPr>
          <w:bCs/>
        </w:rPr>
        <w:t xml:space="preserve"> </w:t>
      </w:r>
      <w:r w:rsidR="00933F39">
        <w:rPr>
          <w:bCs/>
        </w:rPr>
        <w:t>firmado</w:t>
      </w:r>
      <w:r>
        <w:rPr>
          <w:bCs/>
        </w:rPr>
        <w:t xml:space="preserve"> semanas atrás en las respectivas fábricas y el cultivo llevaba varios meses sembrado, la empresa anunció </w:t>
      </w:r>
      <w:r w:rsidR="00933F39">
        <w:rPr>
          <w:bCs/>
        </w:rPr>
        <w:t xml:space="preserve">el cierre de La Bañeza y Miranda, además de Jerez, la única en el sur. </w:t>
      </w:r>
      <w:r w:rsidR="00857F81">
        <w:rPr>
          <w:bCs/>
        </w:rPr>
        <w:t xml:space="preserve">En esta campaña se </w:t>
      </w:r>
      <w:r w:rsidR="00933F39">
        <w:rPr>
          <w:bCs/>
        </w:rPr>
        <w:t xml:space="preserve">está </w:t>
      </w:r>
      <w:r w:rsidR="00857F81">
        <w:rPr>
          <w:bCs/>
        </w:rPr>
        <w:t>ll</w:t>
      </w:r>
      <w:r w:rsidR="00933F39">
        <w:rPr>
          <w:bCs/>
        </w:rPr>
        <w:t xml:space="preserve">evando toda la remolacha a </w:t>
      </w:r>
      <w:r>
        <w:rPr>
          <w:bCs/>
        </w:rPr>
        <w:t>moltura</w:t>
      </w:r>
      <w:r w:rsidR="00933F39">
        <w:rPr>
          <w:bCs/>
        </w:rPr>
        <w:t>r a</w:t>
      </w:r>
      <w:r>
        <w:rPr>
          <w:bCs/>
        </w:rPr>
        <w:t xml:space="preserve"> Toro</w:t>
      </w:r>
      <w:r w:rsidR="00933F39">
        <w:rPr>
          <w:bCs/>
        </w:rPr>
        <w:t xml:space="preserve">. </w:t>
      </w:r>
      <w:r w:rsidR="00933F39" w:rsidRPr="00933F39">
        <w:rPr>
          <w:bCs/>
        </w:rPr>
        <w:t xml:space="preserve">ASAJA señala </w:t>
      </w:r>
      <w:r w:rsidR="00933F39">
        <w:rPr>
          <w:bCs/>
        </w:rPr>
        <w:t>como</w:t>
      </w:r>
      <w:r w:rsidR="00933F39" w:rsidRPr="00933F39">
        <w:rPr>
          <w:bCs/>
        </w:rPr>
        <w:t xml:space="preserve"> únicos responsables</w:t>
      </w:r>
      <w:r w:rsidR="00933F39">
        <w:rPr>
          <w:bCs/>
        </w:rPr>
        <w:t xml:space="preserve"> del desastre que puede llevar al sector remolachero nacional a su desaparición en gran parte de España</w:t>
      </w:r>
      <w:r w:rsidR="00857F81">
        <w:rPr>
          <w:bCs/>
        </w:rPr>
        <w:t xml:space="preserve"> o que quede como cultivo residual, </w:t>
      </w:r>
      <w:r w:rsidR="00933F39">
        <w:rPr>
          <w:bCs/>
        </w:rPr>
        <w:t>a</w:t>
      </w:r>
      <w:r w:rsidR="00933F39" w:rsidRPr="00933F39">
        <w:rPr>
          <w:bCs/>
        </w:rPr>
        <w:t xml:space="preserve"> Azucarera</w:t>
      </w:r>
      <w:r w:rsidR="00933F39">
        <w:rPr>
          <w:bCs/>
        </w:rPr>
        <w:t>,</w:t>
      </w:r>
      <w:r w:rsidR="00933F39" w:rsidRPr="00933F39">
        <w:rPr>
          <w:bCs/>
        </w:rPr>
        <w:t xml:space="preserve"> </w:t>
      </w:r>
      <w:r w:rsidR="00933F39">
        <w:rPr>
          <w:bCs/>
        </w:rPr>
        <w:t xml:space="preserve">a </w:t>
      </w:r>
      <w:r w:rsidR="00933F39" w:rsidRPr="00933F39">
        <w:rPr>
          <w:bCs/>
        </w:rPr>
        <w:t xml:space="preserve">sus directivos, y </w:t>
      </w:r>
      <w:r w:rsidR="00857F81">
        <w:rPr>
          <w:bCs/>
        </w:rPr>
        <w:t xml:space="preserve">a </w:t>
      </w:r>
      <w:r w:rsidR="00933F39" w:rsidRPr="00933F39">
        <w:rPr>
          <w:bCs/>
        </w:rPr>
        <w:t>las nefastas políticas tanto agronómicas</w:t>
      </w:r>
      <w:r w:rsidR="00933F39">
        <w:rPr>
          <w:bCs/>
        </w:rPr>
        <w:t xml:space="preserve"> </w:t>
      </w:r>
      <w:r w:rsidR="00933F39" w:rsidRPr="00933F39">
        <w:rPr>
          <w:bCs/>
        </w:rPr>
        <w:t>como industriales que han llevado en los últimos años.</w:t>
      </w:r>
    </w:p>
    <w:p w14:paraId="36FDAA2F" w14:textId="77777777" w:rsidR="00445183" w:rsidRDefault="00445183" w:rsidP="00AA12E3">
      <w:pPr>
        <w:tabs>
          <w:tab w:val="left" w:pos="5415"/>
        </w:tabs>
        <w:rPr>
          <w:bCs/>
        </w:rPr>
      </w:pPr>
    </w:p>
    <w:p w14:paraId="557585FB" w14:textId="0686CAF5" w:rsidR="00080402" w:rsidRDefault="001803BB" w:rsidP="00AA12E3">
      <w:pPr>
        <w:tabs>
          <w:tab w:val="left" w:pos="5415"/>
        </w:tabs>
        <w:rPr>
          <w:b/>
        </w:rPr>
      </w:pPr>
      <w:r>
        <w:rPr>
          <w:bCs/>
        </w:rPr>
        <w:t>En el siguiente gráfico se observa la evolución del precio de la remolacha azucarera en las últimas campañas, con un descenso en torno al 13% en la campaña 2024/2025 respecto a</w:t>
      </w:r>
      <w:r w:rsidR="00477406">
        <w:rPr>
          <w:bCs/>
        </w:rPr>
        <w:t xml:space="preserve"> la campaña de comercialización anterior.</w:t>
      </w:r>
    </w:p>
    <w:p w14:paraId="7B76C493" w14:textId="77777777" w:rsidR="001803BB" w:rsidRPr="001803BB" w:rsidRDefault="001803BB" w:rsidP="00AA12E3">
      <w:pPr>
        <w:tabs>
          <w:tab w:val="left" w:pos="5415"/>
        </w:tabs>
        <w:rPr>
          <w:bCs/>
        </w:rPr>
      </w:pPr>
    </w:p>
    <w:p w14:paraId="6DEE8B25" w14:textId="6C5A33FE" w:rsidR="00F64B72" w:rsidRDefault="00D44984" w:rsidP="00AA12E3">
      <w:pPr>
        <w:tabs>
          <w:tab w:val="left" w:pos="5415"/>
        </w:tabs>
        <w:ind w:left="709"/>
        <w:rPr>
          <w:b/>
        </w:rPr>
      </w:pPr>
      <w:r>
        <w:rPr>
          <w:b/>
        </w:rPr>
        <w:lastRenderedPageBreak/>
        <w:t xml:space="preserve">  </w:t>
      </w:r>
      <w:r w:rsidR="00B712F8">
        <w:rPr>
          <w:b/>
        </w:rPr>
        <w:t xml:space="preserve"> </w:t>
      </w:r>
      <w:r>
        <w:rPr>
          <w:b/>
        </w:rPr>
        <w:t xml:space="preserve"> </w:t>
      </w:r>
      <w:r>
        <w:rPr>
          <w:noProof/>
        </w:rPr>
        <w:drawing>
          <wp:inline distT="0" distB="0" distL="0" distR="0" wp14:anchorId="4DECB6A3" wp14:editId="04D6651F">
            <wp:extent cx="4333875" cy="1914525"/>
            <wp:effectExtent l="0" t="0" r="9525" b="9525"/>
            <wp:docPr id="2006302038" name="Gráfico 1">
              <a:extLst xmlns:a="http://schemas.openxmlformats.org/drawingml/2006/main">
                <a:ext uri="{FF2B5EF4-FFF2-40B4-BE49-F238E27FC236}">
                  <a16:creationId xmlns:a16="http://schemas.microsoft.com/office/drawing/2014/main" id="{063737D3-B068-DD0C-7FFF-C5663A5D1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9CDD79" w14:textId="77777777" w:rsidR="00080402" w:rsidRDefault="00080402" w:rsidP="00AA12E3">
      <w:pPr>
        <w:tabs>
          <w:tab w:val="left" w:pos="5415"/>
        </w:tabs>
        <w:rPr>
          <w:b/>
        </w:rPr>
      </w:pPr>
    </w:p>
    <w:p w14:paraId="38A0F03C" w14:textId="5560C6EB" w:rsidR="009E378F" w:rsidRPr="00B70349" w:rsidRDefault="009E378F" w:rsidP="00AA12E3">
      <w:pPr>
        <w:rPr>
          <w:i/>
          <w:iCs/>
          <w:sz w:val="16"/>
          <w:szCs w:val="16"/>
        </w:rPr>
      </w:pPr>
      <w:r>
        <w:rPr>
          <w:sz w:val="16"/>
          <w:szCs w:val="16"/>
        </w:rPr>
        <w:t xml:space="preserve">       </w:t>
      </w:r>
      <w:r w:rsidRPr="00C61A00">
        <w:rPr>
          <w:sz w:val="16"/>
          <w:szCs w:val="16"/>
        </w:rPr>
        <w:t>Elaboración propia</w:t>
      </w:r>
      <w:r w:rsidRPr="00C61A00">
        <w:rPr>
          <w:i/>
          <w:iCs/>
          <w:sz w:val="16"/>
          <w:szCs w:val="16"/>
        </w:rPr>
        <w:t>. Fuente: Observatorio de precios de los productos agrícolas y ganaderos de Castilla y León</w:t>
      </w:r>
    </w:p>
    <w:p w14:paraId="5EBE66C8" w14:textId="77777777" w:rsidR="00080402" w:rsidRDefault="00080402" w:rsidP="00AA12E3">
      <w:pPr>
        <w:tabs>
          <w:tab w:val="left" w:pos="5415"/>
        </w:tabs>
        <w:rPr>
          <w:b/>
        </w:rPr>
      </w:pPr>
    </w:p>
    <w:p w14:paraId="70877AC1" w14:textId="77777777" w:rsidR="00C85E5C" w:rsidRDefault="00C85E5C" w:rsidP="00AA12E3">
      <w:pPr>
        <w:tabs>
          <w:tab w:val="left" w:pos="5415"/>
        </w:tabs>
        <w:rPr>
          <w:b/>
        </w:rPr>
      </w:pPr>
    </w:p>
    <w:p w14:paraId="5F7D7B20" w14:textId="77777777" w:rsidR="00A771F6" w:rsidRDefault="00A771F6" w:rsidP="00AA12E3">
      <w:pPr>
        <w:tabs>
          <w:tab w:val="left" w:pos="5415"/>
        </w:tabs>
        <w:rPr>
          <w:b/>
        </w:rPr>
      </w:pPr>
    </w:p>
    <w:p w14:paraId="3577810B" w14:textId="7D92DFF1" w:rsidR="00360373" w:rsidRDefault="00B93179" w:rsidP="00AA12E3">
      <w:pPr>
        <w:tabs>
          <w:tab w:val="left" w:pos="5415"/>
        </w:tabs>
        <w:rPr>
          <w:b/>
        </w:rPr>
      </w:pPr>
      <w:r>
        <w:rPr>
          <w:b/>
        </w:rPr>
        <w:t>Girasol:</w:t>
      </w:r>
    </w:p>
    <w:p w14:paraId="384A1FED" w14:textId="77777777" w:rsidR="008A671D" w:rsidRDefault="008A671D" w:rsidP="00AA12E3">
      <w:pPr>
        <w:tabs>
          <w:tab w:val="left" w:pos="5415"/>
        </w:tabs>
        <w:rPr>
          <w:b/>
        </w:rPr>
      </w:pPr>
    </w:p>
    <w:p w14:paraId="36AB7D17" w14:textId="6E5D420B" w:rsidR="008A671D" w:rsidRDefault="008A671D" w:rsidP="00AA12E3">
      <w:pPr>
        <w:tabs>
          <w:tab w:val="left" w:pos="5415"/>
        </w:tabs>
        <w:rPr>
          <w:bCs/>
        </w:rPr>
      </w:pPr>
      <w:r w:rsidRPr="008A671D">
        <w:rPr>
          <w:bCs/>
        </w:rPr>
        <w:t xml:space="preserve">En </w:t>
      </w:r>
      <w:r>
        <w:rPr>
          <w:bCs/>
        </w:rPr>
        <w:t>2025 se han sembrado en Castilla y Léon</w:t>
      </w:r>
      <w:r w:rsidR="005D4CBB">
        <w:rPr>
          <w:bCs/>
        </w:rPr>
        <w:t xml:space="preserve">, </w:t>
      </w:r>
      <w:r>
        <w:rPr>
          <w:bCs/>
        </w:rPr>
        <w:t>29</w:t>
      </w:r>
      <w:r w:rsidR="001048A7">
        <w:rPr>
          <w:bCs/>
        </w:rPr>
        <w:t>8</w:t>
      </w:r>
      <w:r>
        <w:rPr>
          <w:bCs/>
        </w:rPr>
        <w:t>.</w:t>
      </w:r>
      <w:r w:rsidR="001048A7">
        <w:rPr>
          <w:bCs/>
        </w:rPr>
        <w:t>424</w:t>
      </w:r>
      <w:r>
        <w:rPr>
          <w:bCs/>
        </w:rPr>
        <w:t xml:space="preserve"> Ha de girasol, un 1</w:t>
      </w:r>
      <w:r w:rsidR="001048A7">
        <w:rPr>
          <w:bCs/>
        </w:rPr>
        <w:t>8,6</w:t>
      </w:r>
      <w:r>
        <w:rPr>
          <w:bCs/>
        </w:rPr>
        <w:t>% menos que en 2024</w:t>
      </w:r>
      <w:r w:rsidR="00AE1177">
        <w:rPr>
          <w:bCs/>
        </w:rPr>
        <w:t>.</w:t>
      </w:r>
    </w:p>
    <w:p w14:paraId="7D9B2C56" w14:textId="1F32FDDF" w:rsidR="00622107" w:rsidRDefault="00622107" w:rsidP="00AA12E3">
      <w:pPr>
        <w:tabs>
          <w:tab w:val="left" w:pos="5415"/>
        </w:tabs>
        <w:rPr>
          <w:bCs/>
        </w:rPr>
      </w:pPr>
      <w:r>
        <w:rPr>
          <w:bCs/>
        </w:rPr>
        <w:t xml:space="preserve">En cuanto a la producción, en 2025 se han cosechado </w:t>
      </w:r>
      <w:r w:rsidR="001048A7">
        <w:rPr>
          <w:bCs/>
        </w:rPr>
        <w:t>379.711</w:t>
      </w:r>
      <w:r>
        <w:rPr>
          <w:bCs/>
        </w:rPr>
        <w:t xml:space="preserve"> toneladas, un 1</w:t>
      </w:r>
      <w:r w:rsidR="001048A7">
        <w:rPr>
          <w:bCs/>
        </w:rPr>
        <w:t>1,87</w:t>
      </w:r>
      <w:r>
        <w:rPr>
          <w:bCs/>
        </w:rPr>
        <w:t>% menos que en 2024</w:t>
      </w:r>
      <w:r w:rsidR="00AE1177">
        <w:rPr>
          <w:bCs/>
        </w:rPr>
        <w:t>, ya que el calor del verano ha dejado mermados los campos más tempranos.</w:t>
      </w:r>
    </w:p>
    <w:p w14:paraId="06E357CA" w14:textId="74DEF1D1" w:rsidR="00AA197D" w:rsidRDefault="0037240E" w:rsidP="00AA12E3">
      <w:pPr>
        <w:tabs>
          <w:tab w:val="left" w:pos="5415"/>
        </w:tabs>
        <w:rPr>
          <w:bCs/>
        </w:rPr>
      </w:pPr>
      <w:r>
        <w:rPr>
          <w:bCs/>
        </w:rPr>
        <w:t>Respecto</w:t>
      </w:r>
      <w:r w:rsidR="00AA197D">
        <w:rPr>
          <w:bCs/>
        </w:rPr>
        <w:t xml:space="preserve"> a los rendimientos medios obtenidos, se sitúan en 900 kg/ha en secano y 1.700 kg/ha en regadío</w:t>
      </w:r>
      <w:r w:rsidR="00224955">
        <w:rPr>
          <w:bCs/>
        </w:rPr>
        <w:t>.</w:t>
      </w:r>
    </w:p>
    <w:p w14:paraId="539AE23B" w14:textId="396CD0B0" w:rsidR="007510AE" w:rsidRDefault="0037240E" w:rsidP="00AA12E3">
      <w:pPr>
        <w:tabs>
          <w:tab w:val="left" w:pos="5415"/>
        </w:tabs>
        <w:rPr>
          <w:b/>
        </w:rPr>
      </w:pPr>
      <w:r>
        <w:rPr>
          <w:bCs/>
        </w:rPr>
        <w:t xml:space="preserve">Por otra parte, el girasol </w:t>
      </w:r>
      <w:r w:rsidR="00224955">
        <w:rPr>
          <w:bCs/>
        </w:rPr>
        <w:t xml:space="preserve">comenzó a cotizar en el mes de septiembre con un precio de </w:t>
      </w:r>
      <w:r w:rsidR="00AE1177">
        <w:rPr>
          <w:bCs/>
        </w:rPr>
        <w:t>4</w:t>
      </w:r>
      <w:r w:rsidR="004B3F29">
        <w:rPr>
          <w:bCs/>
        </w:rPr>
        <w:t>35</w:t>
      </w:r>
      <w:r w:rsidR="00AE1177">
        <w:rPr>
          <w:bCs/>
        </w:rPr>
        <w:t xml:space="preserve"> euros por tonelada, </w:t>
      </w:r>
      <w:r>
        <w:rPr>
          <w:bCs/>
        </w:rPr>
        <w:t>un 1</w:t>
      </w:r>
      <w:r w:rsidR="004B3F29">
        <w:rPr>
          <w:bCs/>
        </w:rPr>
        <w:t>2</w:t>
      </w:r>
      <w:r w:rsidR="00AE1177">
        <w:rPr>
          <w:bCs/>
        </w:rPr>
        <w:t xml:space="preserve">% </w:t>
      </w:r>
      <w:r>
        <w:rPr>
          <w:bCs/>
        </w:rPr>
        <w:t xml:space="preserve">por encima </w:t>
      </w:r>
      <w:r w:rsidR="00E46D06">
        <w:rPr>
          <w:bCs/>
        </w:rPr>
        <w:t>del</w:t>
      </w:r>
      <w:r>
        <w:rPr>
          <w:bCs/>
        </w:rPr>
        <w:t xml:space="preserve"> precio del </w:t>
      </w:r>
      <w:r w:rsidR="00AE1177">
        <w:rPr>
          <w:bCs/>
        </w:rPr>
        <w:t>año pasado</w:t>
      </w:r>
      <w:r>
        <w:rPr>
          <w:bCs/>
        </w:rPr>
        <w:t xml:space="preserve"> en esa fecha,</w:t>
      </w:r>
      <w:r w:rsidR="00B51740">
        <w:rPr>
          <w:bCs/>
        </w:rPr>
        <w:t xml:space="preserve"> llegando a los 450 euros por tonelada</w:t>
      </w:r>
      <w:r w:rsidR="009E646E">
        <w:rPr>
          <w:bCs/>
        </w:rPr>
        <w:t>,</w:t>
      </w:r>
      <w:r w:rsidR="00B51740">
        <w:rPr>
          <w:bCs/>
        </w:rPr>
        <w:t xml:space="preserve"> y manteniéndose a ese nivel hasta finalizar la campaña.</w:t>
      </w:r>
      <w:r>
        <w:rPr>
          <w:bCs/>
        </w:rPr>
        <w:t xml:space="preserve"> </w:t>
      </w:r>
    </w:p>
    <w:p w14:paraId="2DF64A05" w14:textId="1AE7DCA3" w:rsidR="007510AE" w:rsidRDefault="007510AE" w:rsidP="00AA12E3">
      <w:pPr>
        <w:tabs>
          <w:tab w:val="left" w:pos="5415"/>
        </w:tabs>
        <w:ind w:left="567"/>
        <w:jc w:val="center"/>
        <w:rPr>
          <w:b/>
        </w:rPr>
      </w:pPr>
    </w:p>
    <w:p w14:paraId="413E0193" w14:textId="77777777" w:rsidR="002A1976" w:rsidRDefault="002A1976" w:rsidP="00AA12E3">
      <w:pPr>
        <w:tabs>
          <w:tab w:val="left" w:pos="5415"/>
        </w:tabs>
        <w:ind w:left="567"/>
        <w:jc w:val="center"/>
        <w:rPr>
          <w:b/>
        </w:rPr>
      </w:pPr>
    </w:p>
    <w:p w14:paraId="68500D94" w14:textId="3DEF39B7" w:rsidR="002A1976" w:rsidRDefault="00AF3D01" w:rsidP="00AA12E3">
      <w:pPr>
        <w:tabs>
          <w:tab w:val="left" w:pos="5415"/>
        </w:tabs>
        <w:ind w:left="567"/>
        <w:rPr>
          <w:b/>
        </w:rPr>
      </w:pPr>
      <w:r>
        <w:rPr>
          <w:b/>
        </w:rPr>
        <w:t xml:space="preserve">            </w:t>
      </w:r>
      <w:r>
        <w:rPr>
          <w:noProof/>
        </w:rPr>
        <w:drawing>
          <wp:inline distT="0" distB="0" distL="0" distR="0" wp14:anchorId="2DD77557" wp14:editId="6C539112">
            <wp:extent cx="3771900" cy="1743075"/>
            <wp:effectExtent l="0" t="0" r="0" b="9525"/>
            <wp:docPr id="1612969744" name="Gráfico 1">
              <a:extLst xmlns:a="http://schemas.openxmlformats.org/drawingml/2006/main">
                <a:ext uri="{FF2B5EF4-FFF2-40B4-BE49-F238E27FC236}">
                  <a16:creationId xmlns:a16="http://schemas.microsoft.com/office/drawing/2014/main" id="{F0FDF6B4-2C4D-8527-EDD1-86B3986162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EF5D71" w14:textId="77777777" w:rsidR="007510AE" w:rsidRDefault="007510AE" w:rsidP="00AA12E3">
      <w:pPr>
        <w:tabs>
          <w:tab w:val="left" w:pos="5415"/>
        </w:tabs>
        <w:ind w:left="567"/>
        <w:rPr>
          <w:b/>
        </w:rPr>
      </w:pPr>
    </w:p>
    <w:p w14:paraId="25F6E0DC" w14:textId="56D5E857" w:rsidR="00947D7E" w:rsidRDefault="007510AE" w:rsidP="00AA12E3">
      <w:pPr>
        <w:tabs>
          <w:tab w:val="left" w:pos="1095"/>
        </w:tabs>
        <w:jc w:val="center"/>
        <w:rPr>
          <w:bCs/>
          <w:sz w:val="16"/>
          <w:szCs w:val="16"/>
        </w:rPr>
      </w:pPr>
      <w:r w:rsidRPr="00C61A00">
        <w:rPr>
          <w:sz w:val="16"/>
          <w:szCs w:val="16"/>
        </w:rPr>
        <w:t>Elaboración propia</w:t>
      </w:r>
      <w:r w:rsidRPr="00C61A00">
        <w:rPr>
          <w:i/>
          <w:iCs/>
          <w:sz w:val="16"/>
          <w:szCs w:val="16"/>
        </w:rPr>
        <w:t xml:space="preserve">. Fuente: </w:t>
      </w:r>
      <w:r w:rsidRPr="00D87444">
        <w:rPr>
          <w:bCs/>
          <w:sz w:val="16"/>
          <w:szCs w:val="16"/>
        </w:rPr>
        <w:t>Elaboración propia a partir de datos de superficies y producciones del Ministerio de Agricultura</w:t>
      </w:r>
    </w:p>
    <w:p w14:paraId="427B721E" w14:textId="77777777" w:rsidR="004D2ADB" w:rsidRDefault="004D2ADB" w:rsidP="00AA12E3">
      <w:pPr>
        <w:tabs>
          <w:tab w:val="left" w:pos="1095"/>
        </w:tabs>
        <w:jc w:val="center"/>
        <w:rPr>
          <w:bCs/>
          <w:sz w:val="16"/>
          <w:szCs w:val="16"/>
        </w:rPr>
      </w:pPr>
    </w:p>
    <w:p w14:paraId="68A5126F" w14:textId="77777777" w:rsidR="004D2ADB" w:rsidRPr="007D70EC" w:rsidRDefault="004D2ADB" w:rsidP="00AA12E3">
      <w:pPr>
        <w:tabs>
          <w:tab w:val="left" w:pos="1095"/>
        </w:tabs>
        <w:jc w:val="center"/>
        <w:rPr>
          <w:bCs/>
          <w:sz w:val="16"/>
          <w:szCs w:val="16"/>
        </w:rPr>
      </w:pPr>
    </w:p>
    <w:p w14:paraId="6A90B8E2" w14:textId="0A987114" w:rsidR="004A09FE" w:rsidRDefault="004A09FE" w:rsidP="00687F67">
      <w:pPr>
        <w:tabs>
          <w:tab w:val="left" w:pos="5415"/>
        </w:tabs>
        <w:rPr>
          <w:b/>
        </w:rPr>
      </w:pPr>
    </w:p>
    <w:p w14:paraId="41EB3304" w14:textId="558B46B3" w:rsidR="00687F67" w:rsidRDefault="00687F67" w:rsidP="00AA12E3">
      <w:pPr>
        <w:tabs>
          <w:tab w:val="left" w:pos="5415"/>
        </w:tabs>
        <w:jc w:val="center"/>
        <w:rPr>
          <w:b/>
        </w:rPr>
      </w:pPr>
      <w:r>
        <w:rPr>
          <w:noProof/>
        </w:rPr>
        <w:lastRenderedPageBreak/>
        <w:drawing>
          <wp:inline distT="0" distB="0" distL="0" distR="0" wp14:anchorId="5B2412B3" wp14:editId="4B265C7F">
            <wp:extent cx="3796589" cy="1777594"/>
            <wp:effectExtent l="0" t="0" r="13970" b="13335"/>
            <wp:docPr id="298473849" name="Gráfico 1">
              <a:extLst xmlns:a="http://schemas.openxmlformats.org/drawingml/2006/main">
                <a:ext uri="{FF2B5EF4-FFF2-40B4-BE49-F238E27FC236}">
                  <a16:creationId xmlns:a16="http://schemas.microsoft.com/office/drawing/2014/main" id="{E087B70B-3CA0-7062-2278-EEDA940D3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DF70FF" w14:textId="77777777" w:rsidR="009E378F" w:rsidRDefault="009E378F" w:rsidP="00AA12E3">
      <w:pPr>
        <w:tabs>
          <w:tab w:val="left" w:pos="5415"/>
        </w:tabs>
        <w:jc w:val="center"/>
        <w:rPr>
          <w:b/>
        </w:rPr>
      </w:pPr>
    </w:p>
    <w:p w14:paraId="7CBC00EE" w14:textId="39091F13" w:rsidR="009E378F" w:rsidRPr="00B70349" w:rsidRDefault="009E378F" w:rsidP="00AA12E3">
      <w:pPr>
        <w:rPr>
          <w:i/>
          <w:iCs/>
          <w:sz w:val="16"/>
          <w:szCs w:val="16"/>
        </w:rPr>
      </w:pPr>
      <w:r>
        <w:rPr>
          <w:sz w:val="16"/>
          <w:szCs w:val="16"/>
        </w:rPr>
        <w:t xml:space="preserve">          </w:t>
      </w:r>
      <w:r w:rsidRPr="00C61A00">
        <w:rPr>
          <w:sz w:val="16"/>
          <w:szCs w:val="16"/>
        </w:rPr>
        <w:t>Elaboración propia</w:t>
      </w:r>
      <w:r w:rsidRPr="00C61A00">
        <w:rPr>
          <w:i/>
          <w:iCs/>
          <w:sz w:val="16"/>
          <w:szCs w:val="16"/>
        </w:rPr>
        <w:t>. Fuente: Observatorio de precios de los productos agrícolas y ganaderos de Castilla y León</w:t>
      </w:r>
    </w:p>
    <w:p w14:paraId="099ECFC3" w14:textId="77777777" w:rsidR="00947D7E" w:rsidRDefault="00947D7E" w:rsidP="00AA12E3">
      <w:pPr>
        <w:tabs>
          <w:tab w:val="left" w:pos="5415"/>
        </w:tabs>
        <w:rPr>
          <w:b/>
        </w:rPr>
      </w:pPr>
    </w:p>
    <w:p w14:paraId="225F8593" w14:textId="77777777" w:rsidR="003234C1" w:rsidRDefault="003234C1" w:rsidP="00AA12E3">
      <w:pPr>
        <w:tabs>
          <w:tab w:val="left" w:pos="5415"/>
        </w:tabs>
        <w:rPr>
          <w:b/>
        </w:rPr>
      </w:pPr>
    </w:p>
    <w:p w14:paraId="7ACA3DC2" w14:textId="285C7584" w:rsidR="00B93179" w:rsidRDefault="00B93179" w:rsidP="00AA12E3">
      <w:pPr>
        <w:tabs>
          <w:tab w:val="left" w:pos="5415"/>
        </w:tabs>
        <w:rPr>
          <w:b/>
        </w:rPr>
      </w:pPr>
      <w:r>
        <w:rPr>
          <w:b/>
        </w:rPr>
        <w:t>Colza:</w:t>
      </w:r>
      <w:r w:rsidR="0003626F">
        <w:rPr>
          <w:b/>
        </w:rPr>
        <w:t xml:space="preserve"> </w:t>
      </w:r>
    </w:p>
    <w:p w14:paraId="394481DA" w14:textId="77777777" w:rsidR="00B93179" w:rsidRDefault="00B93179" w:rsidP="00AA12E3">
      <w:pPr>
        <w:tabs>
          <w:tab w:val="left" w:pos="5415"/>
        </w:tabs>
        <w:rPr>
          <w:b/>
        </w:rPr>
      </w:pPr>
    </w:p>
    <w:p w14:paraId="347AF12A" w14:textId="01D1ADB4" w:rsidR="00360373" w:rsidRPr="0027061D" w:rsidRDefault="00BF412D" w:rsidP="00AA12E3">
      <w:pPr>
        <w:rPr>
          <w:lang w:eastAsia="es-ES"/>
        </w:rPr>
      </w:pPr>
      <w:r w:rsidRPr="00BF412D">
        <w:rPr>
          <w:bCs/>
        </w:rPr>
        <w:t>En 2025</w:t>
      </w:r>
      <w:r>
        <w:rPr>
          <w:bCs/>
        </w:rPr>
        <w:t xml:space="preserve"> la superficie sembrada de colza en Castilla y Léon</w:t>
      </w:r>
      <w:r w:rsidR="00B758BD">
        <w:rPr>
          <w:bCs/>
        </w:rPr>
        <w:t>,</w:t>
      </w:r>
      <w:r>
        <w:rPr>
          <w:bCs/>
        </w:rPr>
        <w:t xml:space="preserve"> ha sido similar a la de 2024, con una producción de </w:t>
      </w:r>
      <w:r w:rsidRPr="00BF412D">
        <w:rPr>
          <w:lang w:eastAsia="es-ES"/>
        </w:rPr>
        <w:t>155.504</w:t>
      </w:r>
      <w:r>
        <w:rPr>
          <w:lang w:eastAsia="es-ES"/>
        </w:rPr>
        <w:t xml:space="preserve"> toneladas, casi un 10% por encima </w:t>
      </w:r>
      <w:r w:rsidR="00AF3D01">
        <w:rPr>
          <w:lang w:eastAsia="es-ES"/>
        </w:rPr>
        <w:t>de</w:t>
      </w:r>
      <w:r>
        <w:rPr>
          <w:lang w:eastAsia="es-ES"/>
        </w:rPr>
        <w:t xml:space="preserve"> la cosecha del 2024</w:t>
      </w:r>
      <w:r w:rsidR="00FD2226">
        <w:rPr>
          <w:lang w:eastAsia="es-ES"/>
        </w:rPr>
        <w:t>. Respecto a l</w:t>
      </w:r>
      <w:r w:rsidR="00FD2226" w:rsidRPr="00FD2226">
        <w:rPr>
          <w:lang w:eastAsia="es-ES"/>
        </w:rPr>
        <w:t>os precios de la colza en Castilla y León durante 2025</w:t>
      </w:r>
      <w:r w:rsidR="00FD2226">
        <w:rPr>
          <w:lang w:eastAsia="es-ES"/>
        </w:rPr>
        <w:t>, las</w:t>
      </w:r>
      <w:r w:rsidR="00FD2226" w:rsidRPr="00FD2226">
        <w:rPr>
          <w:lang w:eastAsia="es-ES"/>
        </w:rPr>
        <w:t xml:space="preserve"> cotizaciones </w:t>
      </w:r>
      <w:r w:rsidR="00FD2226">
        <w:rPr>
          <w:lang w:eastAsia="es-ES"/>
        </w:rPr>
        <w:t>se han situado</w:t>
      </w:r>
      <w:r w:rsidR="008B4CB5">
        <w:rPr>
          <w:lang w:eastAsia="es-ES"/>
        </w:rPr>
        <w:t xml:space="preserve"> e</w:t>
      </w:r>
      <w:r w:rsidR="00121DFE">
        <w:rPr>
          <w:lang w:eastAsia="es-ES"/>
        </w:rPr>
        <w:t>ntre los meses</w:t>
      </w:r>
      <w:r w:rsidR="008B4CB5">
        <w:rPr>
          <w:lang w:eastAsia="es-ES"/>
        </w:rPr>
        <w:t xml:space="preserve"> de julio</w:t>
      </w:r>
      <w:r w:rsidR="00A1555C">
        <w:rPr>
          <w:lang w:eastAsia="es-ES"/>
        </w:rPr>
        <w:t xml:space="preserve"> y agosto</w:t>
      </w:r>
      <w:r w:rsidR="00FD2226">
        <w:rPr>
          <w:lang w:eastAsia="es-ES"/>
        </w:rPr>
        <w:t xml:space="preserve"> </w:t>
      </w:r>
      <w:r w:rsidR="00FD2226" w:rsidRPr="00FD2226">
        <w:rPr>
          <w:lang w:eastAsia="es-ES"/>
        </w:rPr>
        <w:t xml:space="preserve">en torno a los 405 </w:t>
      </w:r>
      <w:r w:rsidR="00FD2226">
        <w:rPr>
          <w:lang w:eastAsia="es-ES"/>
        </w:rPr>
        <w:t>euros por tonelada</w:t>
      </w:r>
      <w:r w:rsidR="00121DFE">
        <w:rPr>
          <w:lang w:eastAsia="es-ES"/>
        </w:rPr>
        <w:t>, un 5% por encima del precio del año pasado año en esas fechas.</w:t>
      </w:r>
    </w:p>
    <w:p w14:paraId="4C8B9069" w14:textId="0FC0D4C6" w:rsidR="0027061D" w:rsidRDefault="0027061D" w:rsidP="00AA12E3">
      <w:pPr>
        <w:tabs>
          <w:tab w:val="left" w:pos="5415"/>
        </w:tabs>
        <w:jc w:val="center"/>
        <w:rPr>
          <w:bCs/>
          <w:color w:val="EE0000"/>
        </w:rPr>
      </w:pPr>
      <w:r>
        <w:rPr>
          <w:noProof/>
        </w:rPr>
        <w:drawing>
          <wp:inline distT="0" distB="0" distL="0" distR="0" wp14:anchorId="73AF5730" wp14:editId="4B11D7F4">
            <wp:extent cx="3771900" cy="1990725"/>
            <wp:effectExtent l="0" t="0" r="0" b="9525"/>
            <wp:docPr id="1093452652" name="Gráfico 1">
              <a:extLst xmlns:a="http://schemas.openxmlformats.org/drawingml/2006/main">
                <a:ext uri="{FF2B5EF4-FFF2-40B4-BE49-F238E27FC236}">
                  <a16:creationId xmlns:a16="http://schemas.microsoft.com/office/drawing/2014/main" id="{E366E6CF-70D1-158C-4AA6-739BDC34A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081FC6" w14:textId="0995578D" w:rsidR="00D87444" w:rsidRDefault="00D87444" w:rsidP="00AA12E3">
      <w:pPr>
        <w:tabs>
          <w:tab w:val="left" w:pos="5415"/>
        </w:tabs>
        <w:rPr>
          <w:bCs/>
          <w:color w:val="EE0000"/>
        </w:rPr>
      </w:pPr>
    </w:p>
    <w:p w14:paraId="020CA42E" w14:textId="4DAA26BD" w:rsidR="00D87444" w:rsidRDefault="00D87444" w:rsidP="00AA12E3">
      <w:pPr>
        <w:tabs>
          <w:tab w:val="left" w:pos="1095"/>
        </w:tabs>
        <w:rPr>
          <w:bCs/>
          <w:sz w:val="16"/>
          <w:szCs w:val="16"/>
        </w:rPr>
      </w:pPr>
      <w:r w:rsidRPr="00D87444">
        <w:rPr>
          <w:bCs/>
          <w:sz w:val="16"/>
          <w:szCs w:val="16"/>
        </w:rPr>
        <w:t>Elaboración propia. Fuente: Elaboración propia a partir de datos de superficies y producciones del Ministerio de Agricultura</w:t>
      </w:r>
    </w:p>
    <w:p w14:paraId="3A031BC8" w14:textId="77777777" w:rsidR="00D87444" w:rsidRDefault="00D87444" w:rsidP="00AA12E3">
      <w:pPr>
        <w:tabs>
          <w:tab w:val="left" w:pos="1095"/>
        </w:tabs>
        <w:rPr>
          <w:b/>
        </w:rPr>
      </w:pPr>
    </w:p>
    <w:p w14:paraId="630D9073" w14:textId="1864540D" w:rsidR="00B32CF6" w:rsidRDefault="00BF412D" w:rsidP="00AA12E3">
      <w:pPr>
        <w:tabs>
          <w:tab w:val="left" w:pos="1095"/>
        </w:tabs>
        <w:jc w:val="center"/>
        <w:rPr>
          <w:b/>
        </w:rPr>
      </w:pPr>
      <w:r>
        <w:rPr>
          <w:noProof/>
        </w:rPr>
        <w:drawing>
          <wp:inline distT="0" distB="0" distL="0" distR="0" wp14:anchorId="5BF926C0" wp14:editId="05520352">
            <wp:extent cx="3914775" cy="1971675"/>
            <wp:effectExtent l="0" t="0" r="9525" b="9525"/>
            <wp:docPr id="2032034418" name="Gráfico 1">
              <a:extLst xmlns:a="http://schemas.openxmlformats.org/drawingml/2006/main">
                <a:ext uri="{FF2B5EF4-FFF2-40B4-BE49-F238E27FC236}">
                  <a16:creationId xmlns:a16="http://schemas.microsoft.com/office/drawing/2014/main" id="{DCC0FAFF-C186-7B4C-40C9-B74388CCB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AE2D18" w14:textId="77777777" w:rsidR="007D70EC" w:rsidRDefault="007D70EC" w:rsidP="00AA12E3">
      <w:pPr>
        <w:tabs>
          <w:tab w:val="left" w:pos="1095"/>
        </w:tabs>
        <w:jc w:val="center"/>
        <w:rPr>
          <w:b/>
        </w:rPr>
      </w:pPr>
    </w:p>
    <w:p w14:paraId="2C76836B" w14:textId="0304B04A" w:rsidR="00297134" w:rsidRDefault="007D70EC" w:rsidP="00AA12E3">
      <w:pPr>
        <w:tabs>
          <w:tab w:val="left" w:pos="5415"/>
        </w:tabs>
        <w:rPr>
          <w:b/>
        </w:rPr>
      </w:pPr>
      <w:r w:rsidRPr="00D87444">
        <w:rPr>
          <w:bCs/>
          <w:sz w:val="16"/>
          <w:szCs w:val="16"/>
        </w:rPr>
        <w:t>Elaboración propia. Fuente: Elaboración propia a partir de datos de superficies y producciones del Ministerio de Agricultura</w:t>
      </w:r>
    </w:p>
    <w:p w14:paraId="61AA7F02" w14:textId="77777777" w:rsidR="007D70EC" w:rsidRPr="00F125FD" w:rsidRDefault="007D70EC" w:rsidP="00AA12E3"/>
    <w:p w14:paraId="2B6F3BEC" w14:textId="77777777" w:rsidR="007D70EC" w:rsidRDefault="007D70EC" w:rsidP="00AA12E3">
      <w:pPr>
        <w:rPr>
          <w:b/>
        </w:rPr>
      </w:pPr>
    </w:p>
    <w:p w14:paraId="2CF99622" w14:textId="2E4BC271" w:rsidR="00F125FD" w:rsidRDefault="00F125FD" w:rsidP="00AA12E3">
      <w:pPr>
        <w:rPr>
          <w:b/>
        </w:rPr>
      </w:pPr>
      <w:r w:rsidRPr="00F125FD">
        <w:rPr>
          <w:b/>
        </w:rPr>
        <w:t>Patata</w:t>
      </w:r>
      <w:r w:rsidR="00297134">
        <w:rPr>
          <w:b/>
        </w:rPr>
        <w:t>:</w:t>
      </w:r>
    </w:p>
    <w:p w14:paraId="6119EE0E" w14:textId="77777777" w:rsidR="007D70EC" w:rsidRPr="00F125FD" w:rsidRDefault="007D70EC" w:rsidP="00AA12E3">
      <w:pPr>
        <w:rPr>
          <w:b/>
        </w:rPr>
      </w:pPr>
    </w:p>
    <w:p w14:paraId="280B3FA9" w14:textId="7DA3574B" w:rsidR="007934CE" w:rsidRDefault="007934CE" w:rsidP="00AA12E3">
      <w:pPr>
        <w:rPr>
          <w:lang w:eastAsia="es-ES"/>
        </w:rPr>
      </w:pPr>
      <w:r>
        <w:rPr>
          <w:lang w:eastAsia="es-ES"/>
        </w:rPr>
        <w:t>En 2025</w:t>
      </w:r>
      <w:r w:rsidR="00F023C7">
        <w:rPr>
          <w:lang w:eastAsia="es-ES"/>
        </w:rPr>
        <w:t>,</w:t>
      </w:r>
      <w:r>
        <w:rPr>
          <w:lang w:eastAsia="es-ES"/>
        </w:rPr>
        <w:t xml:space="preserve"> s</w:t>
      </w:r>
      <w:r w:rsidRPr="007934CE">
        <w:rPr>
          <w:lang w:eastAsia="es-ES"/>
        </w:rPr>
        <w:t>e</w:t>
      </w:r>
      <w:r>
        <w:rPr>
          <w:lang w:eastAsia="es-ES"/>
        </w:rPr>
        <w:t xml:space="preserve"> ha</w:t>
      </w:r>
      <w:r w:rsidRPr="007934CE">
        <w:rPr>
          <w:lang w:eastAsia="es-ES"/>
        </w:rPr>
        <w:t xml:space="preserve"> declara</w:t>
      </w:r>
      <w:r>
        <w:rPr>
          <w:lang w:eastAsia="es-ES"/>
        </w:rPr>
        <w:t>do</w:t>
      </w:r>
      <w:r w:rsidR="00091865">
        <w:rPr>
          <w:lang w:eastAsia="es-ES"/>
        </w:rPr>
        <w:t xml:space="preserve"> en Castilla y León</w:t>
      </w:r>
      <w:r w:rsidRPr="007934CE">
        <w:rPr>
          <w:lang w:eastAsia="es-ES"/>
        </w:rPr>
        <w:t xml:space="preserve"> </w:t>
      </w:r>
      <w:r w:rsidR="00091865">
        <w:rPr>
          <w:lang w:eastAsia="es-ES"/>
        </w:rPr>
        <w:t xml:space="preserve">una superficie de </w:t>
      </w:r>
      <w:r w:rsidRPr="007934CE">
        <w:rPr>
          <w:lang w:eastAsia="es-ES"/>
        </w:rPr>
        <w:t>19.4</w:t>
      </w:r>
      <w:r w:rsidR="00F023C7">
        <w:rPr>
          <w:lang w:eastAsia="es-ES"/>
        </w:rPr>
        <w:t>16</w:t>
      </w:r>
      <w:r w:rsidRPr="007934CE">
        <w:rPr>
          <w:lang w:eastAsia="es-ES"/>
        </w:rPr>
        <w:t xml:space="preserve"> hectáreas, un 1</w:t>
      </w:r>
      <w:r w:rsidR="00F023C7">
        <w:rPr>
          <w:lang w:eastAsia="es-ES"/>
        </w:rPr>
        <w:t xml:space="preserve">1,53 </w:t>
      </w:r>
      <w:r w:rsidRPr="007934CE">
        <w:rPr>
          <w:lang w:eastAsia="es-ES"/>
        </w:rPr>
        <w:t>% más</w:t>
      </w:r>
      <w:r>
        <w:rPr>
          <w:lang w:eastAsia="es-ES"/>
        </w:rPr>
        <w:t xml:space="preserve"> que la campaña </w:t>
      </w:r>
      <w:r w:rsidR="00F023C7">
        <w:rPr>
          <w:lang w:eastAsia="es-ES"/>
        </w:rPr>
        <w:t>pasada</w:t>
      </w:r>
      <w:r w:rsidRPr="007934CE">
        <w:rPr>
          <w:lang w:eastAsia="es-ES"/>
        </w:rPr>
        <w:t>, consolid</w:t>
      </w:r>
      <w:r>
        <w:rPr>
          <w:lang w:eastAsia="es-ES"/>
        </w:rPr>
        <w:t xml:space="preserve">ándose </w:t>
      </w:r>
      <w:r w:rsidR="00022DB6">
        <w:rPr>
          <w:lang w:eastAsia="es-ES"/>
        </w:rPr>
        <w:t xml:space="preserve">la comunidad </w:t>
      </w:r>
      <w:r w:rsidRPr="007934CE">
        <w:rPr>
          <w:lang w:eastAsia="es-ES"/>
        </w:rPr>
        <w:t>como líder nacional</w:t>
      </w:r>
      <w:r>
        <w:rPr>
          <w:lang w:eastAsia="es-ES"/>
        </w:rPr>
        <w:t xml:space="preserve"> en superficie de</w:t>
      </w:r>
      <w:r w:rsidR="006D65DB">
        <w:rPr>
          <w:lang w:eastAsia="es-ES"/>
        </w:rPr>
        <w:t xml:space="preserve"> este</w:t>
      </w:r>
      <w:r>
        <w:rPr>
          <w:lang w:eastAsia="es-ES"/>
        </w:rPr>
        <w:t xml:space="preserve"> cultivo</w:t>
      </w:r>
      <w:r w:rsidR="00091865">
        <w:rPr>
          <w:lang w:eastAsia="es-ES"/>
        </w:rPr>
        <w:t>.</w:t>
      </w:r>
    </w:p>
    <w:p w14:paraId="3536CFDF" w14:textId="75B07CCD" w:rsidR="007934CE" w:rsidRDefault="007934CE" w:rsidP="00AA12E3">
      <w:pPr>
        <w:rPr>
          <w:lang w:eastAsia="es-ES"/>
        </w:rPr>
      </w:pPr>
      <w:r>
        <w:rPr>
          <w:lang w:eastAsia="es-ES"/>
        </w:rPr>
        <w:t>Por provincias,</w:t>
      </w:r>
      <w:r w:rsidR="00091865">
        <w:rPr>
          <w:lang w:eastAsia="es-ES"/>
        </w:rPr>
        <w:t xml:space="preserve"> destacan </w:t>
      </w:r>
      <w:r w:rsidRPr="007934CE">
        <w:rPr>
          <w:lang w:eastAsia="es-ES"/>
        </w:rPr>
        <w:t>Valladolid</w:t>
      </w:r>
      <w:r w:rsidR="00F023C7">
        <w:rPr>
          <w:lang w:eastAsia="es-ES"/>
        </w:rPr>
        <w:t xml:space="preserve"> y Salamanca</w:t>
      </w:r>
      <w:r>
        <w:rPr>
          <w:lang w:eastAsia="es-ES"/>
        </w:rPr>
        <w:t xml:space="preserve">, </w:t>
      </w:r>
      <w:r w:rsidR="00F023C7">
        <w:rPr>
          <w:lang w:eastAsia="es-ES"/>
        </w:rPr>
        <w:t xml:space="preserve">con </w:t>
      </w:r>
      <w:r w:rsidR="00F023C7" w:rsidRPr="00F023C7">
        <w:rPr>
          <w:lang w:eastAsia="es-ES"/>
        </w:rPr>
        <w:t>5.601</w:t>
      </w:r>
      <w:r w:rsidR="00091865">
        <w:rPr>
          <w:lang w:eastAsia="es-ES"/>
        </w:rPr>
        <w:t xml:space="preserve"> (+17,7%)</w:t>
      </w:r>
      <w:r w:rsidR="00F023C7">
        <w:rPr>
          <w:lang w:eastAsia="es-ES"/>
        </w:rPr>
        <w:t xml:space="preserve"> y </w:t>
      </w:r>
      <w:r w:rsidR="00F023C7" w:rsidRPr="00F023C7">
        <w:rPr>
          <w:lang w:eastAsia="es-ES"/>
        </w:rPr>
        <w:t>5.215</w:t>
      </w:r>
      <w:r w:rsidR="00091865">
        <w:rPr>
          <w:lang w:eastAsia="es-ES"/>
        </w:rPr>
        <w:t xml:space="preserve"> (+10%) </w:t>
      </w:r>
      <w:r w:rsidR="00F023C7">
        <w:rPr>
          <w:lang w:eastAsia="es-ES"/>
        </w:rPr>
        <w:t>hectáreas</w:t>
      </w:r>
      <w:r w:rsidR="00091865">
        <w:rPr>
          <w:lang w:eastAsia="es-ES"/>
        </w:rPr>
        <w:t xml:space="preserve"> de cultivo </w:t>
      </w:r>
      <w:r w:rsidR="00F023C7">
        <w:rPr>
          <w:lang w:eastAsia="es-ES"/>
        </w:rPr>
        <w:t>respectivamente</w:t>
      </w:r>
      <w:r w:rsidR="00091865">
        <w:rPr>
          <w:lang w:eastAsia="es-ES"/>
        </w:rPr>
        <w:t>.</w:t>
      </w:r>
    </w:p>
    <w:p w14:paraId="25754191" w14:textId="60A2A631" w:rsidR="00091865" w:rsidRPr="004D2ADB" w:rsidRDefault="007934CE" w:rsidP="00AA12E3">
      <w:pPr>
        <w:rPr>
          <w:lang w:eastAsia="es-ES"/>
        </w:rPr>
      </w:pPr>
      <w:r w:rsidRPr="007934CE">
        <w:rPr>
          <w:lang w:eastAsia="es-ES"/>
        </w:rPr>
        <w:t>Castilla y León</w:t>
      </w:r>
      <w:r w:rsidR="00297134">
        <w:rPr>
          <w:lang w:eastAsia="es-ES"/>
        </w:rPr>
        <w:t>,</w:t>
      </w:r>
      <w:r w:rsidRPr="007934CE">
        <w:rPr>
          <w:lang w:eastAsia="es-ES"/>
        </w:rPr>
        <w:t xml:space="preserve"> aporta</w:t>
      </w:r>
      <w:r>
        <w:rPr>
          <w:lang w:eastAsia="es-ES"/>
        </w:rPr>
        <w:t xml:space="preserve"> en torno al</w:t>
      </w:r>
      <w:r w:rsidRPr="007934CE">
        <w:rPr>
          <w:lang w:eastAsia="es-ES"/>
        </w:rPr>
        <w:t xml:space="preserve"> 4</w:t>
      </w:r>
      <w:r w:rsidR="00091865">
        <w:rPr>
          <w:lang w:eastAsia="es-ES"/>
        </w:rPr>
        <w:t>4,5</w:t>
      </w:r>
      <w:r>
        <w:rPr>
          <w:lang w:eastAsia="es-ES"/>
        </w:rPr>
        <w:t xml:space="preserve"> % </w:t>
      </w:r>
      <w:r w:rsidRPr="007934CE">
        <w:rPr>
          <w:lang w:eastAsia="es-ES"/>
        </w:rPr>
        <w:t xml:space="preserve">de la patata nacional, unas </w:t>
      </w:r>
      <w:r w:rsidR="00091865" w:rsidRPr="00091865">
        <w:rPr>
          <w:lang w:eastAsia="es-ES"/>
        </w:rPr>
        <w:t>858.000</w:t>
      </w:r>
    </w:p>
    <w:p w14:paraId="1D96BEBF" w14:textId="76AA189E" w:rsidR="007934CE" w:rsidRDefault="007934CE" w:rsidP="00AA12E3">
      <w:pPr>
        <w:rPr>
          <w:lang w:eastAsia="es-ES"/>
        </w:rPr>
      </w:pPr>
      <w:r w:rsidRPr="007934CE">
        <w:rPr>
          <w:lang w:eastAsia="es-ES"/>
        </w:rPr>
        <w:t>toneladas.</w:t>
      </w:r>
    </w:p>
    <w:p w14:paraId="6E348B82" w14:textId="22FDBE9F" w:rsidR="00700181" w:rsidRDefault="00700181" w:rsidP="00AA12E3">
      <w:pPr>
        <w:rPr>
          <w:lang w:eastAsia="es-ES"/>
        </w:rPr>
      </w:pPr>
      <w:r>
        <w:rPr>
          <w:lang w:eastAsia="es-ES"/>
        </w:rPr>
        <w:t xml:space="preserve">En cuanto al precio de la patata en Castilla y León, comenzó su cotización en el mes de julio en torno a 31 céntimos por kilo, una bajada significativa de precio respecto a la pasada campaña, </w:t>
      </w:r>
      <w:r w:rsidR="000A3960">
        <w:rPr>
          <w:lang w:eastAsia="es-ES"/>
        </w:rPr>
        <w:t>manteniéndose por debajo toda la campaña, con una media en torno al</w:t>
      </w:r>
      <w:r>
        <w:rPr>
          <w:lang w:eastAsia="es-ES"/>
        </w:rPr>
        <w:t xml:space="preserve"> 44,5% </w:t>
      </w:r>
      <w:r w:rsidR="000A3960">
        <w:rPr>
          <w:lang w:eastAsia="es-ES"/>
        </w:rPr>
        <w:t>inferior respecto a la campaña pasada.</w:t>
      </w:r>
    </w:p>
    <w:p w14:paraId="5A457E7E" w14:textId="393F3864" w:rsidR="00604D2A" w:rsidRDefault="00604D2A" w:rsidP="00AA12E3">
      <w:pPr>
        <w:rPr>
          <w:lang w:eastAsia="es-ES"/>
        </w:rPr>
      </w:pPr>
      <w:r>
        <w:rPr>
          <w:lang w:eastAsia="es-ES"/>
        </w:rPr>
        <w:t>Desde ASAJA, se considera que se debe proponer un Plan Estratégico en Castilla y León para proteger el cultivo de la patata, que implique al sector primario, la industria y la Administración; en ese sentido, en este 2025 ASAJA</w:t>
      </w:r>
      <w:r w:rsidR="001E48FC">
        <w:rPr>
          <w:lang w:eastAsia="es-ES"/>
        </w:rPr>
        <w:t xml:space="preserve"> Castilla y León</w:t>
      </w:r>
      <w:r>
        <w:rPr>
          <w:lang w:eastAsia="es-ES"/>
        </w:rPr>
        <w:t xml:space="preserve"> ha recordado a la Administración su obligación de dar cumplimiento a la Ley de la Cadena Alimentaria, para frenar cualquier intento de ventas por debajo de costes.</w:t>
      </w:r>
    </w:p>
    <w:p w14:paraId="6659C1A2" w14:textId="77777777" w:rsidR="007D70EC" w:rsidRDefault="007D70EC" w:rsidP="00AA12E3"/>
    <w:p w14:paraId="5F9CD0AC" w14:textId="13FA7138" w:rsidR="008D4F17" w:rsidRDefault="008D4F17" w:rsidP="00AA12E3">
      <w:pPr>
        <w:jc w:val="center"/>
      </w:pPr>
      <w:r>
        <w:rPr>
          <w:noProof/>
        </w:rPr>
        <w:drawing>
          <wp:inline distT="0" distB="0" distL="0" distR="0" wp14:anchorId="09D634DC" wp14:editId="3431AE66">
            <wp:extent cx="3933825" cy="1962150"/>
            <wp:effectExtent l="0" t="0" r="9525" b="0"/>
            <wp:docPr id="1554432465" name="Gráfico 1">
              <a:extLst xmlns:a="http://schemas.openxmlformats.org/drawingml/2006/main">
                <a:ext uri="{FF2B5EF4-FFF2-40B4-BE49-F238E27FC236}">
                  <a16:creationId xmlns:a16="http://schemas.microsoft.com/office/drawing/2014/main" id="{9CFE7EE7-43B7-638F-4D76-583E67A1A1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8190A1" w14:textId="44953A31" w:rsidR="008D4F17" w:rsidRDefault="008D4F17" w:rsidP="00AA12E3">
      <w:pPr>
        <w:tabs>
          <w:tab w:val="left" w:pos="1095"/>
        </w:tabs>
        <w:rPr>
          <w:bCs/>
          <w:i/>
          <w:iCs/>
          <w:sz w:val="16"/>
          <w:szCs w:val="16"/>
        </w:rPr>
      </w:pPr>
      <w:r>
        <w:rPr>
          <w:bCs/>
          <w:i/>
          <w:iCs/>
          <w:sz w:val="16"/>
          <w:szCs w:val="16"/>
        </w:rPr>
        <w:t xml:space="preserve">             </w:t>
      </w:r>
      <w:r w:rsidRPr="00475886">
        <w:rPr>
          <w:bCs/>
          <w:i/>
          <w:iCs/>
          <w:sz w:val="16"/>
          <w:szCs w:val="16"/>
        </w:rPr>
        <w:t>Fuente: Elaboración propia a partir de datos de superficies y producciones del Ministerio de Agricultura</w:t>
      </w:r>
    </w:p>
    <w:p w14:paraId="0784CB64" w14:textId="77777777" w:rsidR="007D70EC" w:rsidRDefault="007D70EC" w:rsidP="00AA12E3">
      <w:pPr>
        <w:tabs>
          <w:tab w:val="left" w:pos="1095"/>
        </w:tabs>
        <w:rPr>
          <w:bCs/>
          <w:i/>
          <w:iCs/>
          <w:sz w:val="16"/>
          <w:szCs w:val="16"/>
        </w:rPr>
      </w:pPr>
    </w:p>
    <w:p w14:paraId="74797BF9" w14:textId="77777777" w:rsidR="007D70EC" w:rsidRDefault="007D70EC" w:rsidP="00AA12E3">
      <w:pPr>
        <w:tabs>
          <w:tab w:val="left" w:pos="1095"/>
        </w:tabs>
        <w:rPr>
          <w:bCs/>
          <w:i/>
          <w:iCs/>
          <w:sz w:val="16"/>
          <w:szCs w:val="16"/>
        </w:rPr>
      </w:pPr>
    </w:p>
    <w:p w14:paraId="5B75540A" w14:textId="77777777" w:rsidR="007D70EC" w:rsidRDefault="007D70EC" w:rsidP="00AA12E3">
      <w:pPr>
        <w:tabs>
          <w:tab w:val="left" w:pos="1095"/>
        </w:tabs>
        <w:rPr>
          <w:bCs/>
          <w:i/>
          <w:iCs/>
          <w:sz w:val="16"/>
          <w:szCs w:val="16"/>
        </w:rPr>
      </w:pPr>
    </w:p>
    <w:p w14:paraId="2AFEB902" w14:textId="77777777" w:rsidR="007D70EC" w:rsidRDefault="007D70EC" w:rsidP="00AA12E3">
      <w:pPr>
        <w:tabs>
          <w:tab w:val="left" w:pos="1095"/>
        </w:tabs>
        <w:rPr>
          <w:bCs/>
          <w:i/>
          <w:iCs/>
          <w:sz w:val="16"/>
          <w:szCs w:val="16"/>
        </w:rPr>
      </w:pPr>
    </w:p>
    <w:p w14:paraId="63D1B42A" w14:textId="68B79569" w:rsidR="0067010E" w:rsidRPr="00F125FD" w:rsidRDefault="007D70EC" w:rsidP="00AA12E3">
      <w:pPr>
        <w:jc w:val="center"/>
      </w:pPr>
      <w:r>
        <w:rPr>
          <w:noProof/>
        </w:rPr>
        <w:drawing>
          <wp:inline distT="0" distB="0" distL="0" distR="0" wp14:anchorId="2C29B71A" wp14:editId="71F6EB6D">
            <wp:extent cx="4086225" cy="2019300"/>
            <wp:effectExtent l="0" t="0" r="9525" b="0"/>
            <wp:docPr id="1615076430" name="Gráfico 1">
              <a:extLst xmlns:a="http://schemas.openxmlformats.org/drawingml/2006/main">
                <a:ext uri="{FF2B5EF4-FFF2-40B4-BE49-F238E27FC236}">
                  <a16:creationId xmlns:a16="http://schemas.microsoft.com/office/drawing/2014/main" id="{88840D0D-94E0-2EC7-25A1-631664974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EBFB4F" w14:textId="22133156" w:rsidR="006B0834" w:rsidRPr="004E093A" w:rsidRDefault="00456686" w:rsidP="00AA12E3">
      <w:pPr>
        <w:spacing w:before="120" w:after="60"/>
        <w:jc w:val="center"/>
        <w:rPr>
          <w:i/>
          <w:iCs/>
          <w:sz w:val="16"/>
          <w:szCs w:val="16"/>
          <w:lang w:eastAsia="es-ES"/>
        </w:rPr>
      </w:pPr>
      <w:r w:rsidRPr="000E23DB">
        <w:rPr>
          <w:i/>
          <w:iCs/>
          <w:sz w:val="16"/>
          <w:szCs w:val="16"/>
          <w:lang w:eastAsia="es-ES"/>
        </w:rPr>
        <w:t xml:space="preserve">  </w:t>
      </w:r>
      <w:r w:rsidR="00F125FD" w:rsidRPr="000E23DB">
        <w:rPr>
          <w:i/>
          <w:iCs/>
          <w:sz w:val="16"/>
          <w:szCs w:val="16"/>
          <w:lang w:eastAsia="es-ES"/>
        </w:rPr>
        <w:t>Fuente: Elaboración propia a partir de datos del Observatorio de precios de los productos agrícolas y ganaderos de Castilla y León</w:t>
      </w:r>
    </w:p>
    <w:p w14:paraId="70DF0636" w14:textId="77777777" w:rsidR="00AA12E3" w:rsidRDefault="00AA12E3" w:rsidP="00AA12E3">
      <w:pPr>
        <w:spacing w:before="120" w:after="60"/>
        <w:jc w:val="center"/>
        <w:rPr>
          <w:b/>
          <w:i/>
          <w:iCs/>
          <w:sz w:val="14"/>
          <w:szCs w:val="14"/>
          <w:lang w:eastAsia="es-ES"/>
        </w:rPr>
      </w:pPr>
    </w:p>
    <w:p w14:paraId="68E4DBCA" w14:textId="73A3E041" w:rsidR="000E23DB" w:rsidRPr="00B80975" w:rsidRDefault="00953D08" w:rsidP="00AA12E3">
      <w:pPr>
        <w:spacing w:before="120" w:after="60"/>
        <w:jc w:val="center"/>
        <w:rPr>
          <w:b/>
          <w:i/>
          <w:iCs/>
          <w:sz w:val="14"/>
          <w:szCs w:val="14"/>
          <w:lang w:eastAsia="es-ES"/>
        </w:rPr>
      </w:pPr>
      <w:r w:rsidRPr="00B80975">
        <w:rPr>
          <w:b/>
          <w:i/>
          <w:iCs/>
          <w:sz w:val="14"/>
          <w:szCs w:val="14"/>
          <w:lang w:eastAsia="es-ES"/>
        </w:rPr>
        <w:t xml:space="preserve"> </w:t>
      </w:r>
    </w:p>
    <w:p w14:paraId="41271275" w14:textId="7FAB478D" w:rsidR="00F125FD" w:rsidRPr="00B80975" w:rsidRDefault="00F125FD" w:rsidP="00AA12E3">
      <w:pPr>
        <w:tabs>
          <w:tab w:val="left" w:pos="1095"/>
        </w:tabs>
        <w:rPr>
          <w:b/>
        </w:rPr>
      </w:pPr>
      <w:r w:rsidRPr="00B80975">
        <w:rPr>
          <w:b/>
        </w:rPr>
        <w:lastRenderedPageBreak/>
        <w:t>Leguminosas grano</w:t>
      </w:r>
      <w:r w:rsidR="000E23DB" w:rsidRPr="00B80975">
        <w:rPr>
          <w:b/>
        </w:rPr>
        <w:t>:</w:t>
      </w:r>
    </w:p>
    <w:p w14:paraId="5BC96E01" w14:textId="77777777" w:rsidR="00EE141E" w:rsidRDefault="00EE141E" w:rsidP="00AA12E3">
      <w:pPr>
        <w:tabs>
          <w:tab w:val="left" w:pos="1095"/>
        </w:tabs>
        <w:rPr>
          <w:b/>
        </w:rPr>
      </w:pPr>
    </w:p>
    <w:p w14:paraId="22C54797" w14:textId="7E463CD0" w:rsidR="00705A0C" w:rsidRDefault="00EE141E" w:rsidP="00AA12E3">
      <w:pPr>
        <w:tabs>
          <w:tab w:val="left" w:pos="1095"/>
        </w:tabs>
        <w:rPr>
          <w:bCs/>
        </w:rPr>
      </w:pPr>
      <w:r>
        <w:rPr>
          <w:bCs/>
        </w:rPr>
        <w:t>En 2025, la superficie de leguminosas grano cultivada en Castilla y L</w:t>
      </w:r>
      <w:r w:rsidR="00322FCA">
        <w:rPr>
          <w:bCs/>
        </w:rPr>
        <w:t>eó</w:t>
      </w:r>
      <w:r>
        <w:rPr>
          <w:bCs/>
        </w:rPr>
        <w:t>n ha sido de 155.</w:t>
      </w:r>
      <w:r w:rsidR="009A0212">
        <w:rPr>
          <w:bCs/>
        </w:rPr>
        <w:t>355</w:t>
      </w:r>
      <w:r>
        <w:rPr>
          <w:bCs/>
        </w:rPr>
        <w:t xml:space="preserve"> hectáreas, un </w:t>
      </w:r>
      <w:r w:rsidR="009A0212">
        <w:rPr>
          <w:bCs/>
        </w:rPr>
        <w:t>6,4</w:t>
      </w:r>
      <w:r>
        <w:rPr>
          <w:bCs/>
        </w:rPr>
        <w:t>% inferior a la cifra de 2024</w:t>
      </w:r>
      <w:r w:rsidR="004875C8">
        <w:rPr>
          <w:bCs/>
        </w:rPr>
        <w:t xml:space="preserve">, mientras que la </w:t>
      </w:r>
      <w:r w:rsidR="00B973B4">
        <w:rPr>
          <w:bCs/>
        </w:rPr>
        <w:t>producción ha sido de 23</w:t>
      </w:r>
      <w:r w:rsidR="009A0212">
        <w:rPr>
          <w:bCs/>
        </w:rPr>
        <w:t>0</w:t>
      </w:r>
      <w:r w:rsidR="00B973B4">
        <w:rPr>
          <w:bCs/>
        </w:rPr>
        <w:t>.</w:t>
      </w:r>
      <w:r w:rsidR="009A0212">
        <w:rPr>
          <w:bCs/>
        </w:rPr>
        <w:t>561</w:t>
      </w:r>
      <w:r w:rsidR="0027061D">
        <w:rPr>
          <w:bCs/>
        </w:rPr>
        <w:t xml:space="preserve"> Tm</w:t>
      </w:r>
      <w:r w:rsidR="00322FCA">
        <w:rPr>
          <w:bCs/>
        </w:rPr>
        <w:t>, un 1</w:t>
      </w:r>
      <w:r w:rsidR="009A0212">
        <w:rPr>
          <w:bCs/>
        </w:rPr>
        <w:t>2</w:t>
      </w:r>
      <w:r w:rsidR="00322FCA">
        <w:rPr>
          <w:bCs/>
        </w:rPr>
        <w:t>,2</w:t>
      </w:r>
      <w:r w:rsidR="009A0212">
        <w:rPr>
          <w:bCs/>
        </w:rPr>
        <w:t>3</w:t>
      </w:r>
      <w:r w:rsidR="00322FCA">
        <w:rPr>
          <w:bCs/>
        </w:rPr>
        <w:t>% más que el 2024.</w:t>
      </w:r>
    </w:p>
    <w:p w14:paraId="1BE5B219" w14:textId="15F1ECF2" w:rsidR="00322FCA" w:rsidRDefault="00322FCA" w:rsidP="00AA12E3">
      <w:pPr>
        <w:tabs>
          <w:tab w:val="left" w:pos="1095"/>
        </w:tabs>
      </w:pPr>
      <w:r>
        <w:rPr>
          <w:bCs/>
        </w:rPr>
        <w:t>El 60% de la superficie cultivada de leguminosas grano corresponde a guisantes secos y vezas.</w:t>
      </w:r>
    </w:p>
    <w:p w14:paraId="47EA523D" w14:textId="2C2524D6" w:rsidR="004E093A" w:rsidRDefault="004E093A" w:rsidP="00AA12E3">
      <w:pPr>
        <w:tabs>
          <w:tab w:val="left" w:pos="1095"/>
        </w:tabs>
      </w:pPr>
      <w:r>
        <w:t>El guisante ha tenido una reducción de superficie de casi un 7%, no así la producción, que se ha incrementado un 29% respecto a 2024.</w:t>
      </w:r>
    </w:p>
    <w:p w14:paraId="45799B13" w14:textId="138FE5C6" w:rsidR="004E093A" w:rsidRDefault="00F748F0" w:rsidP="00AA12E3">
      <w:pPr>
        <w:tabs>
          <w:tab w:val="left" w:pos="1095"/>
        </w:tabs>
      </w:pPr>
      <w:r>
        <w:t>La</w:t>
      </w:r>
      <w:r w:rsidR="009A0212">
        <w:t xml:space="preserve"> mayor reducción en</w:t>
      </w:r>
      <w:r>
        <w:t xml:space="preserve"> superficie</w:t>
      </w:r>
      <w:r w:rsidR="004E093A">
        <w:t xml:space="preserve"> </w:t>
      </w:r>
      <w:r w:rsidR="009A0212">
        <w:t>ha sido la de garbanzo, un 31,5%</w:t>
      </w:r>
      <w:r w:rsidR="004E093A">
        <w:t xml:space="preserve"> inferior respecto a 2024, con una merma en producción del -31,34%.</w:t>
      </w:r>
    </w:p>
    <w:p w14:paraId="7991EAF5" w14:textId="77777777" w:rsidR="000E23DB" w:rsidRDefault="000E23DB" w:rsidP="00AA12E3">
      <w:pPr>
        <w:tabs>
          <w:tab w:val="left" w:pos="1095"/>
        </w:tabs>
      </w:pPr>
    </w:p>
    <w:p w14:paraId="1952C150" w14:textId="77777777" w:rsidR="00BC36F3" w:rsidRDefault="00BC36F3" w:rsidP="00AA12E3">
      <w:pPr>
        <w:tabs>
          <w:tab w:val="left" w:pos="1095"/>
        </w:tabs>
      </w:pPr>
    </w:p>
    <w:tbl>
      <w:tblPr>
        <w:tblW w:w="9021" w:type="dxa"/>
        <w:tblCellMar>
          <w:left w:w="70" w:type="dxa"/>
          <w:right w:w="70" w:type="dxa"/>
        </w:tblCellMar>
        <w:tblLook w:val="04A0" w:firstRow="1" w:lastRow="0" w:firstColumn="1" w:lastColumn="0" w:noHBand="0" w:noVBand="1"/>
      </w:tblPr>
      <w:tblGrid>
        <w:gridCol w:w="1256"/>
        <w:gridCol w:w="936"/>
        <w:gridCol w:w="936"/>
        <w:gridCol w:w="946"/>
        <w:gridCol w:w="1058"/>
        <w:gridCol w:w="1056"/>
        <w:gridCol w:w="936"/>
        <w:gridCol w:w="936"/>
        <w:gridCol w:w="1131"/>
      </w:tblGrid>
      <w:tr w:rsidR="00705A0C" w:rsidRPr="00705A0C" w14:paraId="2FF96925" w14:textId="77777777" w:rsidTr="00024CCB">
        <w:trPr>
          <w:trHeight w:val="198"/>
        </w:trPr>
        <w:tc>
          <w:tcPr>
            <w:tcW w:w="1256" w:type="dxa"/>
            <w:tcBorders>
              <w:top w:val="nil"/>
              <w:left w:val="nil"/>
              <w:bottom w:val="nil"/>
              <w:right w:val="nil"/>
            </w:tcBorders>
            <w:noWrap/>
            <w:vAlign w:val="bottom"/>
            <w:hideMark/>
          </w:tcPr>
          <w:p w14:paraId="2569A225" w14:textId="77777777" w:rsidR="00705A0C" w:rsidRPr="00705A0C" w:rsidRDefault="00705A0C" w:rsidP="00AA12E3">
            <w:pPr>
              <w:jc w:val="left"/>
              <w:rPr>
                <w:rFonts w:ascii="Times New Roman" w:hAnsi="Times New Roman" w:cs="Times New Roman"/>
                <w:sz w:val="20"/>
                <w:szCs w:val="20"/>
                <w:lang w:eastAsia="es-ES"/>
              </w:rPr>
            </w:pPr>
          </w:p>
        </w:tc>
        <w:tc>
          <w:tcPr>
            <w:tcW w:w="3706" w:type="dxa"/>
            <w:gridSpan w:val="4"/>
            <w:tcBorders>
              <w:top w:val="single" w:sz="4" w:space="0" w:color="auto"/>
              <w:left w:val="single" w:sz="4" w:space="0" w:color="auto"/>
              <w:bottom w:val="single" w:sz="4" w:space="0" w:color="auto"/>
              <w:right w:val="single" w:sz="4" w:space="0" w:color="000000"/>
            </w:tcBorders>
            <w:noWrap/>
            <w:vAlign w:val="bottom"/>
            <w:hideMark/>
          </w:tcPr>
          <w:p w14:paraId="607E261A" w14:textId="646D3D48" w:rsidR="00705A0C" w:rsidRPr="00705A0C" w:rsidRDefault="00705A0C" w:rsidP="00AA12E3">
            <w:pPr>
              <w:jc w:val="center"/>
              <w:rPr>
                <w:color w:val="000000"/>
                <w:sz w:val="22"/>
                <w:szCs w:val="22"/>
                <w:lang w:eastAsia="es-ES"/>
              </w:rPr>
            </w:pPr>
            <w:r w:rsidRPr="00705A0C">
              <w:rPr>
                <w:color w:val="000000"/>
                <w:sz w:val="22"/>
                <w:szCs w:val="22"/>
                <w:lang w:eastAsia="es-ES"/>
              </w:rPr>
              <w:t>Superficie</w:t>
            </w:r>
            <w:r w:rsidR="00B973B4">
              <w:rPr>
                <w:color w:val="000000"/>
                <w:sz w:val="22"/>
                <w:szCs w:val="22"/>
                <w:lang w:eastAsia="es-ES"/>
              </w:rPr>
              <w:t xml:space="preserve"> (Ha)</w:t>
            </w:r>
          </w:p>
        </w:tc>
        <w:tc>
          <w:tcPr>
            <w:tcW w:w="4059" w:type="dxa"/>
            <w:gridSpan w:val="4"/>
            <w:tcBorders>
              <w:top w:val="single" w:sz="4" w:space="0" w:color="auto"/>
              <w:left w:val="nil"/>
              <w:bottom w:val="single" w:sz="4" w:space="0" w:color="auto"/>
              <w:right w:val="single" w:sz="4" w:space="0" w:color="000000"/>
            </w:tcBorders>
            <w:noWrap/>
            <w:vAlign w:val="bottom"/>
            <w:hideMark/>
          </w:tcPr>
          <w:p w14:paraId="6288AA48" w14:textId="05530355" w:rsidR="00705A0C" w:rsidRPr="00705A0C" w:rsidRDefault="00705A0C" w:rsidP="00AA12E3">
            <w:pPr>
              <w:jc w:val="center"/>
              <w:rPr>
                <w:color w:val="000000"/>
                <w:sz w:val="22"/>
                <w:szCs w:val="22"/>
                <w:lang w:eastAsia="es-ES"/>
              </w:rPr>
            </w:pPr>
            <w:r w:rsidRPr="00705A0C">
              <w:rPr>
                <w:color w:val="000000"/>
                <w:sz w:val="22"/>
                <w:szCs w:val="22"/>
                <w:lang w:eastAsia="es-ES"/>
              </w:rPr>
              <w:t>Producción</w:t>
            </w:r>
            <w:r w:rsidR="00B973B4">
              <w:rPr>
                <w:color w:val="000000"/>
                <w:sz w:val="22"/>
                <w:szCs w:val="22"/>
                <w:lang w:eastAsia="es-ES"/>
              </w:rPr>
              <w:t xml:space="preserve"> (T)</w:t>
            </w:r>
          </w:p>
        </w:tc>
      </w:tr>
      <w:tr w:rsidR="00322FCA" w:rsidRPr="002634C3" w14:paraId="0C93C7B0" w14:textId="77777777" w:rsidTr="00024CCB">
        <w:trPr>
          <w:trHeight w:val="198"/>
        </w:trPr>
        <w:tc>
          <w:tcPr>
            <w:tcW w:w="1256" w:type="dxa"/>
            <w:tcBorders>
              <w:top w:val="nil"/>
              <w:left w:val="nil"/>
              <w:bottom w:val="nil"/>
              <w:right w:val="nil"/>
            </w:tcBorders>
            <w:noWrap/>
            <w:vAlign w:val="bottom"/>
            <w:hideMark/>
          </w:tcPr>
          <w:p w14:paraId="0E4373E1" w14:textId="77777777" w:rsidR="00705A0C" w:rsidRPr="002634C3" w:rsidRDefault="00705A0C" w:rsidP="00AA12E3">
            <w:pPr>
              <w:jc w:val="center"/>
              <w:rPr>
                <w:color w:val="000000"/>
                <w:sz w:val="21"/>
                <w:szCs w:val="21"/>
                <w:lang w:eastAsia="es-ES"/>
              </w:rPr>
            </w:pPr>
          </w:p>
        </w:tc>
        <w:tc>
          <w:tcPr>
            <w:tcW w:w="936" w:type="dxa"/>
            <w:tcBorders>
              <w:top w:val="nil"/>
              <w:left w:val="single" w:sz="4" w:space="0" w:color="auto"/>
              <w:bottom w:val="single" w:sz="4" w:space="0" w:color="auto"/>
              <w:right w:val="single" w:sz="4" w:space="0" w:color="auto"/>
            </w:tcBorders>
            <w:shd w:val="clear" w:color="000000" w:fill="FFFFFF"/>
            <w:noWrap/>
            <w:vAlign w:val="bottom"/>
            <w:hideMark/>
          </w:tcPr>
          <w:p w14:paraId="4CC1447F" w14:textId="77777777" w:rsidR="00705A0C" w:rsidRPr="002634C3" w:rsidRDefault="00705A0C" w:rsidP="00AA12E3">
            <w:pPr>
              <w:jc w:val="center"/>
              <w:rPr>
                <w:b/>
                <w:bCs/>
                <w:color w:val="000000"/>
                <w:sz w:val="21"/>
                <w:szCs w:val="21"/>
                <w:lang w:eastAsia="es-ES"/>
              </w:rPr>
            </w:pPr>
            <w:r w:rsidRPr="002634C3">
              <w:rPr>
                <w:b/>
                <w:bCs/>
                <w:color w:val="000000"/>
                <w:sz w:val="21"/>
                <w:szCs w:val="21"/>
                <w:lang w:eastAsia="es-ES"/>
              </w:rPr>
              <w:t>2023</w:t>
            </w:r>
          </w:p>
        </w:tc>
        <w:tc>
          <w:tcPr>
            <w:tcW w:w="936" w:type="dxa"/>
            <w:tcBorders>
              <w:top w:val="nil"/>
              <w:left w:val="nil"/>
              <w:bottom w:val="single" w:sz="4" w:space="0" w:color="auto"/>
              <w:right w:val="single" w:sz="4" w:space="0" w:color="auto"/>
            </w:tcBorders>
            <w:shd w:val="clear" w:color="000000" w:fill="FFFFFF"/>
            <w:noWrap/>
            <w:vAlign w:val="bottom"/>
            <w:hideMark/>
          </w:tcPr>
          <w:p w14:paraId="2D6D9A19" w14:textId="77777777" w:rsidR="00705A0C" w:rsidRPr="002634C3" w:rsidRDefault="00705A0C" w:rsidP="00AA12E3">
            <w:pPr>
              <w:jc w:val="center"/>
              <w:rPr>
                <w:b/>
                <w:bCs/>
                <w:color w:val="000000"/>
                <w:sz w:val="21"/>
                <w:szCs w:val="21"/>
                <w:lang w:eastAsia="es-ES"/>
              </w:rPr>
            </w:pPr>
            <w:r w:rsidRPr="002634C3">
              <w:rPr>
                <w:b/>
                <w:bCs/>
                <w:color w:val="000000"/>
                <w:sz w:val="21"/>
                <w:szCs w:val="21"/>
                <w:lang w:eastAsia="es-ES"/>
              </w:rPr>
              <w:t>2024</w:t>
            </w:r>
          </w:p>
        </w:tc>
        <w:tc>
          <w:tcPr>
            <w:tcW w:w="946" w:type="dxa"/>
            <w:tcBorders>
              <w:top w:val="nil"/>
              <w:left w:val="nil"/>
              <w:bottom w:val="single" w:sz="4" w:space="0" w:color="auto"/>
              <w:right w:val="single" w:sz="4" w:space="0" w:color="auto"/>
            </w:tcBorders>
            <w:shd w:val="clear" w:color="000000" w:fill="FFFFFF"/>
            <w:noWrap/>
            <w:vAlign w:val="bottom"/>
            <w:hideMark/>
          </w:tcPr>
          <w:p w14:paraId="60BD8261" w14:textId="77777777" w:rsidR="00705A0C" w:rsidRPr="002634C3" w:rsidRDefault="00705A0C" w:rsidP="00AA12E3">
            <w:pPr>
              <w:jc w:val="center"/>
              <w:rPr>
                <w:b/>
                <w:bCs/>
                <w:color w:val="000000"/>
                <w:sz w:val="21"/>
                <w:szCs w:val="21"/>
                <w:lang w:eastAsia="es-ES"/>
              </w:rPr>
            </w:pPr>
            <w:r w:rsidRPr="002634C3">
              <w:rPr>
                <w:b/>
                <w:bCs/>
                <w:color w:val="000000"/>
                <w:sz w:val="21"/>
                <w:szCs w:val="21"/>
                <w:lang w:eastAsia="es-ES"/>
              </w:rPr>
              <w:t>2025</w:t>
            </w:r>
          </w:p>
        </w:tc>
        <w:tc>
          <w:tcPr>
            <w:tcW w:w="888" w:type="dxa"/>
            <w:tcBorders>
              <w:top w:val="nil"/>
              <w:left w:val="nil"/>
              <w:bottom w:val="single" w:sz="4" w:space="0" w:color="auto"/>
              <w:right w:val="single" w:sz="4" w:space="0" w:color="auto"/>
            </w:tcBorders>
            <w:shd w:val="clear" w:color="000000" w:fill="FFFFFF"/>
            <w:noWrap/>
            <w:vAlign w:val="bottom"/>
            <w:hideMark/>
          </w:tcPr>
          <w:p w14:paraId="613FA026" w14:textId="77777777" w:rsidR="00705A0C" w:rsidRPr="002634C3" w:rsidRDefault="00705A0C" w:rsidP="00AA12E3">
            <w:pPr>
              <w:ind w:left="-28"/>
              <w:jc w:val="center"/>
              <w:rPr>
                <w:b/>
                <w:bCs/>
                <w:color w:val="000000"/>
                <w:sz w:val="21"/>
                <w:szCs w:val="21"/>
                <w:lang w:eastAsia="es-ES"/>
              </w:rPr>
            </w:pPr>
            <w:r w:rsidRPr="002634C3">
              <w:rPr>
                <w:b/>
                <w:bCs/>
                <w:color w:val="000000"/>
                <w:sz w:val="21"/>
                <w:szCs w:val="21"/>
                <w:lang w:eastAsia="es-ES"/>
              </w:rPr>
              <w:t>Variación (%)</w:t>
            </w:r>
          </w:p>
        </w:tc>
        <w:tc>
          <w:tcPr>
            <w:tcW w:w="1056" w:type="dxa"/>
            <w:tcBorders>
              <w:top w:val="nil"/>
              <w:left w:val="nil"/>
              <w:bottom w:val="single" w:sz="4" w:space="0" w:color="auto"/>
              <w:right w:val="single" w:sz="4" w:space="0" w:color="auto"/>
            </w:tcBorders>
            <w:shd w:val="clear" w:color="000000" w:fill="FFFFFF"/>
            <w:noWrap/>
            <w:vAlign w:val="bottom"/>
            <w:hideMark/>
          </w:tcPr>
          <w:p w14:paraId="60EFB4A2" w14:textId="77777777" w:rsidR="00705A0C" w:rsidRPr="002634C3" w:rsidRDefault="00705A0C" w:rsidP="00AA12E3">
            <w:pPr>
              <w:jc w:val="center"/>
              <w:rPr>
                <w:b/>
                <w:bCs/>
                <w:color w:val="000000"/>
                <w:sz w:val="21"/>
                <w:szCs w:val="21"/>
                <w:lang w:eastAsia="es-ES"/>
              </w:rPr>
            </w:pPr>
            <w:r w:rsidRPr="002634C3">
              <w:rPr>
                <w:b/>
                <w:bCs/>
                <w:color w:val="000000"/>
                <w:sz w:val="21"/>
                <w:szCs w:val="21"/>
                <w:lang w:eastAsia="es-ES"/>
              </w:rPr>
              <w:t>2023</w:t>
            </w:r>
          </w:p>
        </w:tc>
        <w:tc>
          <w:tcPr>
            <w:tcW w:w="936" w:type="dxa"/>
            <w:tcBorders>
              <w:top w:val="nil"/>
              <w:left w:val="nil"/>
              <w:bottom w:val="single" w:sz="4" w:space="0" w:color="auto"/>
              <w:right w:val="single" w:sz="4" w:space="0" w:color="auto"/>
            </w:tcBorders>
            <w:shd w:val="clear" w:color="000000" w:fill="FFFFFF"/>
            <w:noWrap/>
            <w:vAlign w:val="bottom"/>
            <w:hideMark/>
          </w:tcPr>
          <w:p w14:paraId="66F19B18" w14:textId="77777777" w:rsidR="00705A0C" w:rsidRPr="002634C3" w:rsidRDefault="00705A0C" w:rsidP="00AA12E3">
            <w:pPr>
              <w:jc w:val="center"/>
              <w:rPr>
                <w:b/>
                <w:bCs/>
                <w:color w:val="000000"/>
                <w:sz w:val="21"/>
                <w:szCs w:val="21"/>
                <w:lang w:eastAsia="es-ES"/>
              </w:rPr>
            </w:pPr>
            <w:r w:rsidRPr="002634C3">
              <w:rPr>
                <w:b/>
                <w:bCs/>
                <w:color w:val="000000"/>
                <w:sz w:val="21"/>
                <w:szCs w:val="21"/>
                <w:lang w:eastAsia="es-ES"/>
              </w:rPr>
              <w:t>2024</w:t>
            </w:r>
          </w:p>
        </w:tc>
        <w:tc>
          <w:tcPr>
            <w:tcW w:w="936" w:type="dxa"/>
            <w:tcBorders>
              <w:top w:val="nil"/>
              <w:left w:val="nil"/>
              <w:bottom w:val="single" w:sz="4" w:space="0" w:color="auto"/>
              <w:right w:val="single" w:sz="4" w:space="0" w:color="auto"/>
            </w:tcBorders>
            <w:shd w:val="clear" w:color="000000" w:fill="FFFFFF"/>
            <w:noWrap/>
            <w:vAlign w:val="bottom"/>
            <w:hideMark/>
          </w:tcPr>
          <w:p w14:paraId="5DD7C54D" w14:textId="77777777" w:rsidR="00705A0C" w:rsidRPr="002634C3" w:rsidRDefault="00705A0C" w:rsidP="00AA12E3">
            <w:pPr>
              <w:jc w:val="center"/>
              <w:rPr>
                <w:b/>
                <w:bCs/>
                <w:color w:val="000000"/>
                <w:sz w:val="21"/>
                <w:szCs w:val="21"/>
                <w:lang w:eastAsia="es-ES"/>
              </w:rPr>
            </w:pPr>
            <w:r w:rsidRPr="002634C3">
              <w:rPr>
                <w:b/>
                <w:bCs/>
                <w:color w:val="000000"/>
                <w:sz w:val="21"/>
                <w:szCs w:val="21"/>
                <w:lang w:eastAsia="es-ES"/>
              </w:rPr>
              <w:t>2025</w:t>
            </w:r>
          </w:p>
        </w:tc>
        <w:tc>
          <w:tcPr>
            <w:tcW w:w="1131" w:type="dxa"/>
            <w:tcBorders>
              <w:top w:val="nil"/>
              <w:left w:val="nil"/>
              <w:bottom w:val="single" w:sz="4" w:space="0" w:color="auto"/>
              <w:right w:val="single" w:sz="4" w:space="0" w:color="auto"/>
            </w:tcBorders>
            <w:shd w:val="clear" w:color="000000" w:fill="FFFFFF"/>
            <w:noWrap/>
            <w:vAlign w:val="bottom"/>
            <w:hideMark/>
          </w:tcPr>
          <w:p w14:paraId="39B91628" w14:textId="77777777" w:rsidR="00705A0C" w:rsidRPr="002634C3" w:rsidRDefault="00705A0C" w:rsidP="00AA12E3">
            <w:pPr>
              <w:jc w:val="center"/>
              <w:rPr>
                <w:b/>
                <w:bCs/>
                <w:color w:val="000000"/>
                <w:sz w:val="21"/>
                <w:szCs w:val="21"/>
                <w:lang w:eastAsia="es-ES"/>
              </w:rPr>
            </w:pPr>
            <w:r w:rsidRPr="002634C3">
              <w:rPr>
                <w:b/>
                <w:bCs/>
                <w:color w:val="000000"/>
                <w:sz w:val="21"/>
                <w:szCs w:val="21"/>
                <w:lang w:eastAsia="es-ES"/>
              </w:rPr>
              <w:t>Variación (%)</w:t>
            </w:r>
          </w:p>
        </w:tc>
      </w:tr>
      <w:tr w:rsidR="00322FCA" w:rsidRPr="002634C3" w14:paraId="0B268FE1" w14:textId="77777777" w:rsidTr="00024CCB">
        <w:trPr>
          <w:trHeight w:val="198"/>
        </w:trPr>
        <w:tc>
          <w:tcPr>
            <w:tcW w:w="1256" w:type="dxa"/>
            <w:tcBorders>
              <w:top w:val="single" w:sz="4" w:space="0" w:color="auto"/>
              <w:left w:val="single" w:sz="4" w:space="0" w:color="auto"/>
              <w:bottom w:val="single" w:sz="4" w:space="0" w:color="auto"/>
              <w:right w:val="single" w:sz="4" w:space="0" w:color="auto"/>
            </w:tcBorders>
            <w:noWrap/>
            <w:vAlign w:val="bottom"/>
            <w:hideMark/>
          </w:tcPr>
          <w:p w14:paraId="1C606589" w14:textId="79EA4219" w:rsidR="00705A0C" w:rsidRPr="002634C3" w:rsidRDefault="00705A0C" w:rsidP="00AA12E3">
            <w:pPr>
              <w:jc w:val="left"/>
              <w:rPr>
                <w:color w:val="000000"/>
                <w:sz w:val="21"/>
                <w:szCs w:val="21"/>
                <w:lang w:eastAsia="es-ES"/>
              </w:rPr>
            </w:pPr>
            <w:r w:rsidRPr="002634C3">
              <w:rPr>
                <w:color w:val="000000"/>
                <w:sz w:val="21"/>
                <w:szCs w:val="21"/>
                <w:lang w:eastAsia="es-ES"/>
              </w:rPr>
              <w:t>Jud</w:t>
            </w:r>
            <w:r w:rsidR="00322FCA" w:rsidRPr="002634C3">
              <w:rPr>
                <w:color w:val="000000"/>
                <w:sz w:val="21"/>
                <w:szCs w:val="21"/>
                <w:lang w:eastAsia="es-ES"/>
              </w:rPr>
              <w:t>í</w:t>
            </w:r>
            <w:r w:rsidRPr="002634C3">
              <w:rPr>
                <w:color w:val="000000"/>
                <w:sz w:val="21"/>
                <w:szCs w:val="21"/>
                <w:lang w:eastAsia="es-ES"/>
              </w:rPr>
              <w:t>as secas</w:t>
            </w:r>
          </w:p>
        </w:tc>
        <w:tc>
          <w:tcPr>
            <w:tcW w:w="936" w:type="dxa"/>
            <w:tcBorders>
              <w:top w:val="nil"/>
              <w:left w:val="nil"/>
              <w:bottom w:val="single" w:sz="4" w:space="0" w:color="auto"/>
              <w:right w:val="single" w:sz="4" w:space="0" w:color="auto"/>
            </w:tcBorders>
            <w:shd w:val="clear" w:color="000000" w:fill="FFFFFF"/>
            <w:noWrap/>
            <w:vAlign w:val="bottom"/>
            <w:hideMark/>
          </w:tcPr>
          <w:p w14:paraId="3923EDE5" w14:textId="1C26BFD0" w:rsidR="00705A0C" w:rsidRPr="002634C3" w:rsidRDefault="00705A0C" w:rsidP="00AA12E3">
            <w:pPr>
              <w:ind w:left="-185"/>
              <w:jc w:val="center"/>
              <w:rPr>
                <w:color w:val="000000"/>
                <w:sz w:val="21"/>
                <w:szCs w:val="21"/>
                <w:lang w:eastAsia="es-ES"/>
              </w:rPr>
            </w:pPr>
            <w:r w:rsidRPr="002634C3">
              <w:rPr>
                <w:color w:val="000000"/>
                <w:sz w:val="21"/>
                <w:szCs w:val="21"/>
                <w:lang w:eastAsia="es-ES"/>
              </w:rPr>
              <w:t>4.850</w:t>
            </w:r>
          </w:p>
        </w:tc>
        <w:tc>
          <w:tcPr>
            <w:tcW w:w="936" w:type="dxa"/>
            <w:tcBorders>
              <w:top w:val="nil"/>
              <w:left w:val="nil"/>
              <w:bottom w:val="single" w:sz="4" w:space="0" w:color="auto"/>
              <w:right w:val="single" w:sz="4" w:space="0" w:color="auto"/>
            </w:tcBorders>
            <w:shd w:val="clear" w:color="000000" w:fill="FFFFFF"/>
            <w:noWrap/>
            <w:vAlign w:val="bottom"/>
            <w:hideMark/>
          </w:tcPr>
          <w:p w14:paraId="326A3BB7" w14:textId="44BCEA73" w:rsidR="00705A0C" w:rsidRPr="002634C3" w:rsidRDefault="00705A0C" w:rsidP="00AA12E3">
            <w:pPr>
              <w:jc w:val="center"/>
              <w:rPr>
                <w:color w:val="000000"/>
                <w:sz w:val="21"/>
                <w:szCs w:val="21"/>
                <w:lang w:eastAsia="es-ES"/>
              </w:rPr>
            </w:pPr>
            <w:r w:rsidRPr="002634C3">
              <w:rPr>
                <w:color w:val="000000"/>
                <w:sz w:val="21"/>
                <w:szCs w:val="21"/>
                <w:lang w:eastAsia="es-ES"/>
              </w:rPr>
              <w:t>5.881</w:t>
            </w:r>
          </w:p>
        </w:tc>
        <w:tc>
          <w:tcPr>
            <w:tcW w:w="946" w:type="dxa"/>
            <w:tcBorders>
              <w:top w:val="nil"/>
              <w:left w:val="nil"/>
              <w:bottom w:val="single" w:sz="4" w:space="0" w:color="auto"/>
              <w:right w:val="single" w:sz="4" w:space="0" w:color="auto"/>
            </w:tcBorders>
            <w:shd w:val="clear" w:color="000000" w:fill="FFFFFF"/>
            <w:noWrap/>
            <w:vAlign w:val="bottom"/>
            <w:hideMark/>
          </w:tcPr>
          <w:p w14:paraId="3081A6EF" w14:textId="1DD48C0B" w:rsidR="00705A0C" w:rsidRPr="002634C3" w:rsidRDefault="00705A0C" w:rsidP="00AA12E3">
            <w:pPr>
              <w:jc w:val="center"/>
              <w:rPr>
                <w:color w:val="000000"/>
                <w:sz w:val="21"/>
                <w:szCs w:val="21"/>
                <w:lang w:eastAsia="es-ES"/>
              </w:rPr>
            </w:pPr>
            <w:r w:rsidRPr="002634C3">
              <w:rPr>
                <w:color w:val="000000"/>
                <w:sz w:val="21"/>
                <w:szCs w:val="21"/>
                <w:lang w:eastAsia="es-ES"/>
              </w:rPr>
              <w:t>6.</w:t>
            </w:r>
            <w:r w:rsidR="00FE0598" w:rsidRPr="002634C3">
              <w:rPr>
                <w:color w:val="000000"/>
                <w:sz w:val="21"/>
                <w:szCs w:val="21"/>
                <w:lang w:eastAsia="es-ES"/>
              </w:rPr>
              <w:t>517</w:t>
            </w:r>
          </w:p>
        </w:tc>
        <w:tc>
          <w:tcPr>
            <w:tcW w:w="888" w:type="dxa"/>
            <w:tcBorders>
              <w:top w:val="nil"/>
              <w:left w:val="nil"/>
              <w:bottom w:val="single" w:sz="4" w:space="0" w:color="auto"/>
              <w:right w:val="single" w:sz="4" w:space="0" w:color="auto"/>
            </w:tcBorders>
            <w:shd w:val="clear" w:color="000000" w:fill="FFFFFF"/>
            <w:noWrap/>
            <w:vAlign w:val="bottom"/>
          </w:tcPr>
          <w:p w14:paraId="78EDF54A" w14:textId="4CFB4CCA" w:rsidR="00705A0C" w:rsidRPr="002634C3" w:rsidRDefault="0077615B" w:rsidP="00AA12E3">
            <w:pPr>
              <w:jc w:val="center"/>
              <w:rPr>
                <w:color w:val="000000"/>
                <w:sz w:val="21"/>
                <w:szCs w:val="21"/>
                <w:lang w:eastAsia="es-ES"/>
              </w:rPr>
            </w:pPr>
            <w:r w:rsidRPr="002634C3">
              <w:rPr>
                <w:color w:val="000000"/>
                <w:sz w:val="21"/>
                <w:szCs w:val="21"/>
                <w:lang w:eastAsia="es-ES"/>
              </w:rPr>
              <w:t>10,81</w:t>
            </w:r>
          </w:p>
        </w:tc>
        <w:tc>
          <w:tcPr>
            <w:tcW w:w="1056" w:type="dxa"/>
            <w:tcBorders>
              <w:top w:val="nil"/>
              <w:left w:val="nil"/>
              <w:bottom w:val="single" w:sz="4" w:space="0" w:color="auto"/>
              <w:right w:val="single" w:sz="4" w:space="0" w:color="auto"/>
            </w:tcBorders>
            <w:shd w:val="clear" w:color="000000" w:fill="FFFFFF"/>
            <w:noWrap/>
            <w:vAlign w:val="bottom"/>
            <w:hideMark/>
          </w:tcPr>
          <w:p w14:paraId="5BE8093F" w14:textId="25F8260B" w:rsidR="00705A0C" w:rsidRPr="002634C3" w:rsidRDefault="00705A0C" w:rsidP="00AA12E3">
            <w:pPr>
              <w:jc w:val="center"/>
              <w:rPr>
                <w:color w:val="000000"/>
                <w:sz w:val="21"/>
                <w:szCs w:val="21"/>
                <w:lang w:eastAsia="es-ES"/>
              </w:rPr>
            </w:pPr>
            <w:r w:rsidRPr="002634C3">
              <w:rPr>
                <w:color w:val="000000"/>
                <w:sz w:val="21"/>
                <w:szCs w:val="21"/>
                <w:lang w:eastAsia="es-ES"/>
              </w:rPr>
              <w:t>11</w:t>
            </w:r>
            <w:r w:rsidR="003A3B64" w:rsidRPr="002634C3">
              <w:rPr>
                <w:color w:val="000000"/>
                <w:sz w:val="21"/>
                <w:szCs w:val="21"/>
                <w:lang w:eastAsia="es-ES"/>
              </w:rPr>
              <w:t>.</w:t>
            </w:r>
            <w:r w:rsidRPr="002634C3">
              <w:rPr>
                <w:color w:val="000000"/>
                <w:sz w:val="21"/>
                <w:szCs w:val="21"/>
                <w:lang w:eastAsia="es-ES"/>
              </w:rPr>
              <w:t>583</w:t>
            </w:r>
          </w:p>
        </w:tc>
        <w:tc>
          <w:tcPr>
            <w:tcW w:w="936" w:type="dxa"/>
            <w:tcBorders>
              <w:top w:val="nil"/>
              <w:left w:val="nil"/>
              <w:bottom w:val="single" w:sz="4" w:space="0" w:color="auto"/>
              <w:right w:val="single" w:sz="4" w:space="0" w:color="auto"/>
            </w:tcBorders>
            <w:shd w:val="clear" w:color="000000" w:fill="FFFFFF"/>
            <w:noWrap/>
            <w:vAlign w:val="bottom"/>
            <w:hideMark/>
          </w:tcPr>
          <w:p w14:paraId="6FB7AF58" w14:textId="70829C4D" w:rsidR="00705A0C" w:rsidRPr="002634C3" w:rsidRDefault="00705A0C" w:rsidP="00AA12E3">
            <w:pPr>
              <w:jc w:val="center"/>
              <w:rPr>
                <w:color w:val="000000"/>
                <w:sz w:val="21"/>
                <w:szCs w:val="21"/>
                <w:lang w:eastAsia="es-ES"/>
              </w:rPr>
            </w:pPr>
            <w:r w:rsidRPr="002634C3">
              <w:rPr>
                <w:color w:val="000000"/>
                <w:sz w:val="21"/>
                <w:szCs w:val="21"/>
                <w:lang w:eastAsia="es-ES"/>
              </w:rPr>
              <w:t>12</w:t>
            </w:r>
            <w:r w:rsidR="003A3B64" w:rsidRPr="002634C3">
              <w:rPr>
                <w:color w:val="000000"/>
                <w:sz w:val="21"/>
                <w:szCs w:val="21"/>
                <w:lang w:eastAsia="es-ES"/>
              </w:rPr>
              <w:t>.</w:t>
            </w:r>
            <w:r w:rsidRPr="002634C3">
              <w:rPr>
                <w:color w:val="000000"/>
                <w:sz w:val="21"/>
                <w:szCs w:val="21"/>
                <w:lang w:eastAsia="es-ES"/>
              </w:rPr>
              <w:t>175</w:t>
            </w:r>
          </w:p>
        </w:tc>
        <w:tc>
          <w:tcPr>
            <w:tcW w:w="936" w:type="dxa"/>
            <w:tcBorders>
              <w:top w:val="nil"/>
              <w:left w:val="nil"/>
              <w:bottom w:val="single" w:sz="4" w:space="0" w:color="auto"/>
              <w:right w:val="single" w:sz="4" w:space="0" w:color="auto"/>
            </w:tcBorders>
            <w:shd w:val="clear" w:color="000000" w:fill="FFFFFF"/>
            <w:noWrap/>
            <w:vAlign w:val="bottom"/>
          </w:tcPr>
          <w:p w14:paraId="74CEADAA" w14:textId="79A15DFB" w:rsidR="00705A0C" w:rsidRPr="002634C3" w:rsidRDefault="00024CCB" w:rsidP="00AA12E3">
            <w:pPr>
              <w:jc w:val="center"/>
              <w:rPr>
                <w:color w:val="000000"/>
                <w:sz w:val="21"/>
                <w:szCs w:val="21"/>
                <w:lang w:eastAsia="es-ES"/>
              </w:rPr>
            </w:pPr>
            <w:r w:rsidRPr="002634C3">
              <w:rPr>
                <w:color w:val="000000"/>
                <w:sz w:val="21"/>
                <w:szCs w:val="21"/>
                <w:lang w:eastAsia="es-ES"/>
              </w:rPr>
              <w:t>17.770</w:t>
            </w:r>
          </w:p>
        </w:tc>
        <w:tc>
          <w:tcPr>
            <w:tcW w:w="1131" w:type="dxa"/>
            <w:tcBorders>
              <w:top w:val="nil"/>
              <w:left w:val="nil"/>
              <w:bottom w:val="single" w:sz="4" w:space="0" w:color="auto"/>
              <w:right w:val="single" w:sz="4" w:space="0" w:color="auto"/>
            </w:tcBorders>
            <w:shd w:val="clear" w:color="000000" w:fill="FFFFFF"/>
            <w:noWrap/>
            <w:vAlign w:val="bottom"/>
          </w:tcPr>
          <w:p w14:paraId="37E945C6" w14:textId="2B95E7D2" w:rsidR="00705A0C" w:rsidRPr="002634C3" w:rsidRDefault="00024CCB" w:rsidP="00AA12E3">
            <w:pPr>
              <w:ind w:right="25"/>
              <w:jc w:val="center"/>
              <w:rPr>
                <w:color w:val="000000"/>
                <w:sz w:val="21"/>
                <w:szCs w:val="21"/>
                <w:lang w:eastAsia="es-ES"/>
              </w:rPr>
            </w:pPr>
            <w:r w:rsidRPr="002634C3">
              <w:rPr>
                <w:color w:val="000000"/>
                <w:sz w:val="21"/>
                <w:szCs w:val="21"/>
                <w:lang w:eastAsia="es-ES"/>
              </w:rPr>
              <w:t>45,95</w:t>
            </w:r>
          </w:p>
        </w:tc>
      </w:tr>
      <w:tr w:rsidR="00322FCA" w:rsidRPr="002634C3" w14:paraId="7150A249" w14:textId="77777777" w:rsidTr="00024CCB">
        <w:trPr>
          <w:trHeight w:val="198"/>
        </w:trPr>
        <w:tc>
          <w:tcPr>
            <w:tcW w:w="1256" w:type="dxa"/>
            <w:tcBorders>
              <w:top w:val="nil"/>
              <w:left w:val="single" w:sz="4" w:space="0" w:color="auto"/>
              <w:bottom w:val="single" w:sz="4" w:space="0" w:color="auto"/>
              <w:right w:val="single" w:sz="4" w:space="0" w:color="auto"/>
            </w:tcBorders>
            <w:noWrap/>
            <w:vAlign w:val="bottom"/>
            <w:hideMark/>
          </w:tcPr>
          <w:p w14:paraId="616A6122" w14:textId="77777777" w:rsidR="00705A0C" w:rsidRPr="002634C3" w:rsidRDefault="00705A0C" w:rsidP="00AA12E3">
            <w:pPr>
              <w:jc w:val="left"/>
              <w:rPr>
                <w:color w:val="000000"/>
                <w:sz w:val="21"/>
                <w:szCs w:val="21"/>
                <w:lang w:eastAsia="es-ES"/>
              </w:rPr>
            </w:pPr>
            <w:r w:rsidRPr="002634C3">
              <w:rPr>
                <w:color w:val="000000"/>
                <w:sz w:val="21"/>
                <w:szCs w:val="21"/>
                <w:lang w:eastAsia="es-ES"/>
              </w:rPr>
              <w:t>Habas secas</w:t>
            </w:r>
          </w:p>
        </w:tc>
        <w:tc>
          <w:tcPr>
            <w:tcW w:w="936" w:type="dxa"/>
            <w:tcBorders>
              <w:top w:val="nil"/>
              <w:left w:val="nil"/>
              <w:bottom w:val="single" w:sz="4" w:space="0" w:color="auto"/>
              <w:right w:val="single" w:sz="4" w:space="0" w:color="auto"/>
            </w:tcBorders>
            <w:shd w:val="clear" w:color="000000" w:fill="FFFFFF"/>
            <w:noWrap/>
            <w:vAlign w:val="bottom"/>
            <w:hideMark/>
          </w:tcPr>
          <w:p w14:paraId="491D509C" w14:textId="77777777" w:rsidR="00705A0C" w:rsidRPr="002634C3" w:rsidRDefault="00705A0C" w:rsidP="00AA12E3">
            <w:pPr>
              <w:jc w:val="center"/>
              <w:rPr>
                <w:color w:val="000000"/>
                <w:sz w:val="21"/>
                <w:szCs w:val="21"/>
                <w:lang w:eastAsia="es-ES"/>
              </w:rPr>
            </w:pPr>
            <w:r w:rsidRPr="002634C3">
              <w:rPr>
                <w:color w:val="000000"/>
                <w:sz w:val="21"/>
                <w:szCs w:val="21"/>
                <w:lang w:eastAsia="es-ES"/>
              </w:rPr>
              <w:t>663</w:t>
            </w:r>
          </w:p>
        </w:tc>
        <w:tc>
          <w:tcPr>
            <w:tcW w:w="936" w:type="dxa"/>
            <w:tcBorders>
              <w:top w:val="nil"/>
              <w:left w:val="nil"/>
              <w:bottom w:val="single" w:sz="4" w:space="0" w:color="auto"/>
              <w:right w:val="single" w:sz="4" w:space="0" w:color="auto"/>
            </w:tcBorders>
            <w:shd w:val="clear" w:color="000000" w:fill="FFFFFF"/>
            <w:noWrap/>
            <w:vAlign w:val="bottom"/>
            <w:hideMark/>
          </w:tcPr>
          <w:p w14:paraId="04AA42CC" w14:textId="77777777" w:rsidR="00705A0C" w:rsidRPr="002634C3" w:rsidRDefault="00705A0C" w:rsidP="00AA12E3">
            <w:pPr>
              <w:jc w:val="center"/>
              <w:rPr>
                <w:color w:val="000000"/>
                <w:sz w:val="21"/>
                <w:szCs w:val="21"/>
                <w:lang w:eastAsia="es-ES"/>
              </w:rPr>
            </w:pPr>
            <w:r w:rsidRPr="002634C3">
              <w:rPr>
                <w:color w:val="000000"/>
                <w:sz w:val="21"/>
                <w:szCs w:val="21"/>
                <w:lang w:eastAsia="es-ES"/>
              </w:rPr>
              <w:t>463</w:t>
            </w:r>
          </w:p>
        </w:tc>
        <w:tc>
          <w:tcPr>
            <w:tcW w:w="946" w:type="dxa"/>
            <w:tcBorders>
              <w:top w:val="nil"/>
              <w:left w:val="nil"/>
              <w:bottom w:val="single" w:sz="4" w:space="0" w:color="auto"/>
              <w:right w:val="single" w:sz="4" w:space="0" w:color="auto"/>
            </w:tcBorders>
            <w:shd w:val="clear" w:color="000000" w:fill="FFFFFF"/>
            <w:noWrap/>
            <w:vAlign w:val="bottom"/>
            <w:hideMark/>
          </w:tcPr>
          <w:p w14:paraId="12D14296" w14:textId="278E73AF" w:rsidR="00705A0C" w:rsidRPr="002634C3" w:rsidRDefault="00705A0C" w:rsidP="00AA12E3">
            <w:pPr>
              <w:jc w:val="center"/>
              <w:rPr>
                <w:color w:val="000000"/>
                <w:sz w:val="21"/>
                <w:szCs w:val="21"/>
                <w:lang w:eastAsia="es-ES"/>
              </w:rPr>
            </w:pPr>
            <w:r w:rsidRPr="002634C3">
              <w:rPr>
                <w:color w:val="000000"/>
                <w:sz w:val="21"/>
                <w:szCs w:val="21"/>
                <w:lang w:eastAsia="es-ES"/>
              </w:rPr>
              <w:t>5</w:t>
            </w:r>
            <w:r w:rsidR="00FE0598" w:rsidRPr="002634C3">
              <w:rPr>
                <w:color w:val="000000"/>
                <w:sz w:val="21"/>
                <w:szCs w:val="21"/>
                <w:lang w:eastAsia="es-ES"/>
              </w:rPr>
              <w:t>69</w:t>
            </w:r>
          </w:p>
        </w:tc>
        <w:tc>
          <w:tcPr>
            <w:tcW w:w="888" w:type="dxa"/>
            <w:tcBorders>
              <w:top w:val="nil"/>
              <w:left w:val="nil"/>
              <w:bottom w:val="single" w:sz="4" w:space="0" w:color="auto"/>
              <w:right w:val="single" w:sz="4" w:space="0" w:color="auto"/>
            </w:tcBorders>
            <w:shd w:val="clear" w:color="000000" w:fill="FFFFFF"/>
            <w:noWrap/>
            <w:vAlign w:val="bottom"/>
          </w:tcPr>
          <w:p w14:paraId="00F429FF" w14:textId="34266CFB" w:rsidR="00705A0C" w:rsidRPr="002634C3" w:rsidRDefault="0077615B" w:rsidP="00AA12E3">
            <w:pPr>
              <w:jc w:val="center"/>
              <w:rPr>
                <w:color w:val="000000"/>
                <w:sz w:val="21"/>
                <w:szCs w:val="21"/>
                <w:lang w:eastAsia="es-ES"/>
              </w:rPr>
            </w:pPr>
            <w:r w:rsidRPr="002634C3">
              <w:rPr>
                <w:color w:val="000000"/>
                <w:sz w:val="21"/>
                <w:szCs w:val="21"/>
                <w:lang w:eastAsia="es-ES"/>
              </w:rPr>
              <w:t>22,89</w:t>
            </w:r>
          </w:p>
        </w:tc>
        <w:tc>
          <w:tcPr>
            <w:tcW w:w="1056" w:type="dxa"/>
            <w:tcBorders>
              <w:top w:val="nil"/>
              <w:left w:val="nil"/>
              <w:bottom w:val="single" w:sz="4" w:space="0" w:color="auto"/>
              <w:right w:val="single" w:sz="4" w:space="0" w:color="auto"/>
            </w:tcBorders>
            <w:shd w:val="clear" w:color="000000" w:fill="FFFFFF"/>
            <w:noWrap/>
            <w:vAlign w:val="bottom"/>
            <w:hideMark/>
          </w:tcPr>
          <w:p w14:paraId="31FBC346" w14:textId="3BD83B7A" w:rsidR="00705A0C" w:rsidRPr="002634C3" w:rsidRDefault="00705A0C" w:rsidP="00AA12E3">
            <w:pPr>
              <w:jc w:val="center"/>
              <w:rPr>
                <w:color w:val="000000"/>
                <w:sz w:val="21"/>
                <w:szCs w:val="21"/>
                <w:lang w:eastAsia="es-ES"/>
              </w:rPr>
            </w:pPr>
            <w:r w:rsidRPr="002634C3">
              <w:rPr>
                <w:color w:val="000000"/>
                <w:sz w:val="21"/>
                <w:szCs w:val="21"/>
                <w:lang w:eastAsia="es-ES"/>
              </w:rPr>
              <w:t>1</w:t>
            </w:r>
            <w:r w:rsidR="003A3B64" w:rsidRPr="002634C3">
              <w:rPr>
                <w:color w:val="000000"/>
                <w:sz w:val="21"/>
                <w:szCs w:val="21"/>
                <w:lang w:eastAsia="es-ES"/>
              </w:rPr>
              <w:t>.</w:t>
            </w:r>
            <w:r w:rsidRPr="002634C3">
              <w:rPr>
                <w:color w:val="000000"/>
                <w:sz w:val="21"/>
                <w:szCs w:val="21"/>
                <w:lang w:eastAsia="es-ES"/>
              </w:rPr>
              <w:t>334</w:t>
            </w:r>
          </w:p>
        </w:tc>
        <w:tc>
          <w:tcPr>
            <w:tcW w:w="936" w:type="dxa"/>
            <w:tcBorders>
              <w:top w:val="nil"/>
              <w:left w:val="nil"/>
              <w:bottom w:val="single" w:sz="4" w:space="0" w:color="auto"/>
              <w:right w:val="single" w:sz="4" w:space="0" w:color="auto"/>
            </w:tcBorders>
            <w:shd w:val="clear" w:color="000000" w:fill="FFFFFF"/>
            <w:noWrap/>
            <w:vAlign w:val="bottom"/>
            <w:hideMark/>
          </w:tcPr>
          <w:p w14:paraId="227F31A5" w14:textId="77777777" w:rsidR="00705A0C" w:rsidRPr="002634C3" w:rsidRDefault="00705A0C" w:rsidP="00AA12E3">
            <w:pPr>
              <w:jc w:val="center"/>
              <w:rPr>
                <w:color w:val="000000"/>
                <w:sz w:val="21"/>
                <w:szCs w:val="21"/>
                <w:lang w:eastAsia="es-ES"/>
              </w:rPr>
            </w:pPr>
            <w:r w:rsidRPr="002634C3">
              <w:rPr>
                <w:color w:val="000000"/>
                <w:sz w:val="21"/>
                <w:szCs w:val="21"/>
                <w:lang w:eastAsia="es-ES"/>
              </w:rPr>
              <w:t>1138</w:t>
            </w:r>
          </w:p>
        </w:tc>
        <w:tc>
          <w:tcPr>
            <w:tcW w:w="936" w:type="dxa"/>
            <w:tcBorders>
              <w:top w:val="nil"/>
              <w:left w:val="nil"/>
              <w:bottom w:val="single" w:sz="4" w:space="0" w:color="auto"/>
              <w:right w:val="single" w:sz="4" w:space="0" w:color="auto"/>
            </w:tcBorders>
            <w:shd w:val="clear" w:color="000000" w:fill="FFFFFF"/>
            <w:noWrap/>
            <w:vAlign w:val="bottom"/>
          </w:tcPr>
          <w:p w14:paraId="04A0446D" w14:textId="715BFC97" w:rsidR="00705A0C" w:rsidRPr="002634C3" w:rsidRDefault="00024CCB" w:rsidP="00AA12E3">
            <w:pPr>
              <w:jc w:val="center"/>
              <w:rPr>
                <w:color w:val="000000"/>
                <w:sz w:val="21"/>
                <w:szCs w:val="21"/>
                <w:lang w:eastAsia="es-ES"/>
              </w:rPr>
            </w:pPr>
            <w:r w:rsidRPr="002634C3">
              <w:rPr>
                <w:color w:val="000000"/>
                <w:sz w:val="21"/>
                <w:szCs w:val="21"/>
                <w:lang w:eastAsia="es-ES"/>
              </w:rPr>
              <w:t>1.448</w:t>
            </w:r>
          </w:p>
        </w:tc>
        <w:tc>
          <w:tcPr>
            <w:tcW w:w="1131" w:type="dxa"/>
            <w:tcBorders>
              <w:top w:val="nil"/>
              <w:left w:val="nil"/>
              <w:bottom w:val="single" w:sz="4" w:space="0" w:color="auto"/>
              <w:right w:val="single" w:sz="4" w:space="0" w:color="auto"/>
            </w:tcBorders>
            <w:shd w:val="clear" w:color="000000" w:fill="FFFFFF"/>
            <w:noWrap/>
            <w:vAlign w:val="bottom"/>
          </w:tcPr>
          <w:p w14:paraId="136DAB48" w14:textId="79E8A26E" w:rsidR="00705A0C" w:rsidRPr="002634C3" w:rsidRDefault="00024CCB" w:rsidP="00AA12E3">
            <w:pPr>
              <w:jc w:val="center"/>
              <w:rPr>
                <w:color w:val="000000"/>
                <w:sz w:val="21"/>
                <w:szCs w:val="21"/>
                <w:lang w:eastAsia="es-ES"/>
              </w:rPr>
            </w:pPr>
            <w:r w:rsidRPr="002634C3">
              <w:rPr>
                <w:color w:val="000000"/>
                <w:sz w:val="21"/>
                <w:szCs w:val="21"/>
                <w:lang w:eastAsia="es-ES"/>
              </w:rPr>
              <w:t>27,24</w:t>
            </w:r>
          </w:p>
        </w:tc>
      </w:tr>
      <w:tr w:rsidR="00322FCA" w:rsidRPr="002634C3" w14:paraId="0DCAC50E" w14:textId="77777777" w:rsidTr="00024CCB">
        <w:trPr>
          <w:trHeight w:val="198"/>
        </w:trPr>
        <w:tc>
          <w:tcPr>
            <w:tcW w:w="1256" w:type="dxa"/>
            <w:tcBorders>
              <w:top w:val="nil"/>
              <w:left w:val="single" w:sz="4" w:space="0" w:color="auto"/>
              <w:bottom w:val="single" w:sz="4" w:space="0" w:color="auto"/>
              <w:right w:val="single" w:sz="4" w:space="0" w:color="auto"/>
            </w:tcBorders>
            <w:noWrap/>
            <w:vAlign w:val="bottom"/>
            <w:hideMark/>
          </w:tcPr>
          <w:p w14:paraId="3D6ECAC3" w14:textId="77777777" w:rsidR="00705A0C" w:rsidRPr="002634C3" w:rsidRDefault="00705A0C" w:rsidP="00AA12E3">
            <w:pPr>
              <w:jc w:val="left"/>
              <w:rPr>
                <w:color w:val="000000"/>
                <w:sz w:val="21"/>
                <w:szCs w:val="21"/>
                <w:lang w:eastAsia="es-ES"/>
              </w:rPr>
            </w:pPr>
            <w:r w:rsidRPr="002634C3">
              <w:rPr>
                <w:color w:val="000000"/>
                <w:sz w:val="21"/>
                <w:szCs w:val="21"/>
                <w:lang w:eastAsia="es-ES"/>
              </w:rPr>
              <w:t>Lentejas</w:t>
            </w:r>
          </w:p>
        </w:tc>
        <w:tc>
          <w:tcPr>
            <w:tcW w:w="936" w:type="dxa"/>
            <w:tcBorders>
              <w:top w:val="nil"/>
              <w:left w:val="nil"/>
              <w:bottom w:val="single" w:sz="4" w:space="0" w:color="auto"/>
              <w:right w:val="single" w:sz="4" w:space="0" w:color="auto"/>
            </w:tcBorders>
            <w:shd w:val="clear" w:color="000000" w:fill="FFFFFF"/>
            <w:noWrap/>
            <w:vAlign w:val="bottom"/>
            <w:hideMark/>
          </w:tcPr>
          <w:p w14:paraId="5E655CDA" w14:textId="159941E4" w:rsidR="00705A0C" w:rsidRPr="002634C3" w:rsidRDefault="00705A0C" w:rsidP="00AA12E3">
            <w:pPr>
              <w:jc w:val="center"/>
              <w:rPr>
                <w:color w:val="000000"/>
                <w:sz w:val="21"/>
                <w:szCs w:val="21"/>
                <w:lang w:eastAsia="es-ES"/>
              </w:rPr>
            </w:pPr>
            <w:r w:rsidRPr="002634C3">
              <w:rPr>
                <w:color w:val="000000"/>
                <w:sz w:val="21"/>
                <w:szCs w:val="21"/>
                <w:lang w:eastAsia="es-ES"/>
              </w:rPr>
              <w:t>13.107</w:t>
            </w:r>
          </w:p>
        </w:tc>
        <w:tc>
          <w:tcPr>
            <w:tcW w:w="936" w:type="dxa"/>
            <w:tcBorders>
              <w:top w:val="nil"/>
              <w:left w:val="nil"/>
              <w:bottom w:val="single" w:sz="4" w:space="0" w:color="auto"/>
              <w:right w:val="single" w:sz="4" w:space="0" w:color="auto"/>
            </w:tcBorders>
            <w:shd w:val="clear" w:color="000000" w:fill="FFFFFF"/>
            <w:noWrap/>
            <w:vAlign w:val="bottom"/>
            <w:hideMark/>
          </w:tcPr>
          <w:p w14:paraId="71A7F201" w14:textId="1E7B1AEA" w:rsidR="00705A0C" w:rsidRPr="002634C3" w:rsidRDefault="00705A0C" w:rsidP="00AA12E3">
            <w:pPr>
              <w:jc w:val="center"/>
              <w:rPr>
                <w:color w:val="000000"/>
                <w:sz w:val="21"/>
                <w:szCs w:val="21"/>
                <w:lang w:eastAsia="es-ES"/>
              </w:rPr>
            </w:pPr>
            <w:r w:rsidRPr="002634C3">
              <w:rPr>
                <w:color w:val="000000"/>
                <w:sz w:val="21"/>
                <w:szCs w:val="21"/>
                <w:lang w:eastAsia="es-ES"/>
              </w:rPr>
              <w:t>11.958</w:t>
            </w:r>
          </w:p>
        </w:tc>
        <w:tc>
          <w:tcPr>
            <w:tcW w:w="946" w:type="dxa"/>
            <w:tcBorders>
              <w:top w:val="nil"/>
              <w:left w:val="nil"/>
              <w:bottom w:val="single" w:sz="4" w:space="0" w:color="auto"/>
              <w:right w:val="single" w:sz="4" w:space="0" w:color="auto"/>
            </w:tcBorders>
            <w:shd w:val="clear" w:color="000000" w:fill="FFFFFF"/>
            <w:noWrap/>
            <w:vAlign w:val="bottom"/>
            <w:hideMark/>
          </w:tcPr>
          <w:p w14:paraId="52FC1642" w14:textId="0A0E0379" w:rsidR="00705A0C" w:rsidRPr="002634C3" w:rsidRDefault="00705A0C" w:rsidP="00AA12E3">
            <w:pPr>
              <w:jc w:val="center"/>
              <w:rPr>
                <w:color w:val="000000"/>
                <w:sz w:val="21"/>
                <w:szCs w:val="21"/>
                <w:lang w:eastAsia="es-ES"/>
              </w:rPr>
            </w:pPr>
            <w:r w:rsidRPr="002634C3">
              <w:rPr>
                <w:color w:val="000000"/>
                <w:sz w:val="21"/>
                <w:szCs w:val="21"/>
                <w:lang w:eastAsia="es-ES"/>
              </w:rPr>
              <w:t>13.1</w:t>
            </w:r>
            <w:r w:rsidR="00FE0598" w:rsidRPr="002634C3">
              <w:rPr>
                <w:color w:val="000000"/>
                <w:sz w:val="21"/>
                <w:szCs w:val="21"/>
                <w:lang w:eastAsia="es-ES"/>
              </w:rPr>
              <w:t>23</w:t>
            </w:r>
          </w:p>
        </w:tc>
        <w:tc>
          <w:tcPr>
            <w:tcW w:w="888" w:type="dxa"/>
            <w:tcBorders>
              <w:top w:val="nil"/>
              <w:left w:val="nil"/>
              <w:bottom w:val="single" w:sz="4" w:space="0" w:color="auto"/>
              <w:right w:val="single" w:sz="4" w:space="0" w:color="auto"/>
            </w:tcBorders>
            <w:shd w:val="clear" w:color="000000" w:fill="FFFFFF"/>
            <w:noWrap/>
            <w:vAlign w:val="bottom"/>
          </w:tcPr>
          <w:p w14:paraId="2BEED298" w14:textId="3640DC0B" w:rsidR="00705A0C" w:rsidRPr="002634C3" w:rsidRDefault="0077615B" w:rsidP="00AA12E3">
            <w:pPr>
              <w:jc w:val="center"/>
              <w:rPr>
                <w:color w:val="000000"/>
                <w:sz w:val="21"/>
                <w:szCs w:val="21"/>
                <w:lang w:eastAsia="es-ES"/>
              </w:rPr>
            </w:pPr>
            <w:r w:rsidRPr="002634C3">
              <w:rPr>
                <w:color w:val="000000"/>
                <w:sz w:val="21"/>
                <w:szCs w:val="21"/>
                <w:lang w:eastAsia="es-ES"/>
              </w:rPr>
              <w:t>9,74</w:t>
            </w:r>
          </w:p>
        </w:tc>
        <w:tc>
          <w:tcPr>
            <w:tcW w:w="1056" w:type="dxa"/>
            <w:tcBorders>
              <w:top w:val="nil"/>
              <w:left w:val="nil"/>
              <w:bottom w:val="single" w:sz="4" w:space="0" w:color="auto"/>
              <w:right w:val="single" w:sz="4" w:space="0" w:color="auto"/>
            </w:tcBorders>
            <w:shd w:val="clear" w:color="000000" w:fill="FFFFFF"/>
            <w:noWrap/>
            <w:vAlign w:val="bottom"/>
            <w:hideMark/>
          </w:tcPr>
          <w:p w14:paraId="0411EB49" w14:textId="716E9C19" w:rsidR="00705A0C" w:rsidRPr="002634C3" w:rsidRDefault="00705A0C" w:rsidP="00AA12E3">
            <w:pPr>
              <w:jc w:val="center"/>
              <w:rPr>
                <w:color w:val="000000"/>
                <w:sz w:val="21"/>
                <w:szCs w:val="21"/>
                <w:lang w:eastAsia="es-ES"/>
              </w:rPr>
            </w:pPr>
            <w:r w:rsidRPr="002634C3">
              <w:rPr>
                <w:color w:val="000000"/>
                <w:sz w:val="21"/>
                <w:szCs w:val="21"/>
                <w:lang w:eastAsia="es-ES"/>
              </w:rPr>
              <w:t>4</w:t>
            </w:r>
            <w:r w:rsidR="003A3B64" w:rsidRPr="002634C3">
              <w:rPr>
                <w:color w:val="000000"/>
                <w:sz w:val="21"/>
                <w:szCs w:val="21"/>
                <w:lang w:eastAsia="es-ES"/>
              </w:rPr>
              <w:t>.</w:t>
            </w:r>
            <w:r w:rsidRPr="002634C3">
              <w:rPr>
                <w:color w:val="000000"/>
                <w:sz w:val="21"/>
                <w:szCs w:val="21"/>
                <w:lang w:eastAsia="es-ES"/>
              </w:rPr>
              <w:t>870</w:t>
            </w:r>
          </w:p>
        </w:tc>
        <w:tc>
          <w:tcPr>
            <w:tcW w:w="936" w:type="dxa"/>
            <w:tcBorders>
              <w:top w:val="nil"/>
              <w:left w:val="nil"/>
              <w:bottom w:val="single" w:sz="4" w:space="0" w:color="auto"/>
              <w:right w:val="single" w:sz="4" w:space="0" w:color="auto"/>
            </w:tcBorders>
            <w:shd w:val="clear" w:color="000000" w:fill="FFFFFF"/>
            <w:noWrap/>
            <w:vAlign w:val="bottom"/>
            <w:hideMark/>
          </w:tcPr>
          <w:p w14:paraId="3E7C0FBC" w14:textId="5DB31BCC" w:rsidR="00705A0C" w:rsidRPr="002634C3" w:rsidRDefault="00705A0C" w:rsidP="00AA12E3">
            <w:pPr>
              <w:jc w:val="center"/>
              <w:rPr>
                <w:color w:val="000000"/>
                <w:sz w:val="21"/>
                <w:szCs w:val="21"/>
                <w:lang w:eastAsia="es-ES"/>
              </w:rPr>
            </w:pPr>
            <w:r w:rsidRPr="002634C3">
              <w:rPr>
                <w:color w:val="000000"/>
                <w:sz w:val="21"/>
                <w:szCs w:val="21"/>
                <w:lang w:eastAsia="es-ES"/>
              </w:rPr>
              <w:t>11</w:t>
            </w:r>
            <w:r w:rsidR="003A3B64" w:rsidRPr="002634C3">
              <w:rPr>
                <w:color w:val="000000"/>
                <w:sz w:val="21"/>
                <w:szCs w:val="21"/>
                <w:lang w:eastAsia="es-ES"/>
              </w:rPr>
              <w:t>.</w:t>
            </w:r>
            <w:r w:rsidRPr="002634C3">
              <w:rPr>
                <w:color w:val="000000"/>
                <w:sz w:val="21"/>
                <w:szCs w:val="21"/>
                <w:lang w:eastAsia="es-ES"/>
              </w:rPr>
              <w:t>570</w:t>
            </w:r>
          </w:p>
        </w:tc>
        <w:tc>
          <w:tcPr>
            <w:tcW w:w="936" w:type="dxa"/>
            <w:tcBorders>
              <w:top w:val="nil"/>
              <w:left w:val="nil"/>
              <w:bottom w:val="single" w:sz="4" w:space="0" w:color="auto"/>
              <w:right w:val="single" w:sz="4" w:space="0" w:color="auto"/>
            </w:tcBorders>
            <w:shd w:val="clear" w:color="000000" w:fill="FFFFFF"/>
            <w:noWrap/>
            <w:vAlign w:val="bottom"/>
          </w:tcPr>
          <w:p w14:paraId="38746C53" w14:textId="2B6C2C23" w:rsidR="00705A0C" w:rsidRPr="002634C3" w:rsidRDefault="00024CCB" w:rsidP="00AA12E3">
            <w:pPr>
              <w:jc w:val="center"/>
              <w:rPr>
                <w:color w:val="000000"/>
                <w:sz w:val="21"/>
                <w:szCs w:val="21"/>
                <w:lang w:eastAsia="es-ES"/>
              </w:rPr>
            </w:pPr>
            <w:r w:rsidRPr="002634C3">
              <w:rPr>
                <w:color w:val="000000"/>
                <w:sz w:val="21"/>
                <w:szCs w:val="21"/>
                <w:lang w:eastAsia="es-ES"/>
              </w:rPr>
              <w:t>12.702</w:t>
            </w:r>
          </w:p>
        </w:tc>
        <w:tc>
          <w:tcPr>
            <w:tcW w:w="1131" w:type="dxa"/>
            <w:tcBorders>
              <w:top w:val="nil"/>
              <w:left w:val="nil"/>
              <w:bottom w:val="single" w:sz="4" w:space="0" w:color="auto"/>
              <w:right w:val="single" w:sz="4" w:space="0" w:color="auto"/>
            </w:tcBorders>
            <w:shd w:val="clear" w:color="000000" w:fill="FFFFFF"/>
            <w:noWrap/>
            <w:vAlign w:val="bottom"/>
          </w:tcPr>
          <w:p w14:paraId="656C7B80" w14:textId="0D6298EF" w:rsidR="00705A0C" w:rsidRPr="002634C3" w:rsidRDefault="00024CCB" w:rsidP="00AA12E3">
            <w:pPr>
              <w:jc w:val="center"/>
              <w:rPr>
                <w:color w:val="000000"/>
                <w:sz w:val="21"/>
                <w:szCs w:val="21"/>
                <w:lang w:eastAsia="es-ES"/>
              </w:rPr>
            </w:pPr>
            <w:r w:rsidRPr="002634C3">
              <w:rPr>
                <w:color w:val="000000"/>
                <w:sz w:val="21"/>
                <w:szCs w:val="21"/>
                <w:lang w:eastAsia="es-ES"/>
              </w:rPr>
              <w:t>9,78</w:t>
            </w:r>
          </w:p>
        </w:tc>
      </w:tr>
      <w:tr w:rsidR="00322FCA" w:rsidRPr="002634C3" w14:paraId="0D19DA38" w14:textId="77777777" w:rsidTr="00024CCB">
        <w:trPr>
          <w:trHeight w:val="198"/>
        </w:trPr>
        <w:tc>
          <w:tcPr>
            <w:tcW w:w="1256" w:type="dxa"/>
            <w:tcBorders>
              <w:top w:val="nil"/>
              <w:left w:val="single" w:sz="4" w:space="0" w:color="auto"/>
              <w:bottom w:val="single" w:sz="4" w:space="0" w:color="auto"/>
              <w:right w:val="single" w:sz="4" w:space="0" w:color="auto"/>
            </w:tcBorders>
            <w:noWrap/>
            <w:vAlign w:val="bottom"/>
            <w:hideMark/>
          </w:tcPr>
          <w:p w14:paraId="36F65E9D" w14:textId="77777777" w:rsidR="00705A0C" w:rsidRPr="002634C3" w:rsidRDefault="00705A0C" w:rsidP="00AA12E3">
            <w:pPr>
              <w:jc w:val="left"/>
              <w:rPr>
                <w:color w:val="000000"/>
                <w:sz w:val="21"/>
                <w:szCs w:val="21"/>
                <w:lang w:eastAsia="es-ES"/>
              </w:rPr>
            </w:pPr>
            <w:r w:rsidRPr="002634C3">
              <w:rPr>
                <w:color w:val="000000"/>
                <w:sz w:val="21"/>
                <w:szCs w:val="21"/>
                <w:lang w:eastAsia="es-ES"/>
              </w:rPr>
              <w:t>Garbanzos</w:t>
            </w:r>
          </w:p>
        </w:tc>
        <w:tc>
          <w:tcPr>
            <w:tcW w:w="936" w:type="dxa"/>
            <w:tcBorders>
              <w:top w:val="nil"/>
              <w:left w:val="nil"/>
              <w:bottom w:val="single" w:sz="4" w:space="0" w:color="auto"/>
              <w:right w:val="single" w:sz="4" w:space="0" w:color="auto"/>
            </w:tcBorders>
            <w:shd w:val="clear" w:color="000000" w:fill="FFFFFF"/>
            <w:noWrap/>
            <w:vAlign w:val="bottom"/>
            <w:hideMark/>
          </w:tcPr>
          <w:p w14:paraId="24986D2D" w14:textId="33818B90" w:rsidR="00705A0C" w:rsidRPr="002634C3" w:rsidRDefault="00705A0C" w:rsidP="00AA12E3">
            <w:pPr>
              <w:jc w:val="center"/>
              <w:rPr>
                <w:color w:val="000000"/>
                <w:sz w:val="21"/>
                <w:szCs w:val="21"/>
                <w:lang w:eastAsia="es-ES"/>
              </w:rPr>
            </w:pPr>
            <w:r w:rsidRPr="002634C3">
              <w:rPr>
                <w:color w:val="000000"/>
                <w:sz w:val="21"/>
                <w:szCs w:val="21"/>
                <w:lang w:eastAsia="es-ES"/>
              </w:rPr>
              <w:t>19.881</w:t>
            </w:r>
          </w:p>
        </w:tc>
        <w:tc>
          <w:tcPr>
            <w:tcW w:w="936" w:type="dxa"/>
            <w:tcBorders>
              <w:top w:val="nil"/>
              <w:left w:val="nil"/>
              <w:bottom w:val="single" w:sz="4" w:space="0" w:color="auto"/>
              <w:right w:val="single" w:sz="4" w:space="0" w:color="auto"/>
            </w:tcBorders>
            <w:shd w:val="clear" w:color="000000" w:fill="FFFFFF"/>
            <w:noWrap/>
            <w:vAlign w:val="bottom"/>
            <w:hideMark/>
          </w:tcPr>
          <w:p w14:paraId="06A11D69" w14:textId="73C45461" w:rsidR="00705A0C" w:rsidRPr="002634C3" w:rsidRDefault="00705A0C" w:rsidP="00AA12E3">
            <w:pPr>
              <w:jc w:val="center"/>
              <w:rPr>
                <w:color w:val="000000"/>
                <w:sz w:val="21"/>
                <w:szCs w:val="21"/>
                <w:lang w:eastAsia="es-ES"/>
              </w:rPr>
            </w:pPr>
            <w:r w:rsidRPr="002634C3">
              <w:rPr>
                <w:color w:val="000000"/>
                <w:sz w:val="21"/>
                <w:szCs w:val="21"/>
                <w:lang w:eastAsia="es-ES"/>
              </w:rPr>
              <w:t>29.861</w:t>
            </w:r>
          </w:p>
        </w:tc>
        <w:tc>
          <w:tcPr>
            <w:tcW w:w="946" w:type="dxa"/>
            <w:tcBorders>
              <w:top w:val="nil"/>
              <w:left w:val="nil"/>
              <w:bottom w:val="single" w:sz="4" w:space="0" w:color="auto"/>
              <w:right w:val="single" w:sz="4" w:space="0" w:color="auto"/>
            </w:tcBorders>
            <w:shd w:val="clear" w:color="000000" w:fill="FFFFFF"/>
            <w:noWrap/>
            <w:vAlign w:val="bottom"/>
            <w:hideMark/>
          </w:tcPr>
          <w:p w14:paraId="6DF1F240" w14:textId="64B61CD1" w:rsidR="00705A0C" w:rsidRPr="002634C3" w:rsidRDefault="00705A0C" w:rsidP="00AA12E3">
            <w:pPr>
              <w:jc w:val="center"/>
              <w:rPr>
                <w:color w:val="000000"/>
                <w:sz w:val="21"/>
                <w:szCs w:val="21"/>
                <w:lang w:eastAsia="es-ES"/>
              </w:rPr>
            </w:pPr>
            <w:r w:rsidRPr="002634C3">
              <w:rPr>
                <w:color w:val="000000"/>
                <w:sz w:val="21"/>
                <w:szCs w:val="21"/>
                <w:lang w:eastAsia="es-ES"/>
              </w:rPr>
              <w:t>20.</w:t>
            </w:r>
            <w:r w:rsidR="00FE0598" w:rsidRPr="002634C3">
              <w:rPr>
                <w:color w:val="000000"/>
                <w:sz w:val="21"/>
                <w:szCs w:val="21"/>
                <w:lang w:eastAsia="es-ES"/>
              </w:rPr>
              <w:t>445</w:t>
            </w:r>
          </w:p>
        </w:tc>
        <w:tc>
          <w:tcPr>
            <w:tcW w:w="888" w:type="dxa"/>
            <w:tcBorders>
              <w:top w:val="nil"/>
              <w:left w:val="nil"/>
              <w:bottom w:val="single" w:sz="4" w:space="0" w:color="auto"/>
              <w:right w:val="single" w:sz="4" w:space="0" w:color="auto"/>
            </w:tcBorders>
            <w:shd w:val="clear" w:color="000000" w:fill="FFFFFF"/>
            <w:noWrap/>
            <w:vAlign w:val="bottom"/>
          </w:tcPr>
          <w:p w14:paraId="75E7686C" w14:textId="4DED068D" w:rsidR="00705A0C" w:rsidRPr="002634C3" w:rsidRDefault="0077615B" w:rsidP="00AA12E3">
            <w:pPr>
              <w:jc w:val="center"/>
              <w:rPr>
                <w:color w:val="000000"/>
                <w:sz w:val="21"/>
                <w:szCs w:val="21"/>
                <w:lang w:eastAsia="es-ES"/>
              </w:rPr>
            </w:pPr>
            <w:r w:rsidRPr="002634C3">
              <w:rPr>
                <w:color w:val="000000"/>
                <w:sz w:val="21"/>
                <w:szCs w:val="21"/>
                <w:lang w:eastAsia="es-ES"/>
              </w:rPr>
              <w:t>-31,53</w:t>
            </w:r>
          </w:p>
        </w:tc>
        <w:tc>
          <w:tcPr>
            <w:tcW w:w="1056" w:type="dxa"/>
            <w:tcBorders>
              <w:top w:val="nil"/>
              <w:left w:val="nil"/>
              <w:bottom w:val="single" w:sz="4" w:space="0" w:color="auto"/>
              <w:right w:val="single" w:sz="4" w:space="0" w:color="auto"/>
            </w:tcBorders>
            <w:shd w:val="clear" w:color="000000" w:fill="FFFFFF"/>
            <w:noWrap/>
            <w:vAlign w:val="bottom"/>
            <w:hideMark/>
          </w:tcPr>
          <w:p w14:paraId="499DFC15" w14:textId="3B6750AF" w:rsidR="00705A0C" w:rsidRPr="002634C3" w:rsidRDefault="00705A0C" w:rsidP="00AA12E3">
            <w:pPr>
              <w:jc w:val="center"/>
              <w:rPr>
                <w:color w:val="000000"/>
                <w:sz w:val="21"/>
                <w:szCs w:val="21"/>
                <w:lang w:eastAsia="es-ES"/>
              </w:rPr>
            </w:pPr>
            <w:r w:rsidRPr="002634C3">
              <w:rPr>
                <w:color w:val="000000"/>
                <w:sz w:val="21"/>
                <w:szCs w:val="21"/>
                <w:lang w:eastAsia="es-ES"/>
              </w:rPr>
              <w:t>16</w:t>
            </w:r>
            <w:r w:rsidR="003A3B64" w:rsidRPr="002634C3">
              <w:rPr>
                <w:color w:val="000000"/>
                <w:sz w:val="21"/>
                <w:szCs w:val="21"/>
                <w:lang w:eastAsia="es-ES"/>
              </w:rPr>
              <w:t>.</w:t>
            </w:r>
            <w:r w:rsidRPr="002634C3">
              <w:rPr>
                <w:color w:val="000000"/>
                <w:sz w:val="21"/>
                <w:szCs w:val="21"/>
                <w:lang w:eastAsia="es-ES"/>
              </w:rPr>
              <w:t>158</w:t>
            </w:r>
          </w:p>
        </w:tc>
        <w:tc>
          <w:tcPr>
            <w:tcW w:w="936" w:type="dxa"/>
            <w:tcBorders>
              <w:top w:val="nil"/>
              <w:left w:val="nil"/>
              <w:bottom w:val="single" w:sz="4" w:space="0" w:color="auto"/>
              <w:right w:val="single" w:sz="4" w:space="0" w:color="auto"/>
            </w:tcBorders>
            <w:shd w:val="clear" w:color="000000" w:fill="FFFFFF"/>
            <w:noWrap/>
            <w:vAlign w:val="bottom"/>
            <w:hideMark/>
          </w:tcPr>
          <w:p w14:paraId="4CDC8D6A" w14:textId="3B3E5B9E" w:rsidR="00705A0C" w:rsidRPr="002634C3" w:rsidRDefault="00705A0C" w:rsidP="00AA12E3">
            <w:pPr>
              <w:jc w:val="center"/>
              <w:rPr>
                <w:color w:val="000000"/>
                <w:sz w:val="21"/>
                <w:szCs w:val="21"/>
                <w:lang w:eastAsia="es-ES"/>
              </w:rPr>
            </w:pPr>
            <w:r w:rsidRPr="002634C3">
              <w:rPr>
                <w:color w:val="000000"/>
                <w:sz w:val="21"/>
                <w:szCs w:val="21"/>
                <w:lang w:eastAsia="es-ES"/>
              </w:rPr>
              <w:t>27</w:t>
            </w:r>
            <w:r w:rsidR="003A3B64" w:rsidRPr="002634C3">
              <w:rPr>
                <w:color w:val="000000"/>
                <w:sz w:val="21"/>
                <w:szCs w:val="21"/>
                <w:lang w:eastAsia="es-ES"/>
              </w:rPr>
              <w:t>.</w:t>
            </w:r>
            <w:r w:rsidRPr="002634C3">
              <w:rPr>
                <w:color w:val="000000"/>
                <w:sz w:val="21"/>
                <w:szCs w:val="21"/>
                <w:lang w:eastAsia="es-ES"/>
              </w:rPr>
              <w:t>062</w:t>
            </w:r>
          </w:p>
        </w:tc>
        <w:tc>
          <w:tcPr>
            <w:tcW w:w="936" w:type="dxa"/>
            <w:tcBorders>
              <w:top w:val="nil"/>
              <w:left w:val="nil"/>
              <w:bottom w:val="single" w:sz="4" w:space="0" w:color="auto"/>
              <w:right w:val="single" w:sz="4" w:space="0" w:color="auto"/>
            </w:tcBorders>
            <w:shd w:val="clear" w:color="000000" w:fill="FFFFFF"/>
            <w:noWrap/>
            <w:vAlign w:val="bottom"/>
          </w:tcPr>
          <w:p w14:paraId="442A08E7" w14:textId="573AA270" w:rsidR="00705A0C" w:rsidRPr="002634C3" w:rsidRDefault="00024CCB" w:rsidP="00AA12E3">
            <w:pPr>
              <w:jc w:val="center"/>
              <w:rPr>
                <w:color w:val="000000"/>
                <w:sz w:val="21"/>
                <w:szCs w:val="21"/>
                <w:lang w:eastAsia="es-ES"/>
              </w:rPr>
            </w:pPr>
            <w:r w:rsidRPr="002634C3">
              <w:rPr>
                <w:color w:val="000000"/>
                <w:sz w:val="21"/>
                <w:szCs w:val="21"/>
                <w:lang w:eastAsia="es-ES"/>
              </w:rPr>
              <w:t>18.580</w:t>
            </w:r>
          </w:p>
        </w:tc>
        <w:tc>
          <w:tcPr>
            <w:tcW w:w="1131" w:type="dxa"/>
            <w:tcBorders>
              <w:top w:val="nil"/>
              <w:left w:val="nil"/>
              <w:bottom w:val="single" w:sz="4" w:space="0" w:color="auto"/>
              <w:right w:val="single" w:sz="4" w:space="0" w:color="auto"/>
            </w:tcBorders>
            <w:shd w:val="clear" w:color="000000" w:fill="FFFFFF"/>
            <w:noWrap/>
            <w:vAlign w:val="bottom"/>
          </w:tcPr>
          <w:p w14:paraId="1BA46741" w14:textId="76BD7196" w:rsidR="00705A0C" w:rsidRPr="002634C3" w:rsidRDefault="00024CCB" w:rsidP="00AA12E3">
            <w:pPr>
              <w:jc w:val="center"/>
              <w:rPr>
                <w:color w:val="000000"/>
                <w:sz w:val="21"/>
                <w:szCs w:val="21"/>
                <w:lang w:eastAsia="es-ES"/>
              </w:rPr>
            </w:pPr>
            <w:r w:rsidRPr="002634C3">
              <w:rPr>
                <w:color w:val="000000"/>
                <w:sz w:val="21"/>
                <w:szCs w:val="21"/>
                <w:lang w:eastAsia="es-ES"/>
              </w:rPr>
              <w:t>-31,34</w:t>
            </w:r>
          </w:p>
        </w:tc>
      </w:tr>
      <w:tr w:rsidR="00322FCA" w:rsidRPr="002634C3" w14:paraId="23993A02" w14:textId="77777777" w:rsidTr="00024CCB">
        <w:trPr>
          <w:trHeight w:val="198"/>
        </w:trPr>
        <w:tc>
          <w:tcPr>
            <w:tcW w:w="1256" w:type="dxa"/>
            <w:tcBorders>
              <w:top w:val="nil"/>
              <w:left w:val="single" w:sz="4" w:space="0" w:color="auto"/>
              <w:bottom w:val="single" w:sz="4" w:space="0" w:color="auto"/>
              <w:right w:val="single" w:sz="4" w:space="0" w:color="auto"/>
            </w:tcBorders>
            <w:noWrap/>
            <w:vAlign w:val="bottom"/>
            <w:hideMark/>
          </w:tcPr>
          <w:p w14:paraId="33D55343" w14:textId="0F049680" w:rsidR="00705A0C" w:rsidRPr="002634C3" w:rsidRDefault="00705A0C" w:rsidP="00AA12E3">
            <w:pPr>
              <w:jc w:val="left"/>
              <w:rPr>
                <w:color w:val="000000"/>
                <w:sz w:val="21"/>
                <w:szCs w:val="21"/>
                <w:lang w:eastAsia="es-ES"/>
              </w:rPr>
            </w:pPr>
            <w:r w:rsidRPr="002634C3">
              <w:rPr>
                <w:color w:val="000000"/>
                <w:sz w:val="21"/>
                <w:szCs w:val="21"/>
                <w:lang w:eastAsia="es-ES"/>
              </w:rPr>
              <w:t>Guisante</w:t>
            </w:r>
            <w:r w:rsidR="00322FCA" w:rsidRPr="002634C3">
              <w:rPr>
                <w:color w:val="000000"/>
                <w:sz w:val="21"/>
                <w:szCs w:val="21"/>
                <w:lang w:eastAsia="es-ES"/>
              </w:rPr>
              <w:t xml:space="preserve">s </w:t>
            </w:r>
            <w:r w:rsidRPr="002634C3">
              <w:rPr>
                <w:color w:val="000000"/>
                <w:sz w:val="21"/>
                <w:szCs w:val="21"/>
                <w:lang w:eastAsia="es-ES"/>
              </w:rPr>
              <w:t>seco</w:t>
            </w:r>
            <w:r w:rsidR="00322FCA" w:rsidRPr="002634C3">
              <w:rPr>
                <w:color w:val="000000"/>
                <w:sz w:val="21"/>
                <w:szCs w:val="21"/>
                <w:lang w:eastAsia="es-ES"/>
              </w:rPr>
              <w:t>s</w:t>
            </w:r>
          </w:p>
        </w:tc>
        <w:tc>
          <w:tcPr>
            <w:tcW w:w="936" w:type="dxa"/>
            <w:tcBorders>
              <w:top w:val="nil"/>
              <w:left w:val="nil"/>
              <w:bottom w:val="single" w:sz="4" w:space="0" w:color="auto"/>
              <w:right w:val="single" w:sz="4" w:space="0" w:color="auto"/>
            </w:tcBorders>
            <w:shd w:val="clear" w:color="000000" w:fill="FFFFFF"/>
            <w:noWrap/>
            <w:vAlign w:val="bottom"/>
            <w:hideMark/>
          </w:tcPr>
          <w:p w14:paraId="19E7FEAB" w14:textId="0BD3F4F3" w:rsidR="00705A0C" w:rsidRPr="002634C3" w:rsidRDefault="00705A0C" w:rsidP="00AA12E3">
            <w:pPr>
              <w:jc w:val="center"/>
              <w:rPr>
                <w:color w:val="000000"/>
                <w:sz w:val="21"/>
                <w:szCs w:val="21"/>
                <w:lang w:eastAsia="es-ES"/>
              </w:rPr>
            </w:pPr>
            <w:r w:rsidRPr="002634C3">
              <w:rPr>
                <w:color w:val="000000"/>
                <w:sz w:val="21"/>
                <w:szCs w:val="21"/>
                <w:lang w:eastAsia="es-ES"/>
              </w:rPr>
              <w:t>81.212</w:t>
            </w:r>
          </w:p>
        </w:tc>
        <w:tc>
          <w:tcPr>
            <w:tcW w:w="936" w:type="dxa"/>
            <w:tcBorders>
              <w:top w:val="nil"/>
              <w:left w:val="nil"/>
              <w:bottom w:val="single" w:sz="4" w:space="0" w:color="auto"/>
              <w:right w:val="single" w:sz="4" w:space="0" w:color="auto"/>
            </w:tcBorders>
            <w:shd w:val="clear" w:color="000000" w:fill="FFFFFF"/>
            <w:noWrap/>
            <w:vAlign w:val="bottom"/>
            <w:hideMark/>
          </w:tcPr>
          <w:p w14:paraId="7421AAFA" w14:textId="4DE5F11E" w:rsidR="00705A0C" w:rsidRPr="002634C3" w:rsidRDefault="00705A0C" w:rsidP="00AA12E3">
            <w:pPr>
              <w:jc w:val="center"/>
              <w:rPr>
                <w:color w:val="000000"/>
                <w:sz w:val="21"/>
                <w:szCs w:val="21"/>
                <w:lang w:eastAsia="es-ES"/>
              </w:rPr>
            </w:pPr>
            <w:r w:rsidRPr="002634C3">
              <w:rPr>
                <w:color w:val="000000"/>
                <w:sz w:val="21"/>
                <w:szCs w:val="21"/>
                <w:lang w:eastAsia="es-ES"/>
              </w:rPr>
              <w:t>55.410</w:t>
            </w:r>
          </w:p>
        </w:tc>
        <w:tc>
          <w:tcPr>
            <w:tcW w:w="946" w:type="dxa"/>
            <w:tcBorders>
              <w:top w:val="nil"/>
              <w:left w:val="nil"/>
              <w:bottom w:val="single" w:sz="4" w:space="0" w:color="auto"/>
              <w:right w:val="single" w:sz="4" w:space="0" w:color="auto"/>
            </w:tcBorders>
            <w:shd w:val="clear" w:color="000000" w:fill="FFFFFF"/>
            <w:noWrap/>
            <w:vAlign w:val="bottom"/>
            <w:hideMark/>
          </w:tcPr>
          <w:p w14:paraId="4AA93640" w14:textId="63F42551" w:rsidR="00705A0C" w:rsidRPr="002634C3" w:rsidRDefault="00705A0C" w:rsidP="00AA12E3">
            <w:pPr>
              <w:jc w:val="center"/>
              <w:rPr>
                <w:color w:val="000000"/>
                <w:sz w:val="21"/>
                <w:szCs w:val="21"/>
                <w:lang w:eastAsia="es-ES"/>
              </w:rPr>
            </w:pPr>
            <w:r w:rsidRPr="002634C3">
              <w:rPr>
                <w:color w:val="000000"/>
                <w:sz w:val="21"/>
                <w:szCs w:val="21"/>
                <w:lang w:eastAsia="es-ES"/>
              </w:rPr>
              <w:t>51.</w:t>
            </w:r>
            <w:r w:rsidR="00FE0598" w:rsidRPr="002634C3">
              <w:rPr>
                <w:color w:val="000000"/>
                <w:sz w:val="21"/>
                <w:szCs w:val="21"/>
                <w:lang w:eastAsia="es-ES"/>
              </w:rPr>
              <w:t>538</w:t>
            </w:r>
          </w:p>
        </w:tc>
        <w:tc>
          <w:tcPr>
            <w:tcW w:w="888" w:type="dxa"/>
            <w:tcBorders>
              <w:top w:val="nil"/>
              <w:left w:val="nil"/>
              <w:bottom w:val="single" w:sz="4" w:space="0" w:color="auto"/>
              <w:right w:val="single" w:sz="4" w:space="0" w:color="auto"/>
            </w:tcBorders>
            <w:shd w:val="clear" w:color="000000" w:fill="FFFFFF"/>
            <w:noWrap/>
            <w:vAlign w:val="bottom"/>
          </w:tcPr>
          <w:p w14:paraId="589311C9" w14:textId="7657F3FD" w:rsidR="00705A0C" w:rsidRPr="002634C3" w:rsidRDefault="0077615B" w:rsidP="00AA12E3">
            <w:pPr>
              <w:jc w:val="center"/>
              <w:rPr>
                <w:color w:val="000000"/>
                <w:sz w:val="21"/>
                <w:szCs w:val="21"/>
                <w:lang w:eastAsia="es-ES"/>
              </w:rPr>
            </w:pPr>
            <w:r w:rsidRPr="002634C3">
              <w:rPr>
                <w:color w:val="000000"/>
                <w:sz w:val="21"/>
                <w:szCs w:val="21"/>
                <w:lang w:eastAsia="es-ES"/>
              </w:rPr>
              <w:t>-6,99</w:t>
            </w:r>
          </w:p>
        </w:tc>
        <w:tc>
          <w:tcPr>
            <w:tcW w:w="1056" w:type="dxa"/>
            <w:tcBorders>
              <w:top w:val="nil"/>
              <w:left w:val="nil"/>
              <w:bottom w:val="single" w:sz="4" w:space="0" w:color="auto"/>
              <w:right w:val="single" w:sz="4" w:space="0" w:color="auto"/>
            </w:tcBorders>
            <w:shd w:val="clear" w:color="000000" w:fill="FFFFFF"/>
            <w:noWrap/>
            <w:vAlign w:val="bottom"/>
            <w:hideMark/>
          </w:tcPr>
          <w:p w14:paraId="1D1E3260" w14:textId="058F2F1B" w:rsidR="00705A0C" w:rsidRPr="002634C3" w:rsidRDefault="00705A0C" w:rsidP="00AA12E3">
            <w:pPr>
              <w:jc w:val="center"/>
              <w:rPr>
                <w:color w:val="000000"/>
                <w:sz w:val="21"/>
                <w:szCs w:val="21"/>
                <w:lang w:eastAsia="es-ES"/>
              </w:rPr>
            </w:pPr>
            <w:r w:rsidRPr="002634C3">
              <w:rPr>
                <w:color w:val="000000"/>
                <w:sz w:val="21"/>
                <w:szCs w:val="21"/>
                <w:lang w:eastAsia="es-ES"/>
              </w:rPr>
              <w:t>37</w:t>
            </w:r>
            <w:r w:rsidR="003A3B64" w:rsidRPr="002634C3">
              <w:rPr>
                <w:color w:val="000000"/>
                <w:sz w:val="21"/>
                <w:szCs w:val="21"/>
                <w:lang w:eastAsia="es-ES"/>
              </w:rPr>
              <w:t>.</w:t>
            </w:r>
            <w:r w:rsidRPr="002634C3">
              <w:rPr>
                <w:color w:val="000000"/>
                <w:sz w:val="21"/>
                <w:szCs w:val="21"/>
                <w:lang w:eastAsia="es-ES"/>
              </w:rPr>
              <w:t>973</w:t>
            </w:r>
          </w:p>
        </w:tc>
        <w:tc>
          <w:tcPr>
            <w:tcW w:w="936" w:type="dxa"/>
            <w:tcBorders>
              <w:top w:val="nil"/>
              <w:left w:val="nil"/>
              <w:bottom w:val="single" w:sz="4" w:space="0" w:color="auto"/>
              <w:right w:val="single" w:sz="4" w:space="0" w:color="auto"/>
            </w:tcBorders>
            <w:shd w:val="clear" w:color="000000" w:fill="FFFFFF"/>
            <w:noWrap/>
            <w:vAlign w:val="bottom"/>
            <w:hideMark/>
          </w:tcPr>
          <w:p w14:paraId="2A7F44FF" w14:textId="624D9590" w:rsidR="00705A0C" w:rsidRPr="002634C3" w:rsidRDefault="00705A0C" w:rsidP="00AA12E3">
            <w:pPr>
              <w:jc w:val="center"/>
              <w:rPr>
                <w:color w:val="000000"/>
                <w:sz w:val="21"/>
                <w:szCs w:val="21"/>
                <w:lang w:eastAsia="es-ES"/>
              </w:rPr>
            </w:pPr>
            <w:r w:rsidRPr="002634C3">
              <w:rPr>
                <w:color w:val="000000"/>
                <w:sz w:val="21"/>
                <w:szCs w:val="21"/>
                <w:lang w:eastAsia="es-ES"/>
              </w:rPr>
              <w:t>87</w:t>
            </w:r>
            <w:r w:rsidR="003A3B64" w:rsidRPr="002634C3">
              <w:rPr>
                <w:color w:val="000000"/>
                <w:sz w:val="21"/>
                <w:szCs w:val="21"/>
                <w:lang w:eastAsia="es-ES"/>
              </w:rPr>
              <w:t>.</w:t>
            </w:r>
            <w:r w:rsidRPr="002634C3">
              <w:rPr>
                <w:color w:val="000000"/>
                <w:sz w:val="21"/>
                <w:szCs w:val="21"/>
                <w:lang w:eastAsia="es-ES"/>
              </w:rPr>
              <w:t>405</w:t>
            </w:r>
          </w:p>
        </w:tc>
        <w:tc>
          <w:tcPr>
            <w:tcW w:w="936" w:type="dxa"/>
            <w:tcBorders>
              <w:top w:val="nil"/>
              <w:left w:val="nil"/>
              <w:bottom w:val="single" w:sz="4" w:space="0" w:color="auto"/>
              <w:right w:val="single" w:sz="4" w:space="0" w:color="auto"/>
            </w:tcBorders>
            <w:shd w:val="clear" w:color="000000" w:fill="FFFFFF"/>
            <w:noWrap/>
            <w:vAlign w:val="bottom"/>
          </w:tcPr>
          <w:p w14:paraId="6F86C659" w14:textId="71DFAF8B" w:rsidR="00705A0C" w:rsidRPr="002634C3" w:rsidRDefault="00024CCB" w:rsidP="00AA12E3">
            <w:pPr>
              <w:jc w:val="center"/>
              <w:rPr>
                <w:color w:val="000000"/>
                <w:sz w:val="21"/>
                <w:szCs w:val="21"/>
                <w:lang w:eastAsia="es-ES"/>
              </w:rPr>
            </w:pPr>
            <w:r w:rsidRPr="002634C3">
              <w:rPr>
                <w:color w:val="000000"/>
                <w:sz w:val="21"/>
                <w:szCs w:val="21"/>
                <w:lang w:eastAsia="es-ES"/>
              </w:rPr>
              <w:t>112.916</w:t>
            </w:r>
          </w:p>
        </w:tc>
        <w:tc>
          <w:tcPr>
            <w:tcW w:w="1131" w:type="dxa"/>
            <w:tcBorders>
              <w:top w:val="nil"/>
              <w:left w:val="nil"/>
              <w:bottom w:val="single" w:sz="4" w:space="0" w:color="auto"/>
              <w:right w:val="single" w:sz="4" w:space="0" w:color="auto"/>
            </w:tcBorders>
            <w:shd w:val="clear" w:color="000000" w:fill="FFFFFF"/>
            <w:noWrap/>
            <w:vAlign w:val="bottom"/>
          </w:tcPr>
          <w:p w14:paraId="20742AC3" w14:textId="0285CF39" w:rsidR="00705A0C" w:rsidRPr="002634C3" w:rsidRDefault="00024CCB" w:rsidP="00AA12E3">
            <w:pPr>
              <w:jc w:val="center"/>
              <w:rPr>
                <w:color w:val="000000"/>
                <w:sz w:val="21"/>
                <w:szCs w:val="21"/>
                <w:lang w:eastAsia="es-ES"/>
              </w:rPr>
            </w:pPr>
            <w:r w:rsidRPr="002634C3">
              <w:rPr>
                <w:color w:val="000000"/>
                <w:sz w:val="21"/>
                <w:szCs w:val="21"/>
                <w:lang w:eastAsia="es-ES"/>
              </w:rPr>
              <w:t>29,19</w:t>
            </w:r>
          </w:p>
        </w:tc>
      </w:tr>
      <w:tr w:rsidR="00322FCA" w:rsidRPr="002634C3" w14:paraId="2B1CBA39" w14:textId="77777777" w:rsidTr="00024CCB">
        <w:trPr>
          <w:trHeight w:val="198"/>
        </w:trPr>
        <w:tc>
          <w:tcPr>
            <w:tcW w:w="1256" w:type="dxa"/>
            <w:tcBorders>
              <w:top w:val="nil"/>
              <w:left w:val="single" w:sz="4" w:space="0" w:color="auto"/>
              <w:bottom w:val="single" w:sz="4" w:space="0" w:color="auto"/>
              <w:right w:val="single" w:sz="4" w:space="0" w:color="auto"/>
            </w:tcBorders>
            <w:noWrap/>
            <w:vAlign w:val="bottom"/>
            <w:hideMark/>
          </w:tcPr>
          <w:p w14:paraId="485316EC" w14:textId="77777777" w:rsidR="00705A0C" w:rsidRPr="002634C3" w:rsidRDefault="00705A0C" w:rsidP="00AA12E3">
            <w:pPr>
              <w:jc w:val="left"/>
              <w:rPr>
                <w:color w:val="000000"/>
                <w:sz w:val="21"/>
                <w:szCs w:val="21"/>
                <w:lang w:eastAsia="es-ES"/>
              </w:rPr>
            </w:pPr>
            <w:r w:rsidRPr="002634C3">
              <w:rPr>
                <w:color w:val="000000"/>
                <w:sz w:val="21"/>
                <w:szCs w:val="21"/>
                <w:lang w:eastAsia="es-ES"/>
              </w:rPr>
              <w:t>Veza</w:t>
            </w:r>
          </w:p>
        </w:tc>
        <w:tc>
          <w:tcPr>
            <w:tcW w:w="936" w:type="dxa"/>
            <w:tcBorders>
              <w:top w:val="nil"/>
              <w:left w:val="nil"/>
              <w:bottom w:val="single" w:sz="4" w:space="0" w:color="auto"/>
              <w:right w:val="single" w:sz="4" w:space="0" w:color="auto"/>
            </w:tcBorders>
            <w:shd w:val="clear" w:color="000000" w:fill="FFFFFF"/>
            <w:noWrap/>
            <w:vAlign w:val="bottom"/>
            <w:hideMark/>
          </w:tcPr>
          <w:p w14:paraId="36A33E6A" w14:textId="5D68B563" w:rsidR="00705A0C" w:rsidRPr="002634C3" w:rsidRDefault="00705A0C" w:rsidP="00AA12E3">
            <w:pPr>
              <w:jc w:val="center"/>
              <w:rPr>
                <w:color w:val="000000"/>
                <w:sz w:val="21"/>
                <w:szCs w:val="21"/>
                <w:lang w:eastAsia="es-ES"/>
              </w:rPr>
            </w:pPr>
            <w:r w:rsidRPr="002634C3">
              <w:rPr>
                <w:color w:val="000000"/>
                <w:sz w:val="21"/>
                <w:szCs w:val="21"/>
                <w:lang w:eastAsia="es-ES"/>
              </w:rPr>
              <w:t>38.534</w:t>
            </w:r>
          </w:p>
        </w:tc>
        <w:tc>
          <w:tcPr>
            <w:tcW w:w="936" w:type="dxa"/>
            <w:tcBorders>
              <w:top w:val="nil"/>
              <w:left w:val="nil"/>
              <w:bottom w:val="single" w:sz="4" w:space="0" w:color="auto"/>
              <w:right w:val="single" w:sz="4" w:space="0" w:color="auto"/>
            </w:tcBorders>
            <w:shd w:val="clear" w:color="000000" w:fill="FFFFFF"/>
            <w:noWrap/>
            <w:vAlign w:val="bottom"/>
            <w:hideMark/>
          </w:tcPr>
          <w:p w14:paraId="2F9E4AD1" w14:textId="095FEAB0" w:rsidR="00705A0C" w:rsidRPr="002634C3" w:rsidRDefault="00705A0C" w:rsidP="00AA12E3">
            <w:pPr>
              <w:jc w:val="center"/>
              <w:rPr>
                <w:color w:val="000000"/>
                <w:sz w:val="21"/>
                <w:szCs w:val="21"/>
                <w:lang w:eastAsia="es-ES"/>
              </w:rPr>
            </w:pPr>
            <w:r w:rsidRPr="002634C3">
              <w:rPr>
                <w:color w:val="000000"/>
                <w:sz w:val="21"/>
                <w:szCs w:val="21"/>
                <w:lang w:eastAsia="es-ES"/>
              </w:rPr>
              <w:t>38.859</w:t>
            </w:r>
          </w:p>
        </w:tc>
        <w:tc>
          <w:tcPr>
            <w:tcW w:w="946" w:type="dxa"/>
            <w:tcBorders>
              <w:top w:val="nil"/>
              <w:left w:val="nil"/>
              <w:bottom w:val="single" w:sz="4" w:space="0" w:color="auto"/>
              <w:right w:val="nil"/>
            </w:tcBorders>
            <w:shd w:val="clear" w:color="000000" w:fill="FFFFFF"/>
            <w:noWrap/>
            <w:vAlign w:val="bottom"/>
            <w:hideMark/>
          </w:tcPr>
          <w:p w14:paraId="66A8F363" w14:textId="78B982CD" w:rsidR="00705A0C" w:rsidRPr="002634C3" w:rsidRDefault="00705A0C" w:rsidP="00AA12E3">
            <w:pPr>
              <w:jc w:val="center"/>
              <w:rPr>
                <w:b/>
                <w:bCs/>
                <w:sz w:val="21"/>
                <w:szCs w:val="21"/>
                <w:lang w:eastAsia="es-ES"/>
              </w:rPr>
            </w:pPr>
            <w:r w:rsidRPr="002634C3">
              <w:rPr>
                <w:sz w:val="21"/>
                <w:szCs w:val="21"/>
                <w:lang w:eastAsia="es-ES"/>
              </w:rPr>
              <w:t>4</w:t>
            </w:r>
            <w:r w:rsidR="00FE0598" w:rsidRPr="002634C3">
              <w:rPr>
                <w:sz w:val="21"/>
                <w:szCs w:val="21"/>
                <w:lang w:eastAsia="es-ES"/>
              </w:rPr>
              <w:t>1.802</w:t>
            </w:r>
          </w:p>
        </w:tc>
        <w:tc>
          <w:tcPr>
            <w:tcW w:w="888" w:type="dxa"/>
            <w:tcBorders>
              <w:top w:val="nil"/>
              <w:left w:val="single" w:sz="4" w:space="0" w:color="auto"/>
              <w:bottom w:val="single" w:sz="4" w:space="0" w:color="auto"/>
              <w:right w:val="single" w:sz="4" w:space="0" w:color="auto"/>
            </w:tcBorders>
            <w:shd w:val="clear" w:color="000000" w:fill="FFFFFF"/>
            <w:noWrap/>
            <w:vAlign w:val="bottom"/>
          </w:tcPr>
          <w:p w14:paraId="7A8E1765" w14:textId="0D20B7B5" w:rsidR="00705A0C" w:rsidRPr="002634C3" w:rsidRDefault="0077615B" w:rsidP="00AA12E3">
            <w:pPr>
              <w:jc w:val="center"/>
              <w:rPr>
                <w:color w:val="000000"/>
                <w:sz w:val="21"/>
                <w:szCs w:val="21"/>
                <w:lang w:eastAsia="es-ES"/>
              </w:rPr>
            </w:pPr>
            <w:r w:rsidRPr="002634C3">
              <w:rPr>
                <w:color w:val="000000"/>
                <w:sz w:val="21"/>
                <w:szCs w:val="21"/>
                <w:lang w:eastAsia="es-ES"/>
              </w:rPr>
              <w:t>7,57</w:t>
            </w:r>
          </w:p>
        </w:tc>
        <w:tc>
          <w:tcPr>
            <w:tcW w:w="1056" w:type="dxa"/>
            <w:tcBorders>
              <w:top w:val="nil"/>
              <w:left w:val="nil"/>
              <w:bottom w:val="single" w:sz="4" w:space="0" w:color="auto"/>
              <w:right w:val="single" w:sz="4" w:space="0" w:color="auto"/>
            </w:tcBorders>
            <w:shd w:val="clear" w:color="000000" w:fill="FFFFFF"/>
            <w:noWrap/>
            <w:vAlign w:val="bottom"/>
            <w:hideMark/>
          </w:tcPr>
          <w:p w14:paraId="38247640" w14:textId="610ED701" w:rsidR="00705A0C" w:rsidRPr="002634C3" w:rsidRDefault="00705A0C" w:rsidP="00AA12E3">
            <w:pPr>
              <w:jc w:val="center"/>
              <w:rPr>
                <w:color w:val="000000"/>
                <w:sz w:val="21"/>
                <w:szCs w:val="21"/>
                <w:lang w:eastAsia="es-ES"/>
              </w:rPr>
            </w:pPr>
            <w:r w:rsidRPr="002634C3">
              <w:rPr>
                <w:color w:val="000000"/>
                <w:sz w:val="21"/>
                <w:szCs w:val="21"/>
                <w:lang w:eastAsia="es-ES"/>
              </w:rPr>
              <w:t>17</w:t>
            </w:r>
            <w:r w:rsidR="003A3B64" w:rsidRPr="002634C3">
              <w:rPr>
                <w:color w:val="000000"/>
                <w:sz w:val="21"/>
                <w:szCs w:val="21"/>
                <w:lang w:eastAsia="es-ES"/>
              </w:rPr>
              <w:t>.</w:t>
            </w:r>
            <w:r w:rsidRPr="002634C3">
              <w:rPr>
                <w:color w:val="000000"/>
                <w:sz w:val="21"/>
                <w:szCs w:val="21"/>
                <w:lang w:eastAsia="es-ES"/>
              </w:rPr>
              <w:t>090</w:t>
            </w:r>
          </w:p>
        </w:tc>
        <w:tc>
          <w:tcPr>
            <w:tcW w:w="936" w:type="dxa"/>
            <w:tcBorders>
              <w:top w:val="nil"/>
              <w:left w:val="nil"/>
              <w:bottom w:val="single" w:sz="4" w:space="0" w:color="auto"/>
              <w:right w:val="single" w:sz="4" w:space="0" w:color="auto"/>
            </w:tcBorders>
            <w:shd w:val="clear" w:color="000000" w:fill="FFFFFF"/>
            <w:noWrap/>
            <w:vAlign w:val="bottom"/>
            <w:hideMark/>
          </w:tcPr>
          <w:p w14:paraId="69D95921" w14:textId="556F94FF" w:rsidR="00705A0C" w:rsidRPr="002634C3" w:rsidRDefault="00705A0C" w:rsidP="00AA12E3">
            <w:pPr>
              <w:jc w:val="center"/>
              <w:rPr>
                <w:color w:val="000000"/>
                <w:sz w:val="21"/>
                <w:szCs w:val="21"/>
                <w:lang w:eastAsia="es-ES"/>
              </w:rPr>
            </w:pPr>
            <w:r w:rsidRPr="002634C3">
              <w:rPr>
                <w:color w:val="000000"/>
                <w:sz w:val="21"/>
                <w:szCs w:val="21"/>
                <w:lang w:eastAsia="es-ES"/>
              </w:rPr>
              <w:t>45</w:t>
            </w:r>
            <w:r w:rsidR="003A3B64" w:rsidRPr="002634C3">
              <w:rPr>
                <w:color w:val="000000"/>
                <w:sz w:val="21"/>
                <w:szCs w:val="21"/>
                <w:lang w:eastAsia="es-ES"/>
              </w:rPr>
              <w:t>.</w:t>
            </w:r>
            <w:r w:rsidRPr="002634C3">
              <w:rPr>
                <w:color w:val="000000"/>
                <w:sz w:val="21"/>
                <w:szCs w:val="21"/>
                <w:lang w:eastAsia="es-ES"/>
              </w:rPr>
              <w:t>851</w:t>
            </w:r>
          </w:p>
        </w:tc>
        <w:tc>
          <w:tcPr>
            <w:tcW w:w="936" w:type="dxa"/>
            <w:tcBorders>
              <w:top w:val="nil"/>
              <w:left w:val="nil"/>
              <w:bottom w:val="single" w:sz="4" w:space="0" w:color="auto"/>
              <w:right w:val="single" w:sz="4" w:space="0" w:color="auto"/>
            </w:tcBorders>
            <w:shd w:val="clear" w:color="000000" w:fill="FFFFFF"/>
            <w:noWrap/>
            <w:vAlign w:val="bottom"/>
          </w:tcPr>
          <w:p w14:paraId="523D25B2" w14:textId="69260A90" w:rsidR="00705A0C" w:rsidRPr="002634C3" w:rsidRDefault="00024CCB" w:rsidP="00AA12E3">
            <w:pPr>
              <w:jc w:val="center"/>
              <w:rPr>
                <w:color w:val="000000"/>
                <w:sz w:val="21"/>
                <w:szCs w:val="21"/>
                <w:lang w:eastAsia="es-ES"/>
              </w:rPr>
            </w:pPr>
            <w:r w:rsidRPr="002634C3">
              <w:rPr>
                <w:color w:val="000000"/>
                <w:sz w:val="21"/>
                <w:szCs w:val="21"/>
                <w:lang w:eastAsia="es-ES"/>
              </w:rPr>
              <w:t>46.709</w:t>
            </w:r>
          </w:p>
        </w:tc>
        <w:tc>
          <w:tcPr>
            <w:tcW w:w="1131" w:type="dxa"/>
            <w:tcBorders>
              <w:top w:val="nil"/>
              <w:left w:val="nil"/>
              <w:bottom w:val="single" w:sz="4" w:space="0" w:color="auto"/>
              <w:right w:val="single" w:sz="4" w:space="0" w:color="auto"/>
            </w:tcBorders>
            <w:shd w:val="clear" w:color="000000" w:fill="FFFFFF"/>
            <w:noWrap/>
            <w:vAlign w:val="bottom"/>
          </w:tcPr>
          <w:p w14:paraId="0EDC0E49" w14:textId="165F08A8" w:rsidR="00705A0C" w:rsidRPr="002634C3" w:rsidRDefault="00024CCB" w:rsidP="00AA12E3">
            <w:pPr>
              <w:jc w:val="center"/>
              <w:rPr>
                <w:color w:val="000000"/>
                <w:sz w:val="21"/>
                <w:szCs w:val="21"/>
                <w:lang w:eastAsia="es-ES"/>
              </w:rPr>
            </w:pPr>
            <w:r w:rsidRPr="002634C3">
              <w:rPr>
                <w:color w:val="000000"/>
                <w:sz w:val="21"/>
                <w:szCs w:val="21"/>
                <w:lang w:eastAsia="es-ES"/>
              </w:rPr>
              <w:t>1,87</w:t>
            </w:r>
          </w:p>
        </w:tc>
      </w:tr>
      <w:tr w:rsidR="00322FCA" w:rsidRPr="002634C3" w14:paraId="79124C77" w14:textId="77777777" w:rsidTr="00024CCB">
        <w:trPr>
          <w:trHeight w:val="198"/>
        </w:trPr>
        <w:tc>
          <w:tcPr>
            <w:tcW w:w="1256" w:type="dxa"/>
            <w:tcBorders>
              <w:top w:val="nil"/>
              <w:left w:val="single" w:sz="4" w:space="0" w:color="auto"/>
              <w:bottom w:val="single" w:sz="4" w:space="0" w:color="auto"/>
              <w:right w:val="single" w:sz="4" w:space="0" w:color="auto"/>
            </w:tcBorders>
            <w:noWrap/>
            <w:vAlign w:val="bottom"/>
            <w:hideMark/>
          </w:tcPr>
          <w:p w14:paraId="0820DCED" w14:textId="77777777" w:rsidR="00705A0C" w:rsidRPr="002634C3" w:rsidRDefault="00705A0C" w:rsidP="00AA12E3">
            <w:pPr>
              <w:jc w:val="left"/>
              <w:rPr>
                <w:color w:val="000000"/>
                <w:sz w:val="21"/>
                <w:szCs w:val="21"/>
                <w:lang w:eastAsia="es-ES"/>
              </w:rPr>
            </w:pPr>
            <w:r w:rsidRPr="002634C3">
              <w:rPr>
                <w:color w:val="000000"/>
                <w:sz w:val="21"/>
                <w:szCs w:val="21"/>
                <w:lang w:eastAsia="es-ES"/>
              </w:rPr>
              <w:t>Altramuz dulce</w:t>
            </w:r>
          </w:p>
        </w:tc>
        <w:tc>
          <w:tcPr>
            <w:tcW w:w="936" w:type="dxa"/>
            <w:tcBorders>
              <w:top w:val="nil"/>
              <w:left w:val="nil"/>
              <w:bottom w:val="single" w:sz="4" w:space="0" w:color="auto"/>
              <w:right w:val="single" w:sz="4" w:space="0" w:color="auto"/>
            </w:tcBorders>
            <w:shd w:val="clear" w:color="000000" w:fill="FFFFFF"/>
            <w:noWrap/>
            <w:vAlign w:val="bottom"/>
            <w:hideMark/>
          </w:tcPr>
          <w:p w14:paraId="6FC816C2" w14:textId="77777777" w:rsidR="00705A0C" w:rsidRPr="002634C3" w:rsidRDefault="00705A0C" w:rsidP="00AA12E3">
            <w:pPr>
              <w:jc w:val="center"/>
              <w:rPr>
                <w:color w:val="000000"/>
                <w:sz w:val="21"/>
                <w:szCs w:val="21"/>
                <w:lang w:eastAsia="es-ES"/>
              </w:rPr>
            </w:pPr>
            <w:r w:rsidRPr="002634C3">
              <w:rPr>
                <w:color w:val="000000"/>
                <w:sz w:val="21"/>
                <w:szCs w:val="21"/>
                <w:lang w:eastAsia="es-ES"/>
              </w:rPr>
              <w:t>191</w:t>
            </w:r>
          </w:p>
        </w:tc>
        <w:tc>
          <w:tcPr>
            <w:tcW w:w="936" w:type="dxa"/>
            <w:tcBorders>
              <w:top w:val="nil"/>
              <w:left w:val="nil"/>
              <w:bottom w:val="single" w:sz="4" w:space="0" w:color="auto"/>
              <w:right w:val="single" w:sz="4" w:space="0" w:color="auto"/>
            </w:tcBorders>
            <w:shd w:val="clear" w:color="000000" w:fill="FFFFFF"/>
            <w:noWrap/>
            <w:vAlign w:val="bottom"/>
            <w:hideMark/>
          </w:tcPr>
          <w:p w14:paraId="6A1E0630" w14:textId="77777777" w:rsidR="00705A0C" w:rsidRPr="002634C3" w:rsidRDefault="00705A0C" w:rsidP="00AA12E3">
            <w:pPr>
              <w:jc w:val="center"/>
              <w:rPr>
                <w:color w:val="000000"/>
                <w:sz w:val="21"/>
                <w:szCs w:val="21"/>
                <w:lang w:eastAsia="es-ES"/>
              </w:rPr>
            </w:pPr>
            <w:r w:rsidRPr="002634C3">
              <w:rPr>
                <w:color w:val="000000"/>
                <w:sz w:val="21"/>
                <w:szCs w:val="21"/>
                <w:lang w:eastAsia="es-ES"/>
              </w:rPr>
              <w:t>168</w:t>
            </w:r>
          </w:p>
        </w:tc>
        <w:tc>
          <w:tcPr>
            <w:tcW w:w="946" w:type="dxa"/>
            <w:tcBorders>
              <w:top w:val="nil"/>
              <w:left w:val="nil"/>
              <w:bottom w:val="single" w:sz="4" w:space="0" w:color="auto"/>
              <w:right w:val="single" w:sz="4" w:space="0" w:color="auto"/>
            </w:tcBorders>
            <w:shd w:val="clear" w:color="000000" w:fill="FFFFFF"/>
            <w:noWrap/>
            <w:vAlign w:val="bottom"/>
            <w:hideMark/>
          </w:tcPr>
          <w:p w14:paraId="1CE04711" w14:textId="323EFC83" w:rsidR="00705A0C" w:rsidRPr="002634C3" w:rsidRDefault="00705A0C" w:rsidP="00AA12E3">
            <w:pPr>
              <w:jc w:val="center"/>
              <w:rPr>
                <w:color w:val="000000"/>
                <w:sz w:val="21"/>
                <w:szCs w:val="21"/>
                <w:lang w:eastAsia="es-ES"/>
              </w:rPr>
            </w:pPr>
            <w:r w:rsidRPr="002634C3">
              <w:rPr>
                <w:color w:val="000000"/>
                <w:sz w:val="21"/>
                <w:szCs w:val="21"/>
                <w:lang w:eastAsia="es-ES"/>
              </w:rPr>
              <w:t>20</w:t>
            </w:r>
            <w:r w:rsidR="00FE0598" w:rsidRPr="002634C3">
              <w:rPr>
                <w:color w:val="000000"/>
                <w:sz w:val="21"/>
                <w:szCs w:val="21"/>
                <w:lang w:eastAsia="es-ES"/>
              </w:rPr>
              <w:t>5</w:t>
            </w:r>
          </w:p>
        </w:tc>
        <w:tc>
          <w:tcPr>
            <w:tcW w:w="888" w:type="dxa"/>
            <w:tcBorders>
              <w:top w:val="nil"/>
              <w:left w:val="nil"/>
              <w:bottom w:val="single" w:sz="4" w:space="0" w:color="auto"/>
              <w:right w:val="single" w:sz="4" w:space="0" w:color="auto"/>
            </w:tcBorders>
            <w:shd w:val="clear" w:color="000000" w:fill="FFFFFF"/>
            <w:noWrap/>
            <w:vAlign w:val="bottom"/>
          </w:tcPr>
          <w:p w14:paraId="631312AB" w14:textId="0EA487E9" w:rsidR="00705A0C" w:rsidRPr="002634C3" w:rsidRDefault="0077615B" w:rsidP="00AA12E3">
            <w:pPr>
              <w:jc w:val="center"/>
              <w:rPr>
                <w:color w:val="000000"/>
                <w:sz w:val="21"/>
                <w:szCs w:val="21"/>
                <w:lang w:eastAsia="es-ES"/>
              </w:rPr>
            </w:pPr>
            <w:r w:rsidRPr="002634C3">
              <w:rPr>
                <w:color w:val="000000"/>
                <w:sz w:val="21"/>
                <w:szCs w:val="21"/>
                <w:lang w:eastAsia="es-ES"/>
              </w:rPr>
              <w:t>22,02</w:t>
            </w:r>
          </w:p>
        </w:tc>
        <w:tc>
          <w:tcPr>
            <w:tcW w:w="1056" w:type="dxa"/>
            <w:tcBorders>
              <w:top w:val="nil"/>
              <w:left w:val="nil"/>
              <w:bottom w:val="single" w:sz="4" w:space="0" w:color="auto"/>
              <w:right w:val="single" w:sz="4" w:space="0" w:color="auto"/>
            </w:tcBorders>
            <w:shd w:val="clear" w:color="000000" w:fill="FFFFFF"/>
            <w:noWrap/>
            <w:vAlign w:val="bottom"/>
            <w:hideMark/>
          </w:tcPr>
          <w:p w14:paraId="6DC00C80" w14:textId="77777777" w:rsidR="00705A0C" w:rsidRPr="002634C3" w:rsidRDefault="00705A0C" w:rsidP="00AA12E3">
            <w:pPr>
              <w:jc w:val="center"/>
              <w:rPr>
                <w:color w:val="000000"/>
                <w:sz w:val="21"/>
                <w:szCs w:val="21"/>
                <w:lang w:eastAsia="es-ES"/>
              </w:rPr>
            </w:pPr>
            <w:r w:rsidRPr="002634C3">
              <w:rPr>
                <w:color w:val="000000"/>
                <w:sz w:val="21"/>
                <w:szCs w:val="21"/>
                <w:lang w:eastAsia="es-ES"/>
              </w:rPr>
              <w:t>64</w:t>
            </w:r>
          </w:p>
        </w:tc>
        <w:tc>
          <w:tcPr>
            <w:tcW w:w="936" w:type="dxa"/>
            <w:tcBorders>
              <w:top w:val="nil"/>
              <w:left w:val="nil"/>
              <w:bottom w:val="single" w:sz="4" w:space="0" w:color="auto"/>
              <w:right w:val="single" w:sz="4" w:space="0" w:color="auto"/>
            </w:tcBorders>
            <w:shd w:val="clear" w:color="000000" w:fill="FFFFFF"/>
            <w:noWrap/>
            <w:vAlign w:val="bottom"/>
            <w:hideMark/>
          </w:tcPr>
          <w:p w14:paraId="7BAC774B" w14:textId="77777777" w:rsidR="00705A0C" w:rsidRPr="002634C3" w:rsidRDefault="00705A0C" w:rsidP="00AA12E3">
            <w:pPr>
              <w:jc w:val="center"/>
              <w:rPr>
                <w:color w:val="000000"/>
                <w:sz w:val="21"/>
                <w:szCs w:val="21"/>
                <w:lang w:eastAsia="es-ES"/>
              </w:rPr>
            </w:pPr>
            <w:r w:rsidRPr="002634C3">
              <w:rPr>
                <w:color w:val="000000"/>
                <w:sz w:val="21"/>
                <w:szCs w:val="21"/>
                <w:lang w:eastAsia="es-ES"/>
              </w:rPr>
              <w:t>119</w:t>
            </w:r>
          </w:p>
        </w:tc>
        <w:tc>
          <w:tcPr>
            <w:tcW w:w="936" w:type="dxa"/>
            <w:tcBorders>
              <w:top w:val="nil"/>
              <w:left w:val="nil"/>
              <w:bottom w:val="single" w:sz="4" w:space="0" w:color="auto"/>
              <w:right w:val="single" w:sz="4" w:space="0" w:color="auto"/>
            </w:tcBorders>
            <w:shd w:val="clear" w:color="000000" w:fill="FFFFFF"/>
            <w:noWrap/>
            <w:vAlign w:val="bottom"/>
          </w:tcPr>
          <w:p w14:paraId="22696E8F" w14:textId="6AA81488" w:rsidR="00705A0C" w:rsidRPr="002634C3" w:rsidRDefault="00024CCB" w:rsidP="00AA12E3">
            <w:pPr>
              <w:jc w:val="center"/>
              <w:rPr>
                <w:color w:val="000000"/>
                <w:sz w:val="21"/>
                <w:szCs w:val="21"/>
                <w:lang w:eastAsia="es-ES"/>
              </w:rPr>
            </w:pPr>
            <w:r w:rsidRPr="002634C3">
              <w:rPr>
                <w:color w:val="000000"/>
                <w:sz w:val="21"/>
                <w:szCs w:val="21"/>
                <w:lang w:eastAsia="es-ES"/>
              </w:rPr>
              <w:t>129</w:t>
            </w:r>
          </w:p>
        </w:tc>
        <w:tc>
          <w:tcPr>
            <w:tcW w:w="1131" w:type="dxa"/>
            <w:tcBorders>
              <w:top w:val="nil"/>
              <w:left w:val="nil"/>
              <w:bottom w:val="single" w:sz="4" w:space="0" w:color="auto"/>
              <w:right w:val="single" w:sz="4" w:space="0" w:color="auto"/>
            </w:tcBorders>
            <w:shd w:val="clear" w:color="000000" w:fill="FFFFFF"/>
            <w:noWrap/>
            <w:vAlign w:val="bottom"/>
          </w:tcPr>
          <w:p w14:paraId="41C33698" w14:textId="00621427" w:rsidR="00705A0C" w:rsidRPr="002634C3" w:rsidRDefault="00024CCB" w:rsidP="00AA12E3">
            <w:pPr>
              <w:jc w:val="center"/>
              <w:rPr>
                <w:color w:val="000000"/>
                <w:sz w:val="21"/>
                <w:szCs w:val="21"/>
                <w:lang w:eastAsia="es-ES"/>
              </w:rPr>
            </w:pPr>
            <w:r w:rsidRPr="002634C3">
              <w:rPr>
                <w:color w:val="000000"/>
                <w:sz w:val="21"/>
                <w:szCs w:val="21"/>
                <w:lang w:eastAsia="es-ES"/>
              </w:rPr>
              <w:t>8,40</w:t>
            </w:r>
          </w:p>
        </w:tc>
      </w:tr>
      <w:tr w:rsidR="00322FCA" w:rsidRPr="002634C3" w14:paraId="4A8CC9CB" w14:textId="77777777" w:rsidTr="00024CCB">
        <w:trPr>
          <w:trHeight w:val="198"/>
        </w:trPr>
        <w:tc>
          <w:tcPr>
            <w:tcW w:w="1256" w:type="dxa"/>
            <w:tcBorders>
              <w:top w:val="nil"/>
              <w:left w:val="single" w:sz="4" w:space="0" w:color="auto"/>
              <w:bottom w:val="single" w:sz="4" w:space="0" w:color="auto"/>
              <w:right w:val="single" w:sz="4" w:space="0" w:color="auto"/>
            </w:tcBorders>
            <w:noWrap/>
            <w:vAlign w:val="bottom"/>
            <w:hideMark/>
          </w:tcPr>
          <w:p w14:paraId="4E0C7CF9" w14:textId="77777777" w:rsidR="00705A0C" w:rsidRPr="002634C3" w:rsidRDefault="00705A0C" w:rsidP="00AA12E3">
            <w:pPr>
              <w:jc w:val="left"/>
              <w:rPr>
                <w:color w:val="000000"/>
                <w:sz w:val="21"/>
                <w:szCs w:val="21"/>
                <w:lang w:eastAsia="es-ES"/>
              </w:rPr>
            </w:pPr>
            <w:r w:rsidRPr="002634C3">
              <w:rPr>
                <w:color w:val="000000"/>
                <w:sz w:val="21"/>
                <w:szCs w:val="21"/>
                <w:lang w:eastAsia="es-ES"/>
              </w:rPr>
              <w:t>Yeros</w:t>
            </w:r>
          </w:p>
        </w:tc>
        <w:tc>
          <w:tcPr>
            <w:tcW w:w="936" w:type="dxa"/>
            <w:tcBorders>
              <w:top w:val="nil"/>
              <w:left w:val="nil"/>
              <w:bottom w:val="single" w:sz="4" w:space="0" w:color="auto"/>
              <w:right w:val="single" w:sz="4" w:space="0" w:color="auto"/>
            </w:tcBorders>
            <w:shd w:val="clear" w:color="000000" w:fill="FFFFFF"/>
            <w:noWrap/>
            <w:vAlign w:val="bottom"/>
            <w:hideMark/>
          </w:tcPr>
          <w:p w14:paraId="50232D27" w14:textId="15039020" w:rsidR="00705A0C" w:rsidRPr="002634C3" w:rsidRDefault="00705A0C" w:rsidP="00AA12E3">
            <w:pPr>
              <w:jc w:val="center"/>
              <w:rPr>
                <w:color w:val="000000"/>
                <w:sz w:val="21"/>
                <w:szCs w:val="21"/>
                <w:lang w:eastAsia="es-ES"/>
              </w:rPr>
            </w:pPr>
            <w:r w:rsidRPr="002634C3">
              <w:rPr>
                <w:color w:val="000000"/>
                <w:sz w:val="21"/>
                <w:szCs w:val="21"/>
                <w:lang w:eastAsia="es-ES"/>
              </w:rPr>
              <w:t>22.161</w:t>
            </w:r>
          </w:p>
        </w:tc>
        <w:tc>
          <w:tcPr>
            <w:tcW w:w="936" w:type="dxa"/>
            <w:tcBorders>
              <w:top w:val="nil"/>
              <w:left w:val="nil"/>
              <w:bottom w:val="single" w:sz="4" w:space="0" w:color="auto"/>
              <w:right w:val="single" w:sz="4" w:space="0" w:color="auto"/>
            </w:tcBorders>
            <w:shd w:val="clear" w:color="000000" w:fill="FFFFFF"/>
            <w:noWrap/>
            <w:vAlign w:val="bottom"/>
            <w:hideMark/>
          </w:tcPr>
          <w:p w14:paraId="7088230E" w14:textId="3FBB0CCC" w:rsidR="00705A0C" w:rsidRPr="002634C3" w:rsidRDefault="00705A0C" w:rsidP="00AA12E3">
            <w:pPr>
              <w:jc w:val="center"/>
              <w:rPr>
                <w:color w:val="000000"/>
                <w:sz w:val="21"/>
                <w:szCs w:val="21"/>
                <w:lang w:eastAsia="es-ES"/>
              </w:rPr>
            </w:pPr>
            <w:r w:rsidRPr="002634C3">
              <w:rPr>
                <w:color w:val="000000"/>
                <w:sz w:val="21"/>
                <w:szCs w:val="21"/>
                <w:lang w:eastAsia="es-ES"/>
              </w:rPr>
              <w:t>21.264</w:t>
            </w:r>
          </w:p>
        </w:tc>
        <w:tc>
          <w:tcPr>
            <w:tcW w:w="946" w:type="dxa"/>
            <w:tcBorders>
              <w:top w:val="nil"/>
              <w:left w:val="nil"/>
              <w:bottom w:val="single" w:sz="4" w:space="0" w:color="auto"/>
              <w:right w:val="single" w:sz="4" w:space="0" w:color="auto"/>
            </w:tcBorders>
            <w:shd w:val="clear" w:color="000000" w:fill="FFFFFF"/>
            <w:noWrap/>
            <w:vAlign w:val="bottom"/>
            <w:hideMark/>
          </w:tcPr>
          <w:p w14:paraId="31B5D3E3" w14:textId="1D319326" w:rsidR="00705A0C" w:rsidRPr="002634C3" w:rsidRDefault="00705A0C" w:rsidP="00AA12E3">
            <w:pPr>
              <w:jc w:val="center"/>
              <w:rPr>
                <w:color w:val="000000"/>
                <w:sz w:val="21"/>
                <w:szCs w:val="21"/>
                <w:lang w:eastAsia="es-ES"/>
              </w:rPr>
            </w:pPr>
            <w:r w:rsidRPr="002634C3">
              <w:rPr>
                <w:color w:val="000000"/>
                <w:sz w:val="21"/>
                <w:szCs w:val="21"/>
                <w:lang w:eastAsia="es-ES"/>
              </w:rPr>
              <w:t>19.1</w:t>
            </w:r>
            <w:r w:rsidR="00FE0598" w:rsidRPr="002634C3">
              <w:rPr>
                <w:color w:val="000000"/>
                <w:sz w:val="21"/>
                <w:szCs w:val="21"/>
                <w:lang w:eastAsia="es-ES"/>
              </w:rPr>
              <w:t>56</w:t>
            </w:r>
          </w:p>
        </w:tc>
        <w:tc>
          <w:tcPr>
            <w:tcW w:w="888" w:type="dxa"/>
            <w:tcBorders>
              <w:top w:val="nil"/>
              <w:left w:val="nil"/>
              <w:bottom w:val="single" w:sz="4" w:space="0" w:color="auto"/>
              <w:right w:val="single" w:sz="4" w:space="0" w:color="auto"/>
            </w:tcBorders>
            <w:shd w:val="clear" w:color="000000" w:fill="FFFFFF"/>
            <w:noWrap/>
            <w:vAlign w:val="bottom"/>
          </w:tcPr>
          <w:p w14:paraId="278E726C" w14:textId="45122975" w:rsidR="00705A0C" w:rsidRPr="002634C3" w:rsidRDefault="0077615B" w:rsidP="00AA12E3">
            <w:pPr>
              <w:jc w:val="center"/>
              <w:rPr>
                <w:color w:val="000000"/>
                <w:sz w:val="21"/>
                <w:szCs w:val="21"/>
                <w:lang w:eastAsia="es-ES"/>
              </w:rPr>
            </w:pPr>
            <w:r w:rsidRPr="002634C3">
              <w:rPr>
                <w:color w:val="000000"/>
                <w:sz w:val="21"/>
                <w:szCs w:val="21"/>
                <w:lang w:eastAsia="es-ES"/>
              </w:rPr>
              <w:t>-9,91</w:t>
            </w:r>
          </w:p>
        </w:tc>
        <w:tc>
          <w:tcPr>
            <w:tcW w:w="1056" w:type="dxa"/>
            <w:tcBorders>
              <w:top w:val="nil"/>
              <w:left w:val="nil"/>
              <w:bottom w:val="single" w:sz="4" w:space="0" w:color="auto"/>
              <w:right w:val="single" w:sz="4" w:space="0" w:color="auto"/>
            </w:tcBorders>
            <w:shd w:val="clear" w:color="000000" w:fill="FFFFFF"/>
            <w:noWrap/>
            <w:vAlign w:val="bottom"/>
            <w:hideMark/>
          </w:tcPr>
          <w:p w14:paraId="1EC8739A" w14:textId="115B240C" w:rsidR="00705A0C" w:rsidRPr="002634C3" w:rsidRDefault="00705A0C" w:rsidP="00AA12E3">
            <w:pPr>
              <w:jc w:val="center"/>
              <w:rPr>
                <w:color w:val="000000"/>
                <w:sz w:val="21"/>
                <w:szCs w:val="21"/>
                <w:lang w:eastAsia="es-ES"/>
              </w:rPr>
            </w:pPr>
            <w:r w:rsidRPr="002634C3">
              <w:rPr>
                <w:color w:val="000000"/>
                <w:sz w:val="21"/>
                <w:szCs w:val="21"/>
                <w:lang w:eastAsia="es-ES"/>
              </w:rPr>
              <w:t>8</w:t>
            </w:r>
            <w:r w:rsidR="003A3B64" w:rsidRPr="002634C3">
              <w:rPr>
                <w:color w:val="000000"/>
                <w:sz w:val="21"/>
                <w:szCs w:val="21"/>
                <w:lang w:eastAsia="es-ES"/>
              </w:rPr>
              <w:t>.</w:t>
            </w:r>
            <w:r w:rsidRPr="002634C3">
              <w:rPr>
                <w:color w:val="000000"/>
                <w:sz w:val="21"/>
                <w:szCs w:val="21"/>
                <w:lang w:eastAsia="es-ES"/>
              </w:rPr>
              <w:t>635</w:t>
            </w:r>
          </w:p>
        </w:tc>
        <w:tc>
          <w:tcPr>
            <w:tcW w:w="936" w:type="dxa"/>
            <w:tcBorders>
              <w:top w:val="nil"/>
              <w:left w:val="nil"/>
              <w:bottom w:val="single" w:sz="4" w:space="0" w:color="auto"/>
              <w:right w:val="single" w:sz="4" w:space="0" w:color="auto"/>
            </w:tcBorders>
            <w:shd w:val="clear" w:color="000000" w:fill="FFFFFF"/>
            <w:noWrap/>
            <w:vAlign w:val="bottom"/>
            <w:hideMark/>
          </w:tcPr>
          <w:p w14:paraId="0B0790AC" w14:textId="34B3D2C1" w:rsidR="00705A0C" w:rsidRPr="002634C3" w:rsidRDefault="00705A0C" w:rsidP="00AA12E3">
            <w:pPr>
              <w:jc w:val="center"/>
              <w:rPr>
                <w:color w:val="000000"/>
                <w:sz w:val="21"/>
                <w:szCs w:val="21"/>
                <w:lang w:eastAsia="es-ES"/>
              </w:rPr>
            </w:pPr>
            <w:r w:rsidRPr="002634C3">
              <w:rPr>
                <w:color w:val="000000"/>
                <w:sz w:val="21"/>
                <w:szCs w:val="21"/>
                <w:lang w:eastAsia="es-ES"/>
              </w:rPr>
              <w:t>20</w:t>
            </w:r>
            <w:r w:rsidR="003A3B64" w:rsidRPr="002634C3">
              <w:rPr>
                <w:color w:val="000000"/>
                <w:sz w:val="21"/>
                <w:szCs w:val="21"/>
                <w:lang w:eastAsia="es-ES"/>
              </w:rPr>
              <w:t>.</w:t>
            </w:r>
            <w:r w:rsidRPr="002634C3">
              <w:rPr>
                <w:color w:val="000000"/>
                <w:sz w:val="21"/>
                <w:szCs w:val="21"/>
                <w:lang w:eastAsia="es-ES"/>
              </w:rPr>
              <w:t>114</w:t>
            </w:r>
          </w:p>
        </w:tc>
        <w:tc>
          <w:tcPr>
            <w:tcW w:w="936" w:type="dxa"/>
            <w:tcBorders>
              <w:top w:val="nil"/>
              <w:left w:val="nil"/>
              <w:bottom w:val="single" w:sz="4" w:space="0" w:color="auto"/>
              <w:right w:val="single" w:sz="4" w:space="0" w:color="auto"/>
            </w:tcBorders>
            <w:shd w:val="clear" w:color="000000" w:fill="FFFFFF"/>
            <w:noWrap/>
            <w:vAlign w:val="bottom"/>
          </w:tcPr>
          <w:p w14:paraId="3C45D307" w14:textId="13166630" w:rsidR="00705A0C" w:rsidRPr="002634C3" w:rsidRDefault="00024CCB" w:rsidP="00AA12E3">
            <w:pPr>
              <w:jc w:val="center"/>
              <w:rPr>
                <w:color w:val="000000"/>
                <w:sz w:val="21"/>
                <w:szCs w:val="21"/>
                <w:lang w:eastAsia="es-ES"/>
              </w:rPr>
            </w:pPr>
            <w:r w:rsidRPr="002634C3">
              <w:rPr>
                <w:color w:val="000000"/>
                <w:sz w:val="21"/>
                <w:szCs w:val="21"/>
                <w:lang w:eastAsia="es-ES"/>
              </w:rPr>
              <w:t>20.307</w:t>
            </w:r>
          </w:p>
        </w:tc>
        <w:tc>
          <w:tcPr>
            <w:tcW w:w="1131" w:type="dxa"/>
            <w:tcBorders>
              <w:top w:val="nil"/>
              <w:left w:val="nil"/>
              <w:bottom w:val="single" w:sz="4" w:space="0" w:color="auto"/>
              <w:right w:val="single" w:sz="4" w:space="0" w:color="auto"/>
            </w:tcBorders>
            <w:shd w:val="clear" w:color="000000" w:fill="FFFFFF"/>
            <w:noWrap/>
            <w:vAlign w:val="bottom"/>
          </w:tcPr>
          <w:p w14:paraId="5DBD8464" w14:textId="470F9DDC" w:rsidR="00705A0C" w:rsidRPr="002634C3" w:rsidRDefault="00024CCB" w:rsidP="00AA12E3">
            <w:pPr>
              <w:ind w:right="94"/>
              <w:jc w:val="center"/>
              <w:rPr>
                <w:color w:val="000000"/>
                <w:sz w:val="21"/>
                <w:szCs w:val="21"/>
                <w:lang w:eastAsia="es-ES"/>
              </w:rPr>
            </w:pPr>
            <w:r w:rsidRPr="002634C3">
              <w:rPr>
                <w:color w:val="000000"/>
                <w:sz w:val="21"/>
                <w:szCs w:val="21"/>
                <w:lang w:eastAsia="es-ES"/>
              </w:rPr>
              <w:t>0,96</w:t>
            </w:r>
          </w:p>
        </w:tc>
      </w:tr>
      <w:tr w:rsidR="00322FCA" w:rsidRPr="002634C3" w14:paraId="16D60A30" w14:textId="77777777" w:rsidTr="00024CCB">
        <w:trPr>
          <w:trHeight w:val="198"/>
        </w:trPr>
        <w:tc>
          <w:tcPr>
            <w:tcW w:w="1256" w:type="dxa"/>
            <w:tcBorders>
              <w:top w:val="nil"/>
              <w:left w:val="single" w:sz="4" w:space="0" w:color="auto"/>
              <w:bottom w:val="single" w:sz="4" w:space="0" w:color="auto"/>
              <w:right w:val="single" w:sz="4" w:space="0" w:color="auto"/>
            </w:tcBorders>
            <w:noWrap/>
            <w:vAlign w:val="bottom"/>
            <w:hideMark/>
          </w:tcPr>
          <w:p w14:paraId="162645F1" w14:textId="77777777" w:rsidR="00705A0C" w:rsidRPr="002634C3" w:rsidRDefault="00705A0C" w:rsidP="00AA12E3">
            <w:pPr>
              <w:jc w:val="left"/>
              <w:rPr>
                <w:b/>
                <w:bCs/>
                <w:color w:val="000000"/>
                <w:sz w:val="21"/>
                <w:szCs w:val="21"/>
                <w:lang w:eastAsia="es-ES"/>
              </w:rPr>
            </w:pPr>
            <w:r w:rsidRPr="002634C3">
              <w:rPr>
                <w:b/>
                <w:bCs/>
                <w:color w:val="000000"/>
                <w:sz w:val="21"/>
                <w:szCs w:val="21"/>
                <w:lang w:eastAsia="es-ES"/>
              </w:rPr>
              <w:t>Total</w:t>
            </w:r>
          </w:p>
        </w:tc>
        <w:tc>
          <w:tcPr>
            <w:tcW w:w="936" w:type="dxa"/>
            <w:tcBorders>
              <w:top w:val="nil"/>
              <w:left w:val="nil"/>
              <w:bottom w:val="single" w:sz="4" w:space="0" w:color="auto"/>
              <w:right w:val="single" w:sz="4" w:space="0" w:color="auto"/>
            </w:tcBorders>
            <w:shd w:val="clear" w:color="000000" w:fill="FFFFFF"/>
            <w:noWrap/>
            <w:vAlign w:val="bottom"/>
            <w:hideMark/>
          </w:tcPr>
          <w:p w14:paraId="5555F62E" w14:textId="77777777" w:rsidR="00705A0C" w:rsidRPr="002634C3" w:rsidRDefault="00705A0C" w:rsidP="00AA12E3">
            <w:pPr>
              <w:jc w:val="center"/>
              <w:rPr>
                <w:b/>
                <w:bCs/>
                <w:color w:val="000000"/>
                <w:sz w:val="21"/>
                <w:szCs w:val="21"/>
                <w:lang w:eastAsia="es-ES"/>
              </w:rPr>
            </w:pPr>
            <w:r w:rsidRPr="002634C3">
              <w:rPr>
                <w:b/>
                <w:bCs/>
                <w:color w:val="000000"/>
                <w:sz w:val="21"/>
                <w:szCs w:val="21"/>
                <w:lang w:eastAsia="es-ES"/>
              </w:rPr>
              <w:t>180.599</w:t>
            </w:r>
          </w:p>
        </w:tc>
        <w:tc>
          <w:tcPr>
            <w:tcW w:w="936" w:type="dxa"/>
            <w:tcBorders>
              <w:top w:val="nil"/>
              <w:left w:val="nil"/>
              <w:bottom w:val="single" w:sz="4" w:space="0" w:color="auto"/>
              <w:right w:val="single" w:sz="4" w:space="0" w:color="auto"/>
            </w:tcBorders>
            <w:shd w:val="clear" w:color="000000" w:fill="FFFFFF"/>
            <w:noWrap/>
            <w:vAlign w:val="bottom"/>
            <w:hideMark/>
          </w:tcPr>
          <w:p w14:paraId="5DD2356D" w14:textId="77777777" w:rsidR="00705A0C" w:rsidRPr="002634C3" w:rsidRDefault="00705A0C" w:rsidP="00AA12E3">
            <w:pPr>
              <w:jc w:val="center"/>
              <w:rPr>
                <w:b/>
                <w:bCs/>
                <w:color w:val="000000"/>
                <w:sz w:val="21"/>
                <w:szCs w:val="21"/>
                <w:lang w:eastAsia="es-ES"/>
              </w:rPr>
            </w:pPr>
            <w:r w:rsidRPr="002634C3">
              <w:rPr>
                <w:b/>
                <w:bCs/>
                <w:color w:val="000000"/>
                <w:sz w:val="21"/>
                <w:szCs w:val="21"/>
                <w:lang w:eastAsia="es-ES"/>
              </w:rPr>
              <w:t>163.864</w:t>
            </w:r>
          </w:p>
        </w:tc>
        <w:tc>
          <w:tcPr>
            <w:tcW w:w="946" w:type="dxa"/>
            <w:tcBorders>
              <w:top w:val="nil"/>
              <w:left w:val="nil"/>
              <w:bottom w:val="single" w:sz="4" w:space="0" w:color="auto"/>
              <w:right w:val="single" w:sz="4" w:space="0" w:color="auto"/>
            </w:tcBorders>
            <w:shd w:val="clear" w:color="000000" w:fill="FFFFFF"/>
            <w:noWrap/>
            <w:vAlign w:val="bottom"/>
            <w:hideMark/>
          </w:tcPr>
          <w:p w14:paraId="292C67C7" w14:textId="77777777" w:rsidR="00FE0598" w:rsidRPr="002634C3" w:rsidRDefault="00FE0598" w:rsidP="00AA12E3">
            <w:pPr>
              <w:jc w:val="center"/>
              <w:rPr>
                <w:b/>
                <w:bCs/>
                <w:color w:val="000000"/>
                <w:sz w:val="21"/>
                <w:szCs w:val="21"/>
                <w:lang w:eastAsia="es-ES"/>
              </w:rPr>
            </w:pPr>
            <w:r w:rsidRPr="002634C3">
              <w:rPr>
                <w:b/>
                <w:bCs/>
                <w:color w:val="000000"/>
                <w:sz w:val="21"/>
                <w:szCs w:val="21"/>
              </w:rPr>
              <w:t>153.355</w:t>
            </w:r>
          </w:p>
          <w:p w14:paraId="645873F5" w14:textId="1E1541FC" w:rsidR="00705A0C" w:rsidRPr="002634C3" w:rsidRDefault="00705A0C" w:rsidP="00AA12E3">
            <w:pPr>
              <w:jc w:val="center"/>
              <w:rPr>
                <w:b/>
                <w:bCs/>
                <w:color w:val="000000"/>
                <w:sz w:val="21"/>
                <w:szCs w:val="21"/>
                <w:lang w:eastAsia="es-ES"/>
              </w:rPr>
            </w:pPr>
          </w:p>
        </w:tc>
        <w:tc>
          <w:tcPr>
            <w:tcW w:w="888" w:type="dxa"/>
            <w:tcBorders>
              <w:top w:val="nil"/>
              <w:left w:val="nil"/>
              <w:bottom w:val="single" w:sz="4" w:space="0" w:color="auto"/>
              <w:right w:val="single" w:sz="4" w:space="0" w:color="auto"/>
            </w:tcBorders>
            <w:shd w:val="clear" w:color="000000" w:fill="FFFFFF"/>
            <w:noWrap/>
            <w:vAlign w:val="bottom"/>
          </w:tcPr>
          <w:p w14:paraId="30656448" w14:textId="6195A61A" w:rsidR="00705A0C" w:rsidRPr="002634C3" w:rsidRDefault="0077615B" w:rsidP="00AA12E3">
            <w:pPr>
              <w:jc w:val="center"/>
              <w:rPr>
                <w:b/>
                <w:bCs/>
                <w:color w:val="000000"/>
                <w:sz w:val="21"/>
                <w:szCs w:val="21"/>
                <w:lang w:eastAsia="es-ES"/>
              </w:rPr>
            </w:pPr>
            <w:r w:rsidRPr="002634C3">
              <w:rPr>
                <w:b/>
                <w:bCs/>
                <w:color w:val="000000"/>
                <w:sz w:val="21"/>
                <w:szCs w:val="21"/>
                <w:lang w:eastAsia="es-ES"/>
              </w:rPr>
              <w:t>-6,41</w:t>
            </w:r>
          </w:p>
        </w:tc>
        <w:tc>
          <w:tcPr>
            <w:tcW w:w="1056" w:type="dxa"/>
            <w:tcBorders>
              <w:top w:val="nil"/>
              <w:left w:val="nil"/>
              <w:bottom w:val="single" w:sz="4" w:space="0" w:color="auto"/>
              <w:right w:val="single" w:sz="4" w:space="0" w:color="auto"/>
            </w:tcBorders>
            <w:shd w:val="clear" w:color="000000" w:fill="FFFFFF"/>
            <w:noWrap/>
            <w:vAlign w:val="bottom"/>
            <w:hideMark/>
          </w:tcPr>
          <w:p w14:paraId="3CC4F5AC" w14:textId="77777777" w:rsidR="00705A0C" w:rsidRPr="002634C3" w:rsidRDefault="00705A0C" w:rsidP="00AA12E3">
            <w:pPr>
              <w:jc w:val="center"/>
              <w:rPr>
                <w:b/>
                <w:bCs/>
                <w:color w:val="000000"/>
                <w:sz w:val="21"/>
                <w:szCs w:val="21"/>
                <w:lang w:eastAsia="es-ES"/>
              </w:rPr>
            </w:pPr>
            <w:r w:rsidRPr="002634C3">
              <w:rPr>
                <w:b/>
                <w:bCs/>
                <w:color w:val="000000"/>
                <w:sz w:val="21"/>
                <w:szCs w:val="21"/>
                <w:lang w:eastAsia="es-ES"/>
              </w:rPr>
              <w:t>97.707</w:t>
            </w:r>
          </w:p>
        </w:tc>
        <w:tc>
          <w:tcPr>
            <w:tcW w:w="936" w:type="dxa"/>
            <w:tcBorders>
              <w:top w:val="nil"/>
              <w:left w:val="nil"/>
              <w:bottom w:val="single" w:sz="4" w:space="0" w:color="auto"/>
              <w:right w:val="single" w:sz="4" w:space="0" w:color="auto"/>
            </w:tcBorders>
            <w:shd w:val="clear" w:color="000000" w:fill="FFFFFF"/>
            <w:noWrap/>
            <w:vAlign w:val="bottom"/>
            <w:hideMark/>
          </w:tcPr>
          <w:p w14:paraId="6B11A751" w14:textId="77777777" w:rsidR="00705A0C" w:rsidRPr="002634C3" w:rsidRDefault="00705A0C" w:rsidP="00AA12E3">
            <w:pPr>
              <w:jc w:val="center"/>
              <w:rPr>
                <w:b/>
                <w:bCs/>
                <w:color w:val="000000"/>
                <w:sz w:val="21"/>
                <w:szCs w:val="21"/>
                <w:lang w:eastAsia="es-ES"/>
              </w:rPr>
            </w:pPr>
            <w:r w:rsidRPr="002634C3">
              <w:rPr>
                <w:b/>
                <w:bCs/>
                <w:color w:val="000000"/>
                <w:sz w:val="21"/>
                <w:szCs w:val="21"/>
                <w:lang w:eastAsia="es-ES"/>
              </w:rPr>
              <w:t>205.434</w:t>
            </w:r>
          </w:p>
        </w:tc>
        <w:tc>
          <w:tcPr>
            <w:tcW w:w="936" w:type="dxa"/>
            <w:tcBorders>
              <w:top w:val="nil"/>
              <w:left w:val="nil"/>
              <w:bottom w:val="single" w:sz="4" w:space="0" w:color="auto"/>
              <w:right w:val="single" w:sz="4" w:space="0" w:color="auto"/>
            </w:tcBorders>
            <w:shd w:val="clear" w:color="000000" w:fill="FFFFFF"/>
            <w:noWrap/>
            <w:vAlign w:val="bottom"/>
          </w:tcPr>
          <w:p w14:paraId="1F4CB47B" w14:textId="243696D3" w:rsidR="00705A0C" w:rsidRPr="002634C3" w:rsidRDefault="00024CCB" w:rsidP="00AA12E3">
            <w:pPr>
              <w:jc w:val="center"/>
              <w:rPr>
                <w:b/>
                <w:bCs/>
                <w:color w:val="000000"/>
                <w:sz w:val="21"/>
                <w:szCs w:val="21"/>
                <w:lang w:eastAsia="es-ES"/>
              </w:rPr>
            </w:pPr>
            <w:r w:rsidRPr="002634C3">
              <w:rPr>
                <w:b/>
                <w:bCs/>
                <w:color w:val="000000"/>
                <w:sz w:val="21"/>
                <w:szCs w:val="21"/>
                <w:lang w:eastAsia="es-ES"/>
              </w:rPr>
              <w:t>230.561</w:t>
            </w:r>
          </w:p>
        </w:tc>
        <w:tc>
          <w:tcPr>
            <w:tcW w:w="1131" w:type="dxa"/>
            <w:tcBorders>
              <w:top w:val="nil"/>
              <w:left w:val="nil"/>
              <w:bottom w:val="single" w:sz="4" w:space="0" w:color="auto"/>
              <w:right w:val="single" w:sz="4" w:space="0" w:color="auto"/>
            </w:tcBorders>
            <w:shd w:val="clear" w:color="000000" w:fill="FFFFFF"/>
            <w:noWrap/>
            <w:vAlign w:val="bottom"/>
          </w:tcPr>
          <w:p w14:paraId="5CB49571" w14:textId="7DA9C5D7" w:rsidR="00705A0C" w:rsidRPr="002634C3" w:rsidRDefault="00024CCB" w:rsidP="00AA12E3">
            <w:pPr>
              <w:jc w:val="center"/>
              <w:rPr>
                <w:b/>
                <w:bCs/>
                <w:color w:val="000000"/>
                <w:sz w:val="21"/>
                <w:szCs w:val="21"/>
                <w:lang w:eastAsia="es-ES"/>
              </w:rPr>
            </w:pPr>
            <w:r w:rsidRPr="002634C3">
              <w:rPr>
                <w:b/>
                <w:bCs/>
                <w:color w:val="000000"/>
                <w:sz w:val="21"/>
                <w:szCs w:val="21"/>
                <w:lang w:eastAsia="es-ES"/>
              </w:rPr>
              <w:t>12,23</w:t>
            </w:r>
          </w:p>
        </w:tc>
      </w:tr>
    </w:tbl>
    <w:p w14:paraId="161D7668" w14:textId="77777777" w:rsidR="00BC36F3" w:rsidRPr="002634C3" w:rsidRDefault="00BC36F3" w:rsidP="00AA12E3">
      <w:pPr>
        <w:tabs>
          <w:tab w:val="left" w:pos="1095"/>
        </w:tabs>
        <w:rPr>
          <w:sz w:val="21"/>
          <w:szCs w:val="21"/>
        </w:rPr>
      </w:pPr>
    </w:p>
    <w:p w14:paraId="4FC61163" w14:textId="3126EA0D" w:rsidR="00BC36F3" w:rsidRDefault="003A3B64" w:rsidP="00AA12E3">
      <w:pPr>
        <w:tabs>
          <w:tab w:val="left" w:pos="1095"/>
        </w:tabs>
        <w:rPr>
          <w:bCs/>
          <w:i/>
          <w:iCs/>
          <w:sz w:val="16"/>
          <w:szCs w:val="16"/>
        </w:rPr>
      </w:pPr>
      <w:r>
        <w:rPr>
          <w:bCs/>
          <w:i/>
          <w:iCs/>
          <w:sz w:val="16"/>
          <w:szCs w:val="16"/>
        </w:rPr>
        <w:t xml:space="preserve">                   </w:t>
      </w:r>
      <w:r w:rsidRPr="00475886">
        <w:rPr>
          <w:bCs/>
          <w:i/>
          <w:iCs/>
          <w:sz w:val="16"/>
          <w:szCs w:val="16"/>
        </w:rPr>
        <w:t>Fuente: Elaboración propia a partir de datos de superficies y producciones del Ministerio de Agricultura</w:t>
      </w:r>
    </w:p>
    <w:p w14:paraId="4663B47A" w14:textId="77777777" w:rsidR="00FF5FFB" w:rsidRDefault="00FF5FFB" w:rsidP="00AA12E3">
      <w:pPr>
        <w:tabs>
          <w:tab w:val="left" w:pos="1095"/>
        </w:tabs>
      </w:pPr>
    </w:p>
    <w:p w14:paraId="3237AA30" w14:textId="77777777" w:rsidR="00BC36F3" w:rsidRDefault="00BC36F3" w:rsidP="00AA12E3">
      <w:pPr>
        <w:tabs>
          <w:tab w:val="left" w:pos="1095"/>
        </w:tabs>
      </w:pPr>
    </w:p>
    <w:p w14:paraId="1404829F" w14:textId="2D0DCEBE" w:rsidR="001661E0" w:rsidRDefault="00A05E0B" w:rsidP="00AA12E3">
      <w:pPr>
        <w:tabs>
          <w:tab w:val="left" w:pos="1095"/>
        </w:tabs>
        <w:jc w:val="center"/>
      </w:pPr>
      <w:r>
        <w:rPr>
          <w:noProof/>
        </w:rPr>
        <w:drawing>
          <wp:inline distT="0" distB="0" distL="0" distR="0" wp14:anchorId="44B968E9" wp14:editId="1673E91D">
            <wp:extent cx="3867150" cy="2162175"/>
            <wp:effectExtent l="0" t="0" r="0" b="9525"/>
            <wp:docPr id="1561095261" name="Gráfico 1">
              <a:extLst xmlns:a="http://schemas.openxmlformats.org/drawingml/2006/main">
                <a:ext uri="{FF2B5EF4-FFF2-40B4-BE49-F238E27FC236}">
                  <a16:creationId xmlns:a16="http://schemas.microsoft.com/office/drawing/2014/main" id="{B104AC2B-59C6-472A-3A03-F2FCACAA8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633EC8" w14:textId="77777777" w:rsidR="007D70EC" w:rsidRDefault="007D70EC" w:rsidP="00AA12E3">
      <w:pPr>
        <w:tabs>
          <w:tab w:val="left" w:pos="1095"/>
        </w:tabs>
      </w:pPr>
    </w:p>
    <w:p w14:paraId="536C5041" w14:textId="77777777" w:rsidR="007D70EC" w:rsidRDefault="007D70EC" w:rsidP="00AA12E3">
      <w:pPr>
        <w:tabs>
          <w:tab w:val="left" w:pos="1095"/>
        </w:tabs>
        <w:rPr>
          <w:bCs/>
          <w:i/>
          <w:iCs/>
          <w:sz w:val="16"/>
          <w:szCs w:val="16"/>
        </w:rPr>
      </w:pPr>
      <w:r>
        <w:rPr>
          <w:bCs/>
          <w:i/>
          <w:iCs/>
          <w:sz w:val="16"/>
          <w:szCs w:val="16"/>
        </w:rPr>
        <w:t xml:space="preserve">                    </w:t>
      </w:r>
      <w:r w:rsidRPr="00475886">
        <w:rPr>
          <w:bCs/>
          <w:i/>
          <w:iCs/>
          <w:sz w:val="16"/>
          <w:szCs w:val="16"/>
        </w:rPr>
        <w:t>Fuente: Elaboración propia a partir de datos de superficies y producciones del Ministerio de Agricultura</w:t>
      </w:r>
    </w:p>
    <w:p w14:paraId="1CF2403E" w14:textId="77777777" w:rsidR="00F078AA" w:rsidRDefault="00F078AA" w:rsidP="00AA12E3">
      <w:pPr>
        <w:tabs>
          <w:tab w:val="left" w:pos="1095"/>
        </w:tabs>
        <w:rPr>
          <w:bCs/>
          <w:i/>
          <w:iCs/>
          <w:sz w:val="16"/>
          <w:szCs w:val="16"/>
        </w:rPr>
      </w:pPr>
    </w:p>
    <w:p w14:paraId="6C2B5B5D" w14:textId="77777777" w:rsidR="001661E0" w:rsidRDefault="001661E0" w:rsidP="00AA12E3">
      <w:pPr>
        <w:tabs>
          <w:tab w:val="left" w:pos="1095"/>
        </w:tabs>
      </w:pPr>
    </w:p>
    <w:p w14:paraId="10C7F5D9" w14:textId="05C111CA" w:rsidR="002062ED" w:rsidRDefault="001661E0" w:rsidP="00AA12E3">
      <w:pPr>
        <w:tabs>
          <w:tab w:val="left" w:pos="1095"/>
        </w:tabs>
        <w:jc w:val="center"/>
      </w:pPr>
      <w:r>
        <w:rPr>
          <w:noProof/>
        </w:rPr>
        <w:lastRenderedPageBreak/>
        <w:drawing>
          <wp:inline distT="0" distB="0" distL="0" distR="0" wp14:anchorId="7AEC908B" wp14:editId="398A63E7">
            <wp:extent cx="3924300" cy="2028825"/>
            <wp:effectExtent l="0" t="0" r="0" b="9525"/>
            <wp:docPr id="1717216932" name="Gráfico 1">
              <a:extLst xmlns:a="http://schemas.openxmlformats.org/drawingml/2006/main">
                <a:ext uri="{FF2B5EF4-FFF2-40B4-BE49-F238E27FC236}">
                  <a16:creationId xmlns:a16="http://schemas.microsoft.com/office/drawing/2014/main" id="{08E0CB1A-FAB7-3771-B5CB-B98B13F18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D9A31A" w14:textId="77777777" w:rsidR="003E4240" w:rsidRDefault="003E4240" w:rsidP="00AA12E3">
      <w:pPr>
        <w:tabs>
          <w:tab w:val="left" w:pos="1095"/>
        </w:tabs>
      </w:pPr>
    </w:p>
    <w:p w14:paraId="3CECAE8C" w14:textId="36FE3556" w:rsidR="007D70EC" w:rsidRPr="00AA12E3" w:rsidRDefault="003E4240" w:rsidP="00AA12E3">
      <w:pPr>
        <w:tabs>
          <w:tab w:val="left" w:pos="1095"/>
        </w:tabs>
        <w:rPr>
          <w:bCs/>
          <w:i/>
          <w:iCs/>
          <w:sz w:val="16"/>
          <w:szCs w:val="16"/>
        </w:rPr>
      </w:pPr>
      <w:r>
        <w:rPr>
          <w:bCs/>
          <w:i/>
          <w:iCs/>
          <w:sz w:val="16"/>
          <w:szCs w:val="16"/>
        </w:rPr>
        <w:t xml:space="preserve">                 </w:t>
      </w:r>
      <w:r w:rsidR="00687734">
        <w:rPr>
          <w:bCs/>
          <w:i/>
          <w:iCs/>
          <w:sz w:val="16"/>
          <w:szCs w:val="16"/>
        </w:rPr>
        <w:t xml:space="preserve">   </w:t>
      </w:r>
      <w:r w:rsidRPr="00475886">
        <w:rPr>
          <w:bCs/>
          <w:i/>
          <w:iCs/>
          <w:sz w:val="16"/>
          <w:szCs w:val="16"/>
        </w:rPr>
        <w:t>Fuente: Elaboración propia a partir de datos de superficies y producciones del Ministerio de Agricultura</w:t>
      </w:r>
    </w:p>
    <w:p w14:paraId="5EC17761" w14:textId="77777777" w:rsidR="007D70EC" w:rsidRDefault="007D70EC" w:rsidP="00AA12E3">
      <w:pPr>
        <w:tabs>
          <w:tab w:val="left" w:pos="1095"/>
        </w:tabs>
      </w:pPr>
    </w:p>
    <w:p w14:paraId="1BBD832C" w14:textId="77777777" w:rsidR="00284AFF" w:rsidRDefault="00284AFF" w:rsidP="00AA12E3">
      <w:pPr>
        <w:tabs>
          <w:tab w:val="left" w:pos="1095"/>
        </w:tabs>
      </w:pPr>
    </w:p>
    <w:p w14:paraId="3D944891" w14:textId="54A6BD6B" w:rsidR="001352AA" w:rsidRDefault="001352AA" w:rsidP="00AA12E3">
      <w:pPr>
        <w:tabs>
          <w:tab w:val="left" w:pos="1095"/>
        </w:tabs>
      </w:pPr>
      <w:r>
        <w:t>En l</w:t>
      </w:r>
      <w:r w:rsidR="002062ED">
        <w:t>os</w:t>
      </w:r>
      <w:r>
        <w:t xml:space="preserve"> siguientes gráfic</w:t>
      </w:r>
      <w:r w:rsidR="002062ED">
        <w:t>o</w:t>
      </w:r>
      <w:r>
        <w:t xml:space="preserve">s se pueden ver las variaciones en cuanto al precio de las principales leguminosas grano de Castilla y León: </w:t>
      </w:r>
    </w:p>
    <w:p w14:paraId="23983130" w14:textId="565F6D62" w:rsidR="00956BE7" w:rsidRDefault="00956BE7" w:rsidP="00AA12E3">
      <w:pPr>
        <w:tabs>
          <w:tab w:val="left" w:pos="1095"/>
        </w:tabs>
        <w:jc w:val="center"/>
      </w:pPr>
    </w:p>
    <w:p w14:paraId="2AA9835D" w14:textId="32FA8578" w:rsidR="004A0E3F" w:rsidRDefault="000E23DB" w:rsidP="00AA12E3">
      <w:pPr>
        <w:tabs>
          <w:tab w:val="left" w:pos="1095"/>
        </w:tabs>
        <w:jc w:val="left"/>
        <w:rPr>
          <w:noProof/>
        </w:rPr>
      </w:pPr>
      <w:r w:rsidRPr="000E23DB">
        <w:rPr>
          <w:noProof/>
        </w:rPr>
        <w:t xml:space="preserve"> </w:t>
      </w:r>
      <w:r w:rsidR="00702195">
        <w:rPr>
          <w:noProof/>
        </w:rPr>
        <w:t xml:space="preserve"> </w:t>
      </w:r>
      <w:r w:rsidR="00E06453">
        <w:rPr>
          <w:noProof/>
        </w:rPr>
        <w:drawing>
          <wp:inline distT="0" distB="0" distL="0" distR="0" wp14:anchorId="5C452127" wp14:editId="77A4A408">
            <wp:extent cx="2638425" cy="2352675"/>
            <wp:effectExtent l="0" t="0" r="9525" b="9525"/>
            <wp:docPr id="1978221243" name="Gráfico 1">
              <a:extLst xmlns:a="http://schemas.openxmlformats.org/drawingml/2006/main">
                <a:ext uri="{FF2B5EF4-FFF2-40B4-BE49-F238E27FC236}">
                  <a16:creationId xmlns:a16="http://schemas.microsoft.com/office/drawing/2014/main" id="{6E2CC558-41B2-967F-004D-039608DB2C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F2DB1">
        <w:rPr>
          <w:noProof/>
        </w:rPr>
        <w:t xml:space="preserve">  </w:t>
      </w:r>
      <w:r>
        <w:rPr>
          <w:noProof/>
        </w:rPr>
        <w:t xml:space="preserve"> </w:t>
      </w:r>
      <w:r w:rsidR="000F2DB1">
        <w:rPr>
          <w:noProof/>
        </w:rPr>
        <w:t xml:space="preserve">  </w:t>
      </w:r>
      <w:r w:rsidR="00E06453">
        <w:rPr>
          <w:noProof/>
        </w:rPr>
        <w:t xml:space="preserve">  </w:t>
      </w:r>
      <w:r w:rsidR="00896532">
        <w:rPr>
          <w:noProof/>
        </w:rPr>
        <w:drawing>
          <wp:inline distT="0" distB="0" distL="0" distR="0" wp14:anchorId="4530B4DA" wp14:editId="5A61D10A">
            <wp:extent cx="2457450" cy="2371725"/>
            <wp:effectExtent l="0" t="0" r="0" b="9525"/>
            <wp:docPr id="1553389911" name="Gráfico 1">
              <a:extLst xmlns:a="http://schemas.openxmlformats.org/drawingml/2006/main">
                <a:ext uri="{FF2B5EF4-FFF2-40B4-BE49-F238E27FC236}">
                  <a16:creationId xmlns:a16="http://schemas.microsoft.com/office/drawing/2014/main" id="{5BE3C3DA-2E8C-DD60-3BA1-F20A6B5011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54BAB7C" w14:textId="77777777" w:rsidR="000E23DB" w:rsidRDefault="000E23DB" w:rsidP="00AA12E3">
      <w:pPr>
        <w:tabs>
          <w:tab w:val="left" w:pos="1095"/>
        </w:tabs>
        <w:jc w:val="left"/>
        <w:rPr>
          <w:noProof/>
        </w:rPr>
      </w:pPr>
    </w:p>
    <w:p w14:paraId="1D955721" w14:textId="46EFC143" w:rsidR="000E23DB" w:rsidRDefault="00E06A7D" w:rsidP="00AA12E3">
      <w:pPr>
        <w:tabs>
          <w:tab w:val="left" w:pos="1095"/>
        </w:tabs>
        <w:jc w:val="left"/>
        <w:rPr>
          <w:noProof/>
        </w:rPr>
      </w:pPr>
      <w:r>
        <w:rPr>
          <w:noProof/>
        </w:rPr>
        <w:t xml:space="preserve"> </w:t>
      </w:r>
      <w:r w:rsidR="004D3721">
        <w:rPr>
          <w:noProof/>
        </w:rPr>
        <w:t xml:space="preserve"> </w:t>
      </w:r>
      <w:r w:rsidR="00F00F1C">
        <w:rPr>
          <w:noProof/>
        </w:rPr>
        <w:drawing>
          <wp:inline distT="0" distB="0" distL="0" distR="0" wp14:anchorId="14B58B9F" wp14:editId="1611E0F5">
            <wp:extent cx="2657475" cy="2352675"/>
            <wp:effectExtent l="0" t="0" r="9525" b="9525"/>
            <wp:docPr id="1881502108" name="Gráfico 1">
              <a:extLst xmlns:a="http://schemas.openxmlformats.org/drawingml/2006/main">
                <a:ext uri="{FF2B5EF4-FFF2-40B4-BE49-F238E27FC236}">
                  <a16:creationId xmlns:a16="http://schemas.microsoft.com/office/drawing/2014/main" id="{3B523DF8-F0A8-43BA-8021-C880C3557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E23DB">
        <w:rPr>
          <w:noProof/>
        </w:rPr>
        <w:t xml:space="preserve">   </w:t>
      </w:r>
      <w:r>
        <w:rPr>
          <w:noProof/>
        </w:rPr>
        <w:t xml:space="preserve">  </w:t>
      </w:r>
      <w:r w:rsidR="000F2DB1">
        <w:rPr>
          <w:noProof/>
        </w:rPr>
        <w:t xml:space="preserve"> </w:t>
      </w:r>
      <w:r>
        <w:rPr>
          <w:noProof/>
        </w:rPr>
        <w:drawing>
          <wp:inline distT="0" distB="0" distL="0" distR="0" wp14:anchorId="3514E651" wp14:editId="436F83EB">
            <wp:extent cx="2476500" cy="2352675"/>
            <wp:effectExtent l="0" t="0" r="0" b="9525"/>
            <wp:docPr id="181683979" name="Gráfico 1">
              <a:extLst xmlns:a="http://schemas.openxmlformats.org/drawingml/2006/main">
                <a:ext uri="{FF2B5EF4-FFF2-40B4-BE49-F238E27FC236}">
                  <a16:creationId xmlns:a16="http://schemas.microsoft.com/office/drawing/2014/main" id="{5ED202FA-FE43-88DB-38EE-0E9A136BB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4D3721">
        <w:rPr>
          <w:noProof/>
        </w:rPr>
        <w:t xml:space="preserve">  </w:t>
      </w:r>
      <w:r w:rsidR="000F2DB1">
        <w:rPr>
          <w:noProof/>
        </w:rPr>
        <w:t xml:space="preserve">   </w:t>
      </w:r>
    </w:p>
    <w:p w14:paraId="12F01D3B" w14:textId="69F1BD8D" w:rsidR="004A0E3F" w:rsidRDefault="000F2DB1" w:rsidP="00AA12E3">
      <w:pPr>
        <w:tabs>
          <w:tab w:val="left" w:pos="1095"/>
        </w:tabs>
        <w:jc w:val="center"/>
      </w:pPr>
      <w:r>
        <w:t xml:space="preserve"> </w:t>
      </w:r>
    </w:p>
    <w:p w14:paraId="1A3EB527" w14:textId="59142354" w:rsidR="00F125FD" w:rsidRPr="000F2DB1" w:rsidRDefault="004A0E3F" w:rsidP="00AA12E3">
      <w:pPr>
        <w:tabs>
          <w:tab w:val="left" w:pos="1095"/>
        </w:tabs>
        <w:jc w:val="center"/>
        <w:rPr>
          <w:sz w:val="16"/>
          <w:szCs w:val="16"/>
        </w:rPr>
      </w:pPr>
      <w:r w:rsidRPr="000F2DB1">
        <w:rPr>
          <w:i/>
          <w:iCs/>
          <w:sz w:val="16"/>
          <w:szCs w:val="16"/>
          <w:lang w:eastAsia="es-ES"/>
        </w:rPr>
        <w:t>Fuente: Elaboración propia a partir de datos del Observatorio de precios de los productos agrícolas y ganaderos de Castilla y León</w:t>
      </w:r>
    </w:p>
    <w:p w14:paraId="7E7584F8" w14:textId="77777777" w:rsidR="0022367B" w:rsidRDefault="0022367B" w:rsidP="00AA12E3">
      <w:pPr>
        <w:rPr>
          <w:b/>
        </w:rPr>
      </w:pPr>
    </w:p>
    <w:p w14:paraId="3A2CE19D" w14:textId="77777777" w:rsidR="000F2DB1" w:rsidRDefault="000F2DB1" w:rsidP="00AA12E3">
      <w:pPr>
        <w:rPr>
          <w:b/>
        </w:rPr>
      </w:pPr>
    </w:p>
    <w:p w14:paraId="72B862F8" w14:textId="4932BA96" w:rsidR="00F125FD" w:rsidRDefault="00F125FD" w:rsidP="00AA12E3">
      <w:pPr>
        <w:rPr>
          <w:b/>
        </w:rPr>
      </w:pPr>
      <w:r w:rsidRPr="00F125FD">
        <w:rPr>
          <w:b/>
        </w:rPr>
        <w:lastRenderedPageBreak/>
        <w:t>Forrajes</w:t>
      </w:r>
    </w:p>
    <w:p w14:paraId="02C090CD" w14:textId="77777777" w:rsidR="0091581B" w:rsidRPr="00F125FD" w:rsidRDefault="0091581B" w:rsidP="00AA12E3">
      <w:pPr>
        <w:rPr>
          <w:b/>
        </w:rPr>
      </w:pPr>
    </w:p>
    <w:p w14:paraId="71684CE3" w14:textId="2A3348AF" w:rsidR="000F2DB1" w:rsidRDefault="0091581B" w:rsidP="00AA12E3">
      <w:r>
        <w:t>En 2025 la superficie de los cultivos forrajeros en Castilla y Léon</w:t>
      </w:r>
      <w:r w:rsidR="000A3645">
        <w:t>,</w:t>
      </w:r>
      <w:r>
        <w:t xml:space="preserve"> se ha </w:t>
      </w:r>
      <w:r w:rsidR="00701FBF">
        <w:t xml:space="preserve">incrementado </w:t>
      </w:r>
      <w:r>
        <w:t>en un 2,23%, con 216.907 hectáreas cultivadas</w:t>
      </w:r>
      <w:r w:rsidR="00977E2C">
        <w:t xml:space="preserve">, de los cuales maíz y veza para forraje han incrementado la superficie en un 5,8% y 8,34% respectivamente, mientras que la superficie de alfalfa se ha visto reducida en un 6,3%, teniendo en cuenta que se había producido un incremento en superficie en 2024 de casi  6.000 hectáreas, en 2025 la cifra </w:t>
      </w:r>
      <w:r w:rsidR="00286875">
        <w:t>vuelve a ser</w:t>
      </w:r>
      <w:r w:rsidR="00977E2C">
        <w:t xml:space="preserve"> similar a la de hace dos campañas, con 80.500 hectáreas de alfalfa.</w:t>
      </w:r>
      <w:r w:rsidR="00AA12E3">
        <w:t xml:space="preserve"> </w:t>
      </w:r>
      <w:r w:rsidR="00FC14E8">
        <w:t>Respecto a la producción, se han recogido 4.428.418 toneladas, un 13,41% menos que la pasada campaña.</w:t>
      </w:r>
    </w:p>
    <w:p w14:paraId="43000C34" w14:textId="77777777" w:rsidR="00603029" w:rsidRDefault="00603029" w:rsidP="00AA12E3"/>
    <w:p w14:paraId="05FBF85F" w14:textId="2175E5DD" w:rsidR="00F125FD" w:rsidRPr="00F125FD" w:rsidRDefault="00F125FD" w:rsidP="00AA12E3">
      <w:r w:rsidRPr="00F125FD">
        <w:t>En la siguiente tabla se muestra la evolución de las superficies y producciones por cultivos:</w:t>
      </w:r>
    </w:p>
    <w:p w14:paraId="2190DC11" w14:textId="5DF35DBB" w:rsidR="00F66B87" w:rsidRDefault="00F66B87" w:rsidP="00AA12E3">
      <w:pPr>
        <w:rPr>
          <w:color w:val="EE0000"/>
        </w:rPr>
      </w:pPr>
    </w:p>
    <w:p w14:paraId="37E4F516" w14:textId="1352BBF2" w:rsidR="00154D25" w:rsidRDefault="00154D25" w:rsidP="00AA12E3">
      <w:pPr>
        <w:jc w:val="center"/>
        <w:rPr>
          <w:color w:val="EE0000"/>
        </w:rPr>
      </w:pPr>
    </w:p>
    <w:tbl>
      <w:tblPr>
        <w:tblW w:w="8808" w:type="dxa"/>
        <w:tblCellMar>
          <w:left w:w="70" w:type="dxa"/>
          <w:right w:w="70" w:type="dxa"/>
        </w:tblCellMar>
        <w:tblLook w:val="04A0" w:firstRow="1" w:lastRow="0" w:firstColumn="1" w:lastColumn="0" w:noHBand="0" w:noVBand="1"/>
      </w:tblPr>
      <w:tblGrid>
        <w:gridCol w:w="1710"/>
        <w:gridCol w:w="980"/>
        <w:gridCol w:w="980"/>
        <w:gridCol w:w="1424"/>
        <w:gridCol w:w="1316"/>
        <w:gridCol w:w="1316"/>
        <w:gridCol w:w="1153"/>
      </w:tblGrid>
      <w:tr w:rsidR="00154D25" w:rsidRPr="00154D25" w14:paraId="6FC22D1E" w14:textId="77777777" w:rsidTr="00154D25">
        <w:trPr>
          <w:trHeight w:val="265"/>
        </w:trPr>
        <w:tc>
          <w:tcPr>
            <w:tcW w:w="1710" w:type="dxa"/>
            <w:tcBorders>
              <w:top w:val="nil"/>
              <w:left w:val="nil"/>
              <w:bottom w:val="nil"/>
              <w:right w:val="single" w:sz="8" w:space="0" w:color="auto"/>
            </w:tcBorders>
            <w:noWrap/>
            <w:vAlign w:val="bottom"/>
            <w:hideMark/>
          </w:tcPr>
          <w:p w14:paraId="147B0631" w14:textId="77777777" w:rsidR="00154D25" w:rsidRPr="00154D25" w:rsidRDefault="00154D25" w:rsidP="00AA12E3">
            <w:pPr>
              <w:jc w:val="left"/>
              <w:rPr>
                <w:color w:val="000000"/>
                <w:sz w:val="22"/>
                <w:szCs w:val="22"/>
                <w:lang w:eastAsia="es-ES"/>
              </w:rPr>
            </w:pPr>
            <w:r w:rsidRPr="00154D25">
              <w:rPr>
                <w:color w:val="000000"/>
                <w:sz w:val="22"/>
                <w:szCs w:val="22"/>
                <w:lang w:eastAsia="es-ES"/>
              </w:rPr>
              <w:t> </w:t>
            </w:r>
          </w:p>
        </w:tc>
        <w:tc>
          <w:tcPr>
            <w:tcW w:w="3384" w:type="dxa"/>
            <w:gridSpan w:val="3"/>
            <w:tcBorders>
              <w:top w:val="single" w:sz="8" w:space="0" w:color="auto"/>
              <w:left w:val="nil"/>
              <w:bottom w:val="single" w:sz="8" w:space="0" w:color="auto"/>
              <w:right w:val="single" w:sz="8" w:space="0" w:color="000000"/>
            </w:tcBorders>
            <w:noWrap/>
            <w:vAlign w:val="center"/>
            <w:hideMark/>
          </w:tcPr>
          <w:p w14:paraId="4EA93BAC" w14:textId="77777777" w:rsidR="00154D25" w:rsidRPr="00154D25" w:rsidRDefault="00154D25" w:rsidP="00AA12E3">
            <w:pPr>
              <w:jc w:val="center"/>
              <w:rPr>
                <w:rFonts w:ascii="Aptos Narrow" w:hAnsi="Aptos Narrow" w:cs="Times New Roman"/>
                <w:b/>
                <w:bCs/>
                <w:color w:val="000000"/>
                <w:sz w:val="22"/>
                <w:szCs w:val="22"/>
                <w:lang w:eastAsia="es-ES"/>
              </w:rPr>
            </w:pPr>
            <w:r w:rsidRPr="00154D25">
              <w:rPr>
                <w:rFonts w:ascii="Aptos Narrow" w:hAnsi="Aptos Narrow" w:cs="Times New Roman"/>
                <w:b/>
                <w:bCs/>
                <w:color w:val="000000"/>
                <w:sz w:val="22"/>
                <w:szCs w:val="22"/>
                <w:lang w:eastAsia="es-ES"/>
              </w:rPr>
              <w:t>Superficie (Ha)</w:t>
            </w:r>
          </w:p>
        </w:tc>
        <w:tc>
          <w:tcPr>
            <w:tcW w:w="3714" w:type="dxa"/>
            <w:gridSpan w:val="3"/>
            <w:tcBorders>
              <w:top w:val="single" w:sz="8" w:space="0" w:color="auto"/>
              <w:left w:val="nil"/>
              <w:bottom w:val="single" w:sz="8" w:space="0" w:color="auto"/>
              <w:right w:val="single" w:sz="8" w:space="0" w:color="000000"/>
            </w:tcBorders>
            <w:noWrap/>
            <w:vAlign w:val="center"/>
            <w:hideMark/>
          </w:tcPr>
          <w:p w14:paraId="4D632653" w14:textId="77777777" w:rsidR="00154D25" w:rsidRPr="00154D25" w:rsidRDefault="00154D25" w:rsidP="00AA12E3">
            <w:pPr>
              <w:jc w:val="center"/>
              <w:rPr>
                <w:rFonts w:ascii="Aptos Narrow" w:hAnsi="Aptos Narrow" w:cs="Times New Roman"/>
                <w:b/>
                <w:bCs/>
                <w:color w:val="000000"/>
                <w:sz w:val="22"/>
                <w:szCs w:val="22"/>
                <w:lang w:eastAsia="es-ES"/>
              </w:rPr>
            </w:pPr>
            <w:r w:rsidRPr="00154D25">
              <w:rPr>
                <w:rFonts w:ascii="Aptos Narrow" w:hAnsi="Aptos Narrow" w:cs="Times New Roman"/>
                <w:b/>
                <w:bCs/>
                <w:color w:val="000000"/>
                <w:sz w:val="22"/>
                <w:szCs w:val="22"/>
                <w:lang w:eastAsia="es-ES"/>
              </w:rPr>
              <w:t>Producción (T)</w:t>
            </w:r>
          </w:p>
        </w:tc>
      </w:tr>
      <w:tr w:rsidR="00154D25" w:rsidRPr="00154D25" w14:paraId="6E499E5B" w14:textId="77777777" w:rsidTr="00154D25">
        <w:trPr>
          <w:trHeight w:val="404"/>
        </w:trPr>
        <w:tc>
          <w:tcPr>
            <w:tcW w:w="1710" w:type="dxa"/>
            <w:tcBorders>
              <w:top w:val="nil"/>
              <w:left w:val="nil"/>
              <w:bottom w:val="single" w:sz="8" w:space="0" w:color="auto"/>
              <w:right w:val="single" w:sz="8" w:space="0" w:color="auto"/>
            </w:tcBorders>
            <w:noWrap/>
            <w:vAlign w:val="bottom"/>
            <w:hideMark/>
          </w:tcPr>
          <w:p w14:paraId="0749D87B" w14:textId="77777777" w:rsidR="00154D25" w:rsidRPr="00154D25" w:rsidRDefault="00154D25" w:rsidP="00AA12E3">
            <w:pPr>
              <w:jc w:val="left"/>
              <w:rPr>
                <w:color w:val="000000"/>
                <w:sz w:val="22"/>
                <w:szCs w:val="22"/>
                <w:lang w:eastAsia="es-ES"/>
              </w:rPr>
            </w:pPr>
            <w:r w:rsidRPr="00154D25">
              <w:rPr>
                <w:color w:val="000000"/>
                <w:sz w:val="22"/>
                <w:szCs w:val="22"/>
                <w:lang w:eastAsia="es-ES"/>
              </w:rPr>
              <w:t> </w:t>
            </w:r>
          </w:p>
        </w:tc>
        <w:tc>
          <w:tcPr>
            <w:tcW w:w="980" w:type="dxa"/>
            <w:tcBorders>
              <w:top w:val="nil"/>
              <w:left w:val="nil"/>
              <w:bottom w:val="single" w:sz="8" w:space="0" w:color="auto"/>
              <w:right w:val="single" w:sz="8" w:space="0" w:color="auto"/>
            </w:tcBorders>
            <w:noWrap/>
            <w:vAlign w:val="center"/>
            <w:hideMark/>
          </w:tcPr>
          <w:p w14:paraId="37028E79"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2024</w:t>
            </w:r>
          </w:p>
        </w:tc>
        <w:tc>
          <w:tcPr>
            <w:tcW w:w="980" w:type="dxa"/>
            <w:tcBorders>
              <w:top w:val="nil"/>
              <w:left w:val="nil"/>
              <w:bottom w:val="single" w:sz="8" w:space="0" w:color="auto"/>
              <w:right w:val="single" w:sz="8" w:space="0" w:color="auto"/>
            </w:tcBorders>
            <w:noWrap/>
            <w:vAlign w:val="center"/>
            <w:hideMark/>
          </w:tcPr>
          <w:p w14:paraId="78207CBD" w14:textId="77777777" w:rsidR="00154D25" w:rsidRPr="00154D25" w:rsidRDefault="00154D25" w:rsidP="00AA12E3">
            <w:pPr>
              <w:jc w:val="center"/>
              <w:rPr>
                <w:rFonts w:ascii="Aptos Narrow" w:hAnsi="Aptos Narrow" w:cs="Times New Roman"/>
                <w:b/>
                <w:bCs/>
                <w:color w:val="000000"/>
                <w:sz w:val="22"/>
                <w:szCs w:val="22"/>
                <w:lang w:eastAsia="es-ES"/>
              </w:rPr>
            </w:pPr>
            <w:r w:rsidRPr="00154D25">
              <w:rPr>
                <w:rFonts w:ascii="Aptos Narrow" w:hAnsi="Aptos Narrow" w:cs="Times New Roman"/>
                <w:b/>
                <w:bCs/>
                <w:color w:val="000000"/>
                <w:sz w:val="22"/>
                <w:szCs w:val="22"/>
                <w:lang w:eastAsia="es-ES"/>
              </w:rPr>
              <w:t>2025</w:t>
            </w:r>
          </w:p>
        </w:tc>
        <w:tc>
          <w:tcPr>
            <w:tcW w:w="1424" w:type="dxa"/>
            <w:tcBorders>
              <w:top w:val="nil"/>
              <w:left w:val="nil"/>
              <w:bottom w:val="single" w:sz="8" w:space="0" w:color="auto"/>
              <w:right w:val="single" w:sz="8" w:space="0" w:color="auto"/>
            </w:tcBorders>
            <w:noWrap/>
            <w:vAlign w:val="center"/>
            <w:hideMark/>
          </w:tcPr>
          <w:p w14:paraId="115E5520" w14:textId="77777777" w:rsidR="00154D25" w:rsidRPr="00154D25" w:rsidRDefault="00154D25" w:rsidP="00AA12E3">
            <w:pPr>
              <w:jc w:val="center"/>
              <w:rPr>
                <w:rFonts w:ascii="Aptos Narrow" w:hAnsi="Aptos Narrow" w:cs="Times New Roman"/>
                <w:b/>
                <w:bCs/>
                <w:color w:val="000000"/>
                <w:sz w:val="22"/>
                <w:szCs w:val="22"/>
                <w:lang w:eastAsia="es-ES"/>
              </w:rPr>
            </w:pPr>
            <w:r w:rsidRPr="00154D25">
              <w:rPr>
                <w:rFonts w:ascii="Aptos Narrow" w:hAnsi="Aptos Narrow" w:cs="Times New Roman"/>
                <w:b/>
                <w:bCs/>
                <w:color w:val="000000"/>
                <w:sz w:val="22"/>
                <w:szCs w:val="22"/>
                <w:lang w:eastAsia="es-ES"/>
              </w:rPr>
              <w:t xml:space="preserve">Variación % </w:t>
            </w:r>
          </w:p>
        </w:tc>
        <w:tc>
          <w:tcPr>
            <w:tcW w:w="1316" w:type="dxa"/>
            <w:tcBorders>
              <w:top w:val="nil"/>
              <w:left w:val="nil"/>
              <w:bottom w:val="single" w:sz="8" w:space="0" w:color="auto"/>
              <w:right w:val="single" w:sz="8" w:space="0" w:color="auto"/>
            </w:tcBorders>
            <w:noWrap/>
            <w:vAlign w:val="center"/>
            <w:hideMark/>
          </w:tcPr>
          <w:p w14:paraId="6AF466D8"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2024</w:t>
            </w:r>
          </w:p>
        </w:tc>
        <w:tc>
          <w:tcPr>
            <w:tcW w:w="1245" w:type="dxa"/>
            <w:tcBorders>
              <w:top w:val="nil"/>
              <w:left w:val="nil"/>
              <w:bottom w:val="single" w:sz="8" w:space="0" w:color="auto"/>
              <w:right w:val="single" w:sz="8" w:space="0" w:color="auto"/>
            </w:tcBorders>
            <w:noWrap/>
            <w:vAlign w:val="center"/>
            <w:hideMark/>
          </w:tcPr>
          <w:p w14:paraId="3D1A4B7A" w14:textId="77777777" w:rsidR="00154D25" w:rsidRPr="00154D25" w:rsidRDefault="00154D25" w:rsidP="00AA12E3">
            <w:pPr>
              <w:jc w:val="center"/>
              <w:rPr>
                <w:rFonts w:ascii="Aptos Narrow" w:hAnsi="Aptos Narrow" w:cs="Times New Roman"/>
                <w:b/>
                <w:bCs/>
                <w:color w:val="000000"/>
                <w:sz w:val="22"/>
                <w:szCs w:val="22"/>
                <w:lang w:eastAsia="es-ES"/>
              </w:rPr>
            </w:pPr>
            <w:r w:rsidRPr="00154D25">
              <w:rPr>
                <w:rFonts w:ascii="Aptos Narrow" w:hAnsi="Aptos Narrow" w:cs="Times New Roman"/>
                <w:b/>
                <w:bCs/>
                <w:color w:val="000000"/>
                <w:sz w:val="22"/>
                <w:szCs w:val="22"/>
                <w:lang w:eastAsia="es-ES"/>
              </w:rPr>
              <w:t>2025</w:t>
            </w:r>
          </w:p>
        </w:tc>
        <w:tc>
          <w:tcPr>
            <w:tcW w:w="1153" w:type="dxa"/>
            <w:tcBorders>
              <w:top w:val="nil"/>
              <w:left w:val="nil"/>
              <w:bottom w:val="single" w:sz="8" w:space="0" w:color="auto"/>
              <w:right w:val="single" w:sz="8" w:space="0" w:color="auto"/>
            </w:tcBorders>
            <w:noWrap/>
            <w:vAlign w:val="center"/>
            <w:hideMark/>
          </w:tcPr>
          <w:p w14:paraId="34CE6D73" w14:textId="77777777" w:rsidR="00154D25" w:rsidRPr="00154D25" w:rsidRDefault="00154D25" w:rsidP="00AA12E3">
            <w:pPr>
              <w:jc w:val="center"/>
              <w:rPr>
                <w:rFonts w:ascii="Aptos Narrow" w:hAnsi="Aptos Narrow" w:cs="Times New Roman"/>
                <w:b/>
                <w:bCs/>
                <w:color w:val="000000"/>
                <w:sz w:val="22"/>
                <w:szCs w:val="22"/>
                <w:lang w:eastAsia="es-ES"/>
              </w:rPr>
            </w:pPr>
            <w:r w:rsidRPr="00154D25">
              <w:rPr>
                <w:rFonts w:ascii="Aptos Narrow" w:hAnsi="Aptos Narrow" w:cs="Times New Roman"/>
                <w:b/>
                <w:bCs/>
                <w:color w:val="000000"/>
                <w:sz w:val="22"/>
                <w:szCs w:val="22"/>
                <w:lang w:eastAsia="es-ES"/>
              </w:rPr>
              <w:t>Variación %</w:t>
            </w:r>
          </w:p>
        </w:tc>
      </w:tr>
      <w:tr w:rsidR="00154D25" w:rsidRPr="00154D25" w14:paraId="20FADBD2" w14:textId="77777777" w:rsidTr="00154D25">
        <w:trPr>
          <w:trHeight w:val="265"/>
        </w:trPr>
        <w:tc>
          <w:tcPr>
            <w:tcW w:w="1710" w:type="dxa"/>
            <w:tcBorders>
              <w:top w:val="nil"/>
              <w:left w:val="single" w:sz="8" w:space="0" w:color="auto"/>
              <w:bottom w:val="single" w:sz="8" w:space="0" w:color="auto"/>
              <w:right w:val="single" w:sz="8" w:space="0" w:color="auto"/>
            </w:tcBorders>
            <w:noWrap/>
            <w:vAlign w:val="center"/>
            <w:hideMark/>
          </w:tcPr>
          <w:p w14:paraId="194CF123" w14:textId="77777777" w:rsidR="00154D25" w:rsidRPr="00154D25" w:rsidRDefault="00154D25" w:rsidP="00AA12E3">
            <w:pPr>
              <w:jc w:val="left"/>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Maíz forrajero</w:t>
            </w:r>
          </w:p>
        </w:tc>
        <w:tc>
          <w:tcPr>
            <w:tcW w:w="980" w:type="dxa"/>
            <w:tcBorders>
              <w:top w:val="nil"/>
              <w:left w:val="nil"/>
              <w:bottom w:val="single" w:sz="4" w:space="0" w:color="auto"/>
              <w:right w:val="single" w:sz="8" w:space="0" w:color="auto"/>
            </w:tcBorders>
            <w:noWrap/>
            <w:vAlign w:val="bottom"/>
            <w:hideMark/>
          </w:tcPr>
          <w:p w14:paraId="37CB8ABB"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11.735</w:t>
            </w:r>
          </w:p>
        </w:tc>
        <w:tc>
          <w:tcPr>
            <w:tcW w:w="980" w:type="dxa"/>
            <w:tcBorders>
              <w:top w:val="nil"/>
              <w:left w:val="nil"/>
              <w:bottom w:val="single" w:sz="4" w:space="0" w:color="auto"/>
              <w:right w:val="single" w:sz="8" w:space="0" w:color="auto"/>
            </w:tcBorders>
            <w:noWrap/>
            <w:vAlign w:val="bottom"/>
            <w:hideMark/>
          </w:tcPr>
          <w:p w14:paraId="1695F88F"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12.412</w:t>
            </w:r>
          </w:p>
        </w:tc>
        <w:tc>
          <w:tcPr>
            <w:tcW w:w="1424" w:type="dxa"/>
            <w:tcBorders>
              <w:top w:val="nil"/>
              <w:left w:val="nil"/>
              <w:bottom w:val="single" w:sz="4" w:space="0" w:color="auto"/>
              <w:right w:val="single" w:sz="8" w:space="0" w:color="auto"/>
            </w:tcBorders>
            <w:noWrap/>
            <w:vAlign w:val="center"/>
            <w:hideMark/>
          </w:tcPr>
          <w:p w14:paraId="126D4A83"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5,77</w:t>
            </w:r>
          </w:p>
        </w:tc>
        <w:tc>
          <w:tcPr>
            <w:tcW w:w="1316" w:type="dxa"/>
            <w:tcBorders>
              <w:top w:val="nil"/>
              <w:left w:val="nil"/>
              <w:bottom w:val="single" w:sz="4" w:space="0" w:color="auto"/>
              <w:right w:val="single" w:sz="8" w:space="0" w:color="auto"/>
            </w:tcBorders>
            <w:noWrap/>
            <w:vAlign w:val="center"/>
            <w:hideMark/>
          </w:tcPr>
          <w:p w14:paraId="05D03EC9"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726.301</w:t>
            </w:r>
          </w:p>
        </w:tc>
        <w:tc>
          <w:tcPr>
            <w:tcW w:w="1245" w:type="dxa"/>
            <w:tcBorders>
              <w:top w:val="nil"/>
              <w:left w:val="nil"/>
              <w:bottom w:val="single" w:sz="4" w:space="0" w:color="auto"/>
              <w:right w:val="single" w:sz="8" w:space="0" w:color="auto"/>
            </w:tcBorders>
            <w:noWrap/>
            <w:vAlign w:val="center"/>
            <w:hideMark/>
          </w:tcPr>
          <w:p w14:paraId="21056B87"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700.496</w:t>
            </w:r>
          </w:p>
        </w:tc>
        <w:tc>
          <w:tcPr>
            <w:tcW w:w="1153" w:type="dxa"/>
            <w:tcBorders>
              <w:top w:val="nil"/>
              <w:left w:val="nil"/>
              <w:bottom w:val="single" w:sz="4" w:space="0" w:color="auto"/>
              <w:right w:val="single" w:sz="8" w:space="0" w:color="auto"/>
            </w:tcBorders>
            <w:noWrap/>
            <w:vAlign w:val="center"/>
            <w:hideMark/>
          </w:tcPr>
          <w:p w14:paraId="67FAF0F5"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-3,55</w:t>
            </w:r>
          </w:p>
        </w:tc>
      </w:tr>
      <w:tr w:rsidR="00154D25" w:rsidRPr="00154D25" w14:paraId="342F737D" w14:textId="77777777" w:rsidTr="00154D25">
        <w:trPr>
          <w:trHeight w:val="265"/>
        </w:trPr>
        <w:tc>
          <w:tcPr>
            <w:tcW w:w="1710" w:type="dxa"/>
            <w:tcBorders>
              <w:top w:val="nil"/>
              <w:left w:val="single" w:sz="8" w:space="0" w:color="auto"/>
              <w:bottom w:val="single" w:sz="8" w:space="0" w:color="auto"/>
              <w:right w:val="single" w:sz="8" w:space="0" w:color="auto"/>
            </w:tcBorders>
            <w:noWrap/>
            <w:vAlign w:val="center"/>
            <w:hideMark/>
          </w:tcPr>
          <w:p w14:paraId="52CFC195" w14:textId="77777777" w:rsidR="00154D25" w:rsidRPr="00154D25" w:rsidRDefault="00154D25" w:rsidP="00AA12E3">
            <w:pPr>
              <w:jc w:val="left"/>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Alfalfa</w:t>
            </w:r>
          </w:p>
        </w:tc>
        <w:tc>
          <w:tcPr>
            <w:tcW w:w="980" w:type="dxa"/>
            <w:tcBorders>
              <w:top w:val="nil"/>
              <w:left w:val="nil"/>
              <w:bottom w:val="single" w:sz="4" w:space="0" w:color="auto"/>
              <w:right w:val="single" w:sz="8" w:space="0" w:color="auto"/>
            </w:tcBorders>
            <w:noWrap/>
            <w:vAlign w:val="center"/>
            <w:hideMark/>
          </w:tcPr>
          <w:p w14:paraId="0742571C"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86.040</w:t>
            </w:r>
          </w:p>
        </w:tc>
        <w:tc>
          <w:tcPr>
            <w:tcW w:w="980" w:type="dxa"/>
            <w:tcBorders>
              <w:top w:val="nil"/>
              <w:left w:val="nil"/>
              <w:bottom w:val="single" w:sz="4" w:space="0" w:color="auto"/>
              <w:right w:val="single" w:sz="8" w:space="0" w:color="auto"/>
            </w:tcBorders>
            <w:noWrap/>
            <w:vAlign w:val="center"/>
            <w:hideMark/>
          </w:tcPr>
          <w:p w14:paraId="171488D1"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80.564</w:t>
            </w:r>
          </w:p>
        </w:tc>
        <w:tc>
          <w:tcPr>
            <w:tcW w:w="1424" w:type="dxa"/>
            <w:tcBorders>
              <w:top w:val="nil"/>
              <w:left w:val="nil"/>
              <w:bottom w:val="single" w:sz="4" w:space="0" w:color="auto"/>
              <w:right w:val="single" w:sz="8" w:space="0" w:color="auto"/>
            </w:tcBorders>
            <w:noWrap/>
            <w:vAlign w:val="center"/>
            <w:hideMark/>
          </w:tcPr>
          <w:p w14:paraId="09D183E2"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-6,36</w:t>
            </w:r>
          </w:p>
        </w:tc>
        <w:tc>
          <w:tcPr>
            <w:tcW w:w="1316" w:type="dxa"/>
            <w:tcBorders>
              <w:top w:val="nil"/>
              <w:left w:val="nil"/>
              <w:bottom w:val="single" w:sz="4" w:space="0" w:color="auto"/>
              <w:right w:val="single" w:sz="8" w:space="0" w:color="auto"/>
            </w:tcBorders>
            <w:noWrap/>
            <w:vAlign w:val="center"/>
            <w:hideMark/>
          </w:tcPr>
          <w:p w14:paraId="45BD334B"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2.347.705</w:t>
            </w:r>
          </w:p>
        </w:tc>
        <w:tc>
          <w:tcPr>
            <w:tcW w:w="1245" w:type="dxa"/>
            <w:tcBorders>
              <w:top w:val="nil"/>
              <w:left w:val="nil"/>
              <w:bottom w:val="single" w:sz="4" w:space="0" w:color="auto"/>
              <w:right w:val="single" w:sz="8" w:space="0" w:color="auto"/>
            </w:tcBorders>
            <w:noWrap/>
            <w:vAlign w:val="center"/>
            <w:hideMark/>
          </w:tcPr>
          <w:p w14:paraId="066594F3"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1.687.330</w:t>
            </w:r>
          </w:p>
        </w:tc>
        <w:tc>
          <w:tcPr>
            <w:tcW w:w="1153" w:type="dxa"/>
            <w:tcBorders>
              <w:top w:val="nil"/>
              <w:left w:val="nil"/>
              <w:bottom w:val="single" w:sz="4" w:space="0" w:color="auto"/>
              <w:right w:val="single" w:sz="8" w:space="0" w:color="auto"/>
            </w:tcBorders>
            <w:noWrap/>
            <w:vAlign w:val="center"/>
            <w:hideMark/>
          </w:tcPr>
          <w:p w14:paraId="020FD372"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-28,13</w:t>
            </w:r>
          </w:p>
        </w:tc>
      </w:tr>
      <w:tr w:rsidR="00154D25" w:rsidRPr="00154D25" w14:paraId="7DCCEFD7" w14:textId="77777777" w:rsidTr="00154D25">
        <w:trPr>
          <w:trHeight w:val="265"/>
        </w:trPr>
        <w:tc>
          <w:tcPr>
            <w:tcW w:w="1710" w:type="dxa"/>
            <w:tcBorders>
              <w:top w:val="nil"/>
              <w:left w:val="single" w:sz="8" w:space="0" w:color="auto"/>
              <w:bottom w:val="single" w:sz="8" w:space="0" w:color="auto"/>
              <w:right w:val="single" w:sz="8" w:space="0" w:color="auto"/>
            </w:tcBorders>
            <w:noWrap/>
            <w:vAlign w:val="center"/>
            <w:hideMark/>
          </w:tcPr>
          <w:p w14:paraId="1B6E494C" w14:textId="77777777" w:rsidR="00154D25" w:rsidRPr="00154D25" w:rsidRDefault="00154D25" w:rsidP="00AA12E3">
            <w:pPr>
              <w:jc w:val="left"/>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Veza para forraje</w:t>
            </w:r>
          </w:p>
        </w:tc>
        <w:tc>
          <w:tcPr>
            <w:tcW w:w="980" w:type="dxa"/>
            <w:tcBorders>
              <w:top w:val="nil"/>
              <w:left w:val="nil"/>
              <w:bottom w:val="single" w:sz="4" w:space="0" w:color="auto"/>
              <w:right w:val="single" w:sz="8" w:space="0" w:color="auto"/>
            </w:tcBorders>
            <w:noWrap/>
            <w:vAlign w:val="center"/>
            <w:hideMark/>
          </w:tcPr>
          <w:p w14:paraId="70FEACA4"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114.393</w:t>
            </w:r>
          </w:p>
        </w:tc>
        <w:tc>
          <w:tcPr>
            <w:tcW w:w="980" w:type="dxa"/>
            <w:tcBorders>
              <w:top w:val="nil"/>
              <w:left w:val="nil"/>
              <w:bottom w:val="single" w:sz="4" w:space="0" w:color="auto"/>
              <w:right w:val="single" w:sz="8" w:space="0" w:color="auto"/>
            </w:tcBorders>
            <w:noWrap/>
            <w:vAlign w:val="bottom"/>
            <w:hideMark/>
          </w:tcPr>
          <w:p w14:paraId="75320D15"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123.931</w:t>
            </w:r>
          </w:p>
        </w:tc>
        <w:tc>
          <w:tcPr>
            <w:tcW w:w="1424" w:type="dxa"/>
            <w:tcBorders>
              <w:top w:val="nil"/>
              <w:left w:val="nil"/>
              <w:bottom w:val="single" w:sz="4" w:space="0" w:color="auto"/>
              <w:right w:val="single" w:sz="8" w:space="0" w:color="auto"/>
            </w:tcBorders>
            <w:noWrap/>
            <w:vAlign w:val="center"/>
            <w:hideMark/>
          </w:tcPr>
          <w:p w14:paraId="1C2CC210"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8,34</w:t>
            </w:r>
          </w:p>
        </w:tc>
        <w:tc>
          <w:tcPr>
            <w:tcW w:w="1316" w:type="dxa"/>
            <w:tcBorders>
              <w:top w:val="nil"/>
              <w:left w:val="nil"/>
              <w:bottom w:val="single" w:sz="4" w:space="0" w:color="auto"/>
              <w:right w:val="single" w:sz="8" w:space="0" w:color="auto"/>
            </w:tcBorders>
            <w:noWrap/>
            <w:vAlign w:val="bottom"/>
            <w:hideMark/>
          </w:tcPr>
          <w:p w14:paraId="7C1D94C9"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2.040.279,00</w:t>
            </w:r>
          </w:p>
        </w:tc>
        <w:tc>
          <w:tcPr>
            <w:tcW w:w="1245" w:type="dxa"/>
            <w:tcBorders>
              <w:top w:val="nil"/>
              <w:left w:val="nil"/>
              <w:bottom w:val="single" w:sz="4" w:space="0" w:color="auto"/>
              <w:right w:val="single" w:sz="8" w:space="0" w:color="auto"/>
            </w:tcBorders>
            <w:noWrap/>
            <w:vAlign w:val="bottom"/>
            <w:hideMark/>
          </w:tcPr>
          <w:p w14:paraId="15E1CCF9"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2.040.593,00</w:t>
            </w:r>
          </w:p>
        </w:tc>
        <w:tc>
          <w:tcPr>
            <w:tcW w:w="1153" w:type="dxa"/>
            <w:tcBorders>
              <w:top w:val="nil"/>
              <w:left w:val="nil"/>
              <w:bottom w:val="single" w:sz="4" w:space="0" w:color="auto"/>
              <w:right w:val="single" w:sz="8" w:space="0" w:color="auto"/>
            </w:tcBorders>
            <w:noWrap/>
            <w:vAlign w:val="center"/>
            <w:hideMark/>
          </w:tcPr>
          <w:p w14:paraId="128119F1" w14:textId="77777777" w:rsidR="00154D25" w:rsidRPr="00154D25" w:rsidRDefault="00154D25" w:rsidP="00AA12E3">
            <w:pPr>
              <w:jc w:val="center"/>
              <w:rPr>
                <w:rFonts w:ascii="Aptos Narrow" w:hAnsi="Aptos Narrow" w:cs="Times New Roman"/>
                <w:color w:val="000000"/>
                <w:sz w:val="22"/>
                <w:szCs w:val="22"/>
                <w:lang w:eastAsia="es-ES"/>
              </w:rPr>
            </w:pPr>
            <w:r w:rsidRPr="00154D25">
              <w:rPr>
                <w:rFonts w:ascii="Aptos Narrow" w:hAnsi="Aptos Narrow" w:cs="Times New Roman"/>
                <w:color w:val="000000"/>
                <w:sz w:val="22"/>
                <w:szCs w:val="22"/>
                <w:lang w:eastAsia="es-ES"/>
              </w:rPr>
              <w:t>0,02</w:t>
            </w:r>
          </w:p>
        </w:tc>
      </w:tr>
      <w:tr w:rsidR="00154D25" w:rsidRPr="00154D25" w14:paraId="355CBE71" w14:textId="77777777" w:rsidTr="00154D25">
        <w:trPr>
          <w:trHeight w:val="265"/>
        </w:trPr>
        <w:tc>
          <w:tcPr>
            <w:tcW w:w="1710" w:type="dxa"/>
            <w:tcBorders>
              <w:top w:val="nil"/>
              <w:left w:val="single" w:sz="8" w:space="0" w:color="auto"/>
              <w:bottom w:val="single" w:sz="8" w:space="0" w:color="auto"/>
              <w:right w:val="single" w:sz="8" w:space="0" w:color="auto"/>
            </w:tcBorders>
            <w:noWrap/>
            <w:vAlign w:val="center"/>
            <w:hideMark/>
          </w:tcPr>
          <w:p w14:paraId="3A19FB46" w14:textId="77777777" w:rsidR="00154D25" w:rsidRPr="00154D25" w:rsidRDefault="00154D25" w:rsidP="00AA12E3">
            <w:pPr>
              <w:jc w:val="left"/>
              <w:rPr>
                <w:rFonts w:ascii="Aptos Narrow" w:hAnsi="Aptos Narrow" w:cs="Times New Roman"/>
                <w:b/>
                <w:bCs/>
                <w:color w:val="000000"/>
                <w:sz w:val="22"/>
                <w:szCs w:val="22"/>
                <w:lang w:eastAsia="es-ES"/>
              </w:rPr>
            </w:pPr>
            <w:r w:rsidRPr="00154D25">
              <w:rPr>
                <w:rFonts w:ascii="Aptos Narrow" w:hAnsi="Aptos Narrow" w:cs="Times New Roman"/>
                <w:b/>
                <w:bCs/>
                <w:color w:val="000000"/>
                <w:sz w:val="22"/>
                <w:szCs w:val="22"/>
                <w:lang w:eastAsia="es-ES"/>
              </w:rPr>
              <w:t>Total</w:t>
            </w:r>
          </w:p>
        </w:tc>
        <w:tc>
          <w:tcPr>
            <w:tcW w:w="980" w:type="dxa"/>
            <w:tcBorders>
              <w:top w:val="nil"/>
              <w:left w:val="nil"/>
              <w:bottom w:val="single" w:sz="8" w:space="0" w:color="auto"/>
              <w:right w:val="single" w:sz="8" w:space="0" w:color="auto"/>
            </w:tcBorders>
            <w:noWrap/>
            <w:vAlign w:val="center"/>
            <w:hideMark/>
          </w:tcPr>
          <w:p w14:paraId="11C98320" w14:textId="77777777" w:rsidR="00154D25" w:rsidRPr="00154D25" w:rsidRDefault="00154D25" w:rsidP="00AA12E3">
            <w:pPr>
              <w:jc w:val="center"/>
              <w:rPr>
                <w:rFonts w:ascii="Aptos Narrow" w:hAnsi="Aptos Narrow" w:cs="Times New Roman"/>
                <w:b/>
                <w:bCs/>
                <w:color w:val="000000"/>
                <w:sz w:val="22"/>
                <w:szCs w:val="22"/>
                <w:lang w:eastAsia="es-ES"/>
              </w:rPr>
            </w:pPr>
            <w:r w:rsidRPr="00154D25">
              <w:rPr>
                <w:rFonts w:ascii="Aptos Narrow" w:hAnsi="Aptos Narrow" w:cs="Times New Roman"/>
                <w:b/>
                <w:bCs/>
                <w:color w:val="000000"/>
                <w:sz w:val="22"/>
                <w:szCs w:val="22"/>
                <w:lang w:eastAsia="es-ES"/>
              </w:rPr>
              <w:t>212.168</w:t>
            </w:r>
          </w:p>
        </w:tc>
        <w:tc>
          <w:tcPr>
            <w:tcW w:w="980" w:type="dxa"/>
            <w:tcBorders>
              <w:top w:val="nil"/>
              <w:left w:val="nil"/>
              <w:bottom w:val="single" w:sz="8" w:space="0" w:color="auto"/>
              <w:right w:val="single" w:sz="8" w:space="0" w:color="auto"/>
            </w:tcBorders>
            <w:noWrap/>
            <w:vAlign w:val="center"/>
            <w:hideMark/>
          </w:tcPr>
          <w:p w14:paraId="7AB81C2B" w14:textId="77777777" w:rsidR="00154D25" w:rsidRPr="00154D25" w:rsidRDefault="00154D25" w:rsidP="00AA12E3">
            <w:pPr>
              <w:jc w:val="center"/>
              <w:rPr>
                <w:rFonts w:ascii="Aptos Narrow" w:hAnsi="Aptos Narrow" w:cs="Times New Roman"/>
                <w:b/>
                <w:bCs/>
                <w:color w:val="000000"/>
                <w:sz w:val="22"/>
                <w:szCs w:val="22"/>
                <w:lang w:eastAsia="es-ES"/>
              </w:rPr>
            </w:pPr>
            <w:r w:rsidRPr="00154D25">
              <w:rPr>
                <w:rFonts w:ascii="Aptos Narrow" w:hAnsi="Aptos Narrow" w:cs="Times New Roman"/>
                <w:b/>
                <w:bCs/>
                <w:color w:val="000000"/>
                <w:sz w:val="22"/>
                <w:szCs w:val="22"/>
                <w:lang w:eastAsia="es-ES"/>
              </w:rPr>
              <w:t>216.907</w:t>
            </w:r>
          </w:p>
        </w:tc>
        <w:tc>
          <w:tcPr>
            <w:tcW w:w="1424" w:type="dxa"/>
            <w:tcBorders>
              <w:top w:val="nil"/>
              <w:left w:val="nil"/>
              <w:bottom w:val="single" w:sz="8" w:space="0" w:color="auto"/>
              <w:right w:val="single" w:sz="8" w:space="0" w:color="auto"/>
            </w:tcBorders>
            <w:noWrap/>
            <w:vAlign w:val="center"/>
            <w:hideMark/>
          </w:tcPr>
          <w:p w14:paraId="041D8AA5" w14:textId="77777777" w:rsidR="00154D25" w:rsidRPr="00154D25" w:rsidRDefault="00154D25" w:rsidP="00AA12E3">
            <w:pPr>
              <w:jc w:val="center"/>
              <w:rPr>
                <w:rFonts w:ascii="Aptos Narrow" w:hAnsi="Aptos Narrow" w:cs="Times New Roman"/>
                <w:b/>
                <w:bCs/>
                <w:color w:val="000000"/>
                <w:sz w:val="22"/>
                <w:szCs w:val="22"/>
                <w:lang w:eastAsia="es-ES"/>
              </w:rPr>
            </w:pPr>
            <w:r w:rsidRPr="00154D25">
              <w:rPr>
                <w:rFonts w:ascii="Aptos Narrow" w:hAnsi="Aptos Narrow" w:cs="Times New Roman"/>
                <w:b/>
                <w:bCs/>
                <w:color w:val="000000"/>
                <w:sz w:val="22"/>
                <w:szCs w:val="22"/>
                <w:lang w:eastAsia="es-ES"/>
              </w:rPr>
              <w:t>2,23</w:t>
            </w:r>
          </w:p>
        </w:tc>
        <w:tc>
          <w:tcPr>
            <w:tcW w:w="1316" w:type="dxa"/>
            <w:tcBorders>
              <w:top w:val="nil"/>
              <w:left w:val="nil"/>
              <w:bottom w:val="single" w:sz="8" w:space="0" w:color="auto"/>
              <w:right w:val="single" w:sz="8" w:space="0" w:color="auto"/>
            </w:tcBorders>
            <w:noWrap/>
            <w:vAlign w:val="center"/>
            <w:hideMark/>
          </w:tcPr>
          <w:p w14:paraId="7C5C9A81" w14:textId="77777777" w:rsidR="00154D25" w:rsidRPr="00154D25" w:rsidRDefault="00154D25" w:rsidP="00AA12E3">
            <w:pPr>
              <w:jc w:val="center"/>
              <w:rPr>
                <w:rFonts w:ascii="Aptos Narrow" w:hAnsi="Aptos Narrow" w:cs="Times New Roman"/>
                <w:b/>
                <w:bCs/>
                <w:color w:val="000000"/>
                <w:sz w:val="22"/>
                <w:szCs w:val="22"/>
                <w:lang w:eastAsia="es-ES"/>
              </w:rPr>
            </w:pPr>
            <w:r w:rsidRPr="00154D25">
              <w:rPr>
                <w:rFonts w:ascii="Aptos Narrow" w:hAnsi="Aptos Narrow" w:cs="Times New Roman"/>
                <w:b/>
                <w:bCs/>
                <w:color w:val="000000"/>
                <w:sz w:val="22"/>
                <w:szCs w:val="22"/>
                <w:lang w:eastAsia="es-ES"/>
              </w:rPr>
              <w:t>5.114.285</w:t>
            </w:r>
          </w:p>
        </w:tc>
        <w:tc>
          <w:tcPr>
            <w:tcW w:w="1245" w:type="dxa"/>
            <w:tcBorders>
              <w:top w:val="nil"/>
              <w:left w:val="nil"/>
              <w:bottom w:val="single" w:sz="8" w:space="0" w:color="auto"/>
              <w:right w:val="single" w:sz="8" w:space="0" w:color="auto"/>
            </w:tcBorders>
            <w:noWrap/>
            <w:vAlign w:val="center"/>
            <w:hideMark/>
          </w:tcPr>
          <w:p w14:paraId="07A03A68" w14:textId="77777777" w:rsidR="00154D25" w:rsidRPr="00154D25" w:rsidRDefault="00154D25" w:rsidP="00AA12E3">
            <w:pPr>
              <w:jc w:val="center"/>
              <w:rPr>
                <w:rFonts w:ascii="Aptos Narrow" w:hAnsi="Aptos Narrow" w:cs="Times New Roman"/>
                <w:b/>
                <w:bCs/>
                <w:color w:val="000000"/>
                <w:sz w:val="22"/>
                <w:szCs w:val="22"/>
                <w:lang w:eastAsia="es-ES"/>
              </w:rPr>
            </w:pPr>
            <w:r w:rsidRPr="00154D25">
              <w:rPr>
                <w:rFonts w:ascii="Aptos Narrow" w:hAnsi="Aptos Narrow" w:cs="Times New Roman"/>
                <w:b/>
                <w:bCs/>
                <w:color w:val="000000"/>
                <w:sz w:val="22"/>
                <w:szCs w:val="22"/>
                <w:lang w:eastAsia="es-ES"/>
              </w:rPr>
              <w:t>4.428.419</w:t>
            </w:r>
          </w:p>
        </w:tc>
        <w:tc>
          <w:tcPr>
            <w:tcW w:w="1153" w:type="dxa"/>
            <w:tcBorders>
              <w:top w:val="nil"/>
              <w:left w:val="nil"/>
              <w:bottom w:val="single" w:sz="8" w:space="0" w:color="auto"/>
              <w:right w:val="single" w:sz="8" w:space="0" w:color="auto"/>
            </w:tcBorders>
            <w:noWrap/>
            <w:vAlign w:val="center"/>
            <w:hideMark/>
          </w:tcPr>
          <w:p w14:paraId="28ED5EDB" w14:textId="77777777" w:rsidR="00154D25" w:rsidRPr="00154D25" w:rsidRDefault="00154D25" w:rsidP="00AA12E3">
            <w:pPr>
              <w:jc w:val="center"/>
              <w:rPr>
                <w:rFonts w:ascii="Aptos Narrow" w:hAnsi="Aptos Narrow" w:cs="Times New Roman"/>
                <w:b/>
                <w:bCs/>
                <w:color w:val="000000"/>
                <w:sz w:val="22"/>
                <w:szCs w:val="22"/>
                <w:lang w:eastAsia="es-ES"/>
              </w:rPr>
            </w:pPr>
            <w:r w:rsidRPr="00154D25">
              <w:rPr>
                <w:rFonts w:ascii="Aptos Narrow" w:hAnsi="Aptos Narrow" w:cs="Times New Roman"/>
                <w:b/>
                <w:bCs/>
                <w:color w:val="000000"/>
                <w:sz w:val="22"/>
                <w:szCs w:val="22"/>
                <w:lang w:eastAsia="es-ES"/>
              </w:rPr>
              <w:t>-13,41</w:t>
            </w:r>
          </w:p>
        </w:tc>
      </w:tr>
    </w:tbl>
    <w:p w14:paraId="432E2B9D" w14:textId="77777777" w:rsidR="00154D25" w:rsidRPr="000F2DB1" w:rsidRDefault="00154D25" w:rsidP="00AA12E3">
      <w:pPr>
        <w:jc w:val="center"/>
        <w:rPr>
          <w:i/>
          <w:iCs/>
          <w:sz w:val="16"/>
          <w:szCs w:val="16"/>
          <w:lang w:eastAsia="es-ES"/>
        </w:rPr>
      </w:pPr>
    </w:p>
    <w:p w14:paraId="0983597F" w14:textId="12B73BE0" w:rsidR="00154D25" w:rsidRPr="000F2DB1" w:rsidRDefault="00154D25" w:rsidP="00AA12E3">
      <w:pPr>
        <w:ind w:left="-284"/>
        <w:jc w:val="center"/>
        <w:rPr>
          <w:color w:val="EE0000"/>
          <w:sz w:val="16"/>
          <w:szCs w:val="16"/>
        </w:rPr>
      </w:pPr>
      <w:r w:rsidRPr="000F2DB1">
        <w:rPr>
          <w:i/>
          <w:iCs/>
          <w:sz w:val="16"/>
          <w:szCs w:val="16"/>
          <w:lang w:eastAsia="es-ES"/>
        </w:rPr>
        <w:t xml:space="preserve">       Fuente: Elaboración propia a partir de los avances de superficies y producciones del Ministerio de Agricultura, Pesca y Alimentación</w:t>
      </w:r>
    </w:p>
    <w:p w14:paraId="4DB6AE90" w14:textId="5F3D54B0" w:rsidR="003332A5" w:rsidRPr="00F125FD" w:rsidRDefault="003332A5" w:rsidP="00AA12E3"/>
    <w:p w14:paraId="0B85CD0F" w14:textId="0E3B94CD" w:rsidR="009C6B02" w:rsidRDefault="00F209FE" w:rsidP="00AA12E3">
      <w:r w:rsidRPr="00F209FE">
        <w:t>La alfalfa comenzó a cotizar en el mes de mayo</w:t>
      </w:r>
      <w:r>
        <w:t xml:space="preserve"> a 182 euros por tonelada, un 9,5% por debajo del precio de 2024. Sin embargo, a partir de junio los precios tuvieron una cotización</w:t>
      </w:r>
      <w:r w:rsidR="00F968E3">
        <w:t xml:space="preserve"> en torno a</w:t>
      </w:r>
      <w:r>
        <w:t xml:space="preserve"> </w:t>
      </w:r>
      <w:r w:rsidR="00F968E3">
        <w:t xml:space="preserve">un 8% de media </w:t>
      </w:r>
      <w:r>
        <w:t>por encima a</w:t>
      </w:r>
      <w:r w:rsidR="00124600">
        <w:t xml:space="preserve"> la pasada campaña</w:t>
      </w:r>
      <w:r w:rsidR="00F968E3">
        <w:t>.</w:t>
      </w:r>
    </w:p>
    <w:p w14:paraId="59A0BE14" w14:textId="0C731703" w:rsidR="00124600" w:rsidRDefault="00F75931" w:rsidP="00AA12E3">
      <w:r>
        <w:t xml:space="preserve">En cuanto a la </w:t>
      </w:r>
      <w:proofErr w:type="spellStart"/>
      <w:r>
        <w:t>veza</w:t>
      </w:r>
      <w:proofErr w:type="spellEnd"/>
      <w:r>
        <w:t xml:space="preserve">, el precio se ha mantenido </w:t>
      </w:r>
      <w:r w:rsidR="00E07304">
        <w:t xml:space="preserve">entre los meses de mayo a agosto </w:t>
      </w:r>
      <w:r>
        <w:t xml:space="preserve">por debajo a la pasada campaña, </w:t>
      </w:r>
      <w:r w:rsidR="00E07304">
        <w:t>iniciando la cotización en mayo a</w:t>
      </w:r>
      <w:r>
        <w:t xml:space="preserve"> </w:t>
      </w:r>
      <w:r w:rsidR="00E07304">
        <w:t xml:space="preserve">109,5 </w:t>
      </w:r>
      <w:r>
        <w:t>euros por tonelada</w:t>
      </w:r>
      <w:r w:rsidR="00E07304">
        <w:t>, hasta llegar a los 130 euros la tonelada entre septiembre y octubre, cotización similar a la del año pasado en ese periodo.</w:t>
      </w:r>
    </w:p>
    <w:p w14:paraId="4A63EF29" w14:textId="77777777" w:rsidR="009A63CB" w:rsidRDefault="009A63CB" w:rsidP="00AA12E3"/>
    <w:p w14:paraId="6F7DD98F" w14:textId="1D04BBAE" w:rsidR="00F75931" w:rsidRDefault="00124600" w:rsidP="00AA12E3">
      <w:r w:rsidRPr="00124600">
        <w:t>Se muestra la evolución en los siguientes gráficos:</w:t>
      </w:r>
    </w:p>
    <w:p w14:paraId="3369E649" w14:textId="77777777" w:rsidR="00154705" w:rsidRDefault="00154705" w:rsidP="00AA12E3"/>
    <w:p w14:paraId="2457D5A9" w14:textId="3C60948F" w:rsidR="00F66B87" w:rsidRDefault="00C47A27" w:rsidP="00AA12E3">
      <w:pPr>
        <w:rPr>
          <w:color w:val="EE0000"/>
        </w:rPr>
      </w:pPr>
      <w:r>
        <w:rPr>
          <w:color w:val="EE0000"/>
        </w:rPr>
        <w:t xml:space="preserve">  </w:t>
      </w:r>
      <w:r w:rsidR="00154705">
        <w:rPr>
          <w:noProof/>
        </w:rPr>
        <w:drawing>
          <wp:inline distT="0" distB="0" distL="0" distR="0" wp14:anchorId="76D3713A" wp14:editId="43031AF8">
            <wp:extent cx="2609850" cy="2181225"/>
            <wp:effectExtent l="0" t="0" r="0" b="9525"/>
            <wp:docPr id="1708057332" name="Gráfico 1">
              <a:extLst xmlns:a="http://schemas.openxmlformats.org/drawingml/2006/main">
                <a:ext uri="{FF2B5EF4-FFF2-40B4-BE49-F238E27FC236}">
                  <a16:creationId xmlns:a16="http://schemas.microsoft.com/office/drawing/2014/main" id="{FBB53D84-B207-0EC6-1111-78EF3C62A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color w:val="EE0000"/>
        </w:rPr>
        <w:t xml:space="preserve">     </w:t>
      </w:r>
      <w:r w:rsidR="00154705">
        <w:rPr>
          <w:noProof/>
        </w:rPr>
        <w:drawing>
          <wp:inline distT="0" distB="0" distL="0" distR="0" wp14:anchorId="603007E4" wp14:editId="07B5E8FC">
            <wp:extent cx="2628900" cy="2181225"/>
            <wp:effectExtent l="0" t="0" r="0" b="9525"/>
            <wp:docPr id="2030301063" name="Gráfico 1">
              <a:extLst xmlns:a="http://schemas.openxmlformats.org/drawingml/2006/main">
                <a:ext uri="{FF2B5EF4-FFF2-40B4-BE49-F238E27FC236}">
                  <a16:creationId xmlns:a16="http://schemas.microsoft.com/office/drawing/2014/main" id="{4D272EB0-B4ED-A6B2-979F-F52507E8A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5AB2E9" w14:textId="36B1C118" w:rsidR="00F125FD" w:rsidRPr="00F125FD" w:rsidRDefault="00F125FD" w:rsidP="00AA12E3"/>
    <w:p w14:paraId="5EAF0D28" w14:textId="0C7825FD" w:rsidR="00AB4B50" w:rsidRPr="00AA12E3" w:rsidRDefault="00F125FD" w:rsidP="00AA12E3">
      <w:pPr>
        <w:spacing w:before="120"/>
        <w:jc w:val="center"/>
        <w:rPr>
          <w:i/>
          <w:iCs/>
          <w:sz w:val="14"/>
          <w:szCs w:val="14"/>
          <w:lang w:eastAsia="es-ES"/>
        </w:rPr>
      </w:pPr>
      <w:r w:rsidRPr="00F125FD">
        <w:rPr>
          <w:i/>
          <w:iCs/>
          <w:sz w:val="14"/>
          <w:szCs w:val="14"/>
          <w:lang w:eastAsia="es-ES"/>
        </w:rPr>
        <w:t>Fuente: Elaboración propia a partir de datos del Observatorio de precios de los productos agrícolas y ganaderos de Castilla y León</w:t>
      </w:r>
    </w:p>
    <w:p w14:paraId="17E146B1" w14:textId="77777777" w:rsidR="00B01FD9" w:rsidRDefault="00B01FD9" w:rsidP="00AA12E3"/>
    <w:p w14:paraId="6A7057D0" w14:textId="77777777" w:rsidR="000F2DB1" w:rsidRPr="00F125FD" w:rsidRDefault="000F2DB1" w:rsidP="00AA12E3"/>
    <w:p w14:paraId="156EF4BB" w14:textId="7856082A" w:rsidR="00F125FD" w:rsidRDefault="00F125FD" w:rsidP="00AA12E3">
      <w:pPr>
        <w:rPr>
          <w:b/>
        </w:rPr>
      </w:pPr>
      <w:bookmarkStart w:id="2" w:name="vitivinicola"/>
      <w:bookmarkEnd w:id="2"/>
      <w:r w:rsidRPr="00F125FD">
        <w:rPr>
          <w:b/>
        </w:rPr>
        <w:t>Vitivinícola</w:t>
      </w:r>
    </w:p>
    <w:p w14:paraId="54F0726A" w14:textId="77777777" w:rsidR="00B66678" w:rsidRDefault="00B66678" w:rsidP="00AA12E3">
      <w:pPr>
        <w:rPr>
          <w:b/>
        </w:rPr>
      </w:pPr>
    </w:p>
    <w:p w14:paraId="056BA863" w14:textId="77777777" w:rsidR="00AB4B50" w:rsidRDefault="00B66678" w:rsidP="00AA12E3">
      <w:pPr>
        <w:spacing w:after="160"/>
      </w:pPr>
      <w:r w:rsidRPr="00BC716B">
        <w:t>Según el avance del Informe de potencial de producción vitícola en España publicado por el Ministerio de Agricultura, Pesca y Alimentación,</w:t>
      </w:r>
      <w:r w:rsidRPr="00BC716B">
        <w:rPr>
          <w:b/>
          <w:bCs/>
        </w:rPr>
        <w:t xml:space="preserve"> </w:t>
      </w:r>
      <w:r w:rsidRPr="00BC716B">
        <w:t>en Castilla y León, a 31 de julio de 2025, ha</w:t>
      </w:r>
      <w:r>
        <w:t>bía</w:t>
      </w:r>
      <w:r w:rsidRPr="00BC716B">
        <w:t xml:space="preserve"> 85.210 hectáreas de viñedo plantadas</w:t>
      </w:r>
      <w:r w:rsidR="00C52FB1">
        <w:t xml:space="preserve">, un </w:t>
      </w:r>
      <w:r w:rsidRPr="00BC716B">
        <w:t>9,4% del total nacional, 1.026 hectáreas de autorizaciones concedidas que no se han ejercido, 295 hectáreas de derechos de plantación que no se han convertido en autorizaciones, y 449 hectáreas de resoluciones de arranque concedidas no incluidas en autorizaciones de plantación.</w:t>
      </w:r>
    </w:p>
    <w:p w14:paraId="7F348E83" w14:textId="77777777" w:rsidR="00AB4B50" w:rsidRDefault="00B66678" w:rsidP="00AA12E3">
      <w:pPr>
        <w:spacing w:after="160"/>
      </w:pPr>
      <w:r w:rsidRPr="00BC716B">
        <w:t>Desde la campaña 2011/2012, Ca</w:t>
      </w:r>
      <w:r w:rsidR="00A465C4">
        <w:t>s</w:t>
      </w:r>
      <w:r w:rsidRPr="00BC716B">
        <w:t xml:space="preserve">tilla y León es la única CCAA que ha experimentado un incremento del potencial vitícola (+8,2%), con un incremento de superficie de viñedo en ese mismo periodo de un 14,3%.  </w:t>
      </w:r>
    </w:p>
    <w:p w14:paraId="5ED6E965" w14:textId="440D9AC1" w:rsidR="0038204E" w:rsidRPr="00BC716B" w:rsidRDefault="00A465C4" w:rsidP="00AA12E3">
      <w:pPr>
        <w:spacing w:after="160"/>
      </w:pPr>
      <w:r>
        <w:t>Respecto</w:t>
      </w:r>
      <w:r w:rsidR="0038204E">
        <w:t xml:space="preserve"> a las autorizaciones de nuevas plantaciones de viñedo,</w:t>
      </w:r>
      <w:r>
        <w:t xml:space="preserve"> </w:t>
      </w:r>
      <w:r w:rsidR="0038204E">
        <w:t>e</w:t>
      </w:r>
      <w:r>
        <w:t>l cupo nacional fijado para 2026</w:t>
      </w:r>
      <w:r w:rsidR="0038204E">
        <w:t xml:space="preserve"> es </w:t>
      </w:r>
      <w:r>
        <w:t xml:space="preserve">de </w:t>
      </w:r>
      <w:r w:rsidR="0038204E">
        <w:t xml:space="preserve">un máximo de </w:t>
      </w:r>
      <w:r>
        <w:t>903 hectáreas, lo que equivale al mínimo operativo permitido por la normativa europea</w:t>
      </w:r>
      <w:r w:rsidR="0038204E">
        <w:t xml:space="preserve">. </w:t>
      </w:r>
      <w:r>
        <w:t>Esta cifra refleja una clara apuesta por la contención del crecimiento del viñedo</w:t>
      </w:r>
      <w:r w:rsidR="0038204E">
        <w:t>.</w:t>
      </w:r>
      <w:r w:rsidR="00AA12E3">
        <w:t xml:space="preserve"> </w:t>
      </w:r>
      <w:r w:rsidR="0038204E">
        <w:t>En Castilla y León, en 2026 la DOP Ribera del Duero limitará las nuevas plantaciones a 0,1 hectáreas, mientras que la DOP Rueda permitirá hasta 1 hectárea anual durante el periodo 2026-2028.</w:t>
      </w:r>
    </w:p>
    <w:p w14:paraId="28DE773A" w14:textId="0C6078CA" w:rsidR="00956384" w:rsidRDefault="00D1087E" w:rsidP="00AA12E3">
      <w:r w:rsidRPr="00BC716B">
        <w:t xml:space="preserve">En esta última campaña, en </w:t>
      </w:r>
      <w:r w:rsidR="00EC5768" w:rsidRPr="00BC716B">
        <w:t>Castilla y León la producción</w:t>
      </w:r>
      <w:r w:rsidRPr="00BC716B">
        <w:t xml:space="preserve"> de uva</w:t>
      </w:r>
      <w:r w:rsidR="00EC5768" w:rsidRPr="00BC716B">
        <w:t xml:space="preserve"> se ha situado en 291 millones de kilos en las denominaciones de origen de la </w:t>
      </w:r>
      <w:r w:rsidR="00C859AB" w:rsidRPr="00BC716B">
        <w:t>c</w:t>
      </w:r>
      <w:r w:rsidR="00EC5768" w:rsidRPr="00BC716B">
        <w:t xml:space="preserve">omunidad, </w:t>
      </w:r>
      <w:r w:rsidR="00C859AB" w:rsidRPr="00BC716B">
        <w:t xml:space="preserve">destacando la </w:t>
      </w:r>
      <w:r w:rsidR="00EC5768" w:rsidRPr="00BC716B">
        <w:t>calidad</w:t>
      </w:r>
      <w:r w:rsidR="00C859AB" w:rsidRPr="00BC716B">
        <w:t xml:space="preserve"> de la uva</w:t>
      </w:r>
      <w:r w:rsidR="00EC5768" w:rsidRPr="00BC716B">
        <w:t>.</w:t>
      </w:r>
      <w:r w:rsidR="00AA12E3">
        <w:t xml:space="preserve"> </w:t>
      </w:r>
      <w:r w:rsidR="00EC5768" w:rsidRPr="00BC716B">
        <w:t xml:space="preserve">Esta producción supone un resultado notable para una campaña cuyo ciclo vegetativo ha estado condicionado por enfermedades como el </w:t>
      </w:r>
      <w:r w:rsidR="00184A88">
        <w:t>m</w:t>
      </w:r>
      <w:r w:rsidR="00EC5768" w:rsidRPr="00BC716B">
        <w:t>ildiu</w:t>
      </w:r>
      <w:r w:rsidR="00956384">
        <w:t>.</w:t>
      </w:r>
    </w:p>
    <w:p w14:paraId="54B6FCB6" w14:textId="54406A76" w:rsidR="00564126" w:rsidRDefault="00956384" w:rsidP="00AA12E3">
      <w:r>
        <w:t xml:space="preserve">También los daños por granizo </w:t>
      </w:r>
      <w:r w:rsidR="00EC5768" w:rsidRPr="00BC716B">
        <w:t>o la ola de calor de la primera quincena de agosto</w:t>
      </w:r>
      <w:r>
        <w:t xml:space="preserve"> han afectado negativamente.</w:t>
      </w:r>
      <w:r w:rsidR="00AA12E3">
        <w:t xml:space="preserve"> </w:t>
      </w:r>
      <w:r w:rsidR="00564126" w:rsidRPr="00BC716B">
        <w:t xml:space="preserve">Así, los 291 millones recolectados </w:t>
      </w:r>
      <w:r w:rsidR="008A5D53" w:rsidRPr="00BC716B">
        <w:t>implican</w:t>
      </w:r>
      <w:r w:rsidR="00564126" w:rsidRPr="00BC716B">
        <w:t xml:space="preserve"> un incremento del 6% respecto a la campaña pasada (274 millones de kilos)</w:t>
      </w:r>
      <w:r w:rsidR="008A5D53" w:rsidRPr="00BC716B">
        <w:t>,</w:t>
      </w:r>
      <w:r w:rsidR="00564126" w:rsidRPr="00BC716B">
        <w:t xml:space="preserve"> y es similar a la media de los últimos cinco años (294 millones), con una calidad buena o muy buena de la uva que permitirá que nuestras denominaciones de origen puedan elaborar vinos de gran expresividad para atender la demanda de los consumidores</w:t>
      </w:r>
      <w:r w:rsidR="0005662A">
        <w:t>.</w:t>
      </w:r>
    </w:p>
    <w:p w14:paraId="5C21A514" w14:textId="77777777" w:rsidR="00AB4B50" w:rsidRDefault="00AB4B50" w:rsidP="00AA12E3"/>
    <w:p w14:paraId="4FD99489" w14:textId="7DBE3E5C" w:rsidR="0038204E" w:rsidRDefault="00564126" w:rsidP="00AA12E3">
      <w:r w:rsidRPr="00BC716B">
        <w:t>El análisis de los datos por zonas revela una campaña donde las dos denominaciones de mayor volumen han tenido un comportamiento dispar.</w:t>
      </w:r>
      <w:r w:rsidR="00AA12E3">
        <w:t xml:space="preserve"> </w:t>
      </w:r>
      <w:r w:rsidR="000B75D0">
        <w:t>En la</w:t>
      </w:r>
      <w:r w:rsidRPr="00BC716B">
        <w:t xml:space="preserve"> D.O. Ribera del Duero se </w:t>
      </w:r>
      <w:r w:rsidR="00D26E4C">
        <w:t xml:space="preserve">han producido </w:t>
      </w:r>
      <w:r w:rsidRPr="00BC716B">
        <w:t>124 millones de kilos,</w:t>
      </w:r>
      <w:r w:rsidR="00D26E4C">
        <w:t xml:space="preserve"> un 30% más que en 2024, que se recolectaron 95 millones de kilos.</w:t>
      </w:r>
      <w:r w:rsidR="00AA12E3">
        <w:t xml:space="preserve"> </w:t>
      </w:r>
      <w:r w:rsidRPr="00BC716B">
        <w:t>Mientras, la D.O. Rued</w:t>
      </w:r>
      <w:r w:rsidR="008A5D53" w:rsidRPr="00BC716B">
        <w:t xml:space="preserve">a, con una producción de </w:t>
      </w:r>
      <w:r w:rsidRPr="00BC716B">
        <w:t>12</w:t>
      </w:r>
      <w:r w:rsidR="002F513E" w:rsidRPr="00BC716B">
        <w:t>3</w:t>
      </w:r>
      <w:r w:rsidRPr="00BC716B">
        <w:t xml:space="preserve"> millones de kilos,</w:t>
      </w:r>
      <w:r w:rsidR="008A5D53" w:rsidRPr="00BC716B">
        <w:t xml:space="preserve"> se queda</w:t>
      </w:r>
      <w:r w:rsidRPr="00BC716B">
        <w:t xml:space="preserve"> por debajo de la elevada vendimia del año pasado, pero suficiente para mantener la demanda del mercado. </w:t>
      </w:r>
    </w:p>
    <w:p w14:paraId="2C4D71A1" w14:textId="77777777" w:rsidR="0038204E" w:rsidRDefault="0038204E" w:rsidP="00AA12E3"/>
    <w:p w14:paraId="3D35BB13" w14:textId="69242FDF" w:rsidR="0038204E" w:rsidRDefault="00564126" w:rsidP="00AA12E3">
      <w:r w:rsidRPr="00BC716B">
        <w:t xml:space="preserve">La vendimia comenzó en Castilla y León el 7 de agosto en la D.O.P </w:t>
      </w:r>
      <w:r w:rsidR="00D26E4C">
        <w:t>Cebreros, si bien, hasta la última semana de agosto no se inició en el resto.</w:t>
      </w:r>
      <w:r w:rsidRPr="00BC716B">
        <w:t xml:space="preserve"> </w:t>
      </w:r>
    </w:p>
    <w:p w14:paraId="0CBD8BB0" w14:textId="13C30F7C" w:rsidR="00564126" w:rsidRPr="00BC716B" w:rsidRDefault="00564126" w:rsidP="00AA12E3">
      <w:r w:rsidRPr="00BC716B">
        <w:t>En la práctica, la recolección se generalizó en la mayor parte del territorio en la segunda quincena de septiembre. </w:t>
      </w:r>
    </w:p>
    <w:p w14:paraId="3450DFBC" w14:textId="77777777" w:rsidR="00E627B6" w:rsidRDefault="00E627B6" w:rsidP="00AA12E3"/>
    <w:p w14:paraId="76C73D87" w14:textId="68B7CF5B" w:rsidR="00D26E4C" w:rsidRDefault="00A500ED" w:rsidP="00AA12E3">
      <w:r w:rsidRPr="00BC716B">
        <w:t>A continuación</w:t>
      </w:r>
      <w:r w:rsidR="002F513E" w:rsidRPr="00BC716B">
        <w:t xml:space="preserve">, </w:t>
      </w:r>
      <w:r w:rsidRPr="00BC716B">
        <w:t>s</w:t>
      </w:r>
      <w:r w:rsidR="000E2719" w:rsidRPr="00BC716B">
        <w:t>e muestra</w:t>
      </w:r>
      <w:r w:rsidR="00BC716B" w:rsidRPr="00BC716B">
        <w:t xml:space="preserve"> una</w:t>
      </w:r>
      <w:r w:rsidR="000E2719" w:rsidRPr="00BC716B">
        <w:t xml:space="preserve"> tabla</w:t>
      </w:r>
      <w:r w:rsidR="002F513E" w:rsidRPr="00BC716B">
        <w:t>-</w:t>
      </w:r>
      <w:r w:rsidR="000E2719" w:rsidRPr="00BC716B">
        <w:t xml:space="preserve">resumen de la vendimia 2025 en </w:t>
      </w:r>
      <w:r w:rsidRPr="00BC716B">
        <w:t xml:space="preserve">las DOP de </w:t>
      </w:r>
      <w:r w:rsidR="00731EB8" w:rsidRPr="00BC716B">
        <w:t>Castilla y León:</w:t>
      </w:r>
    </w:p>
    <w:p w14:paraId="6343F29D" w14:textId="77777777" w:rsidR="00D26E4C" w:rsidRPr="00BC716B" w:rsidRDefault="00D26E4C" w:rsidP="00AA12E3"/>
    <w:tbl>
      <w:tblPr>
        <w:tblpPr w:leftFromText="141" w:rightFromText="141" w:vertAnchor="text" w:horzAnchor="margin" w:tblpXSpec="center" w:tblpY="93"/>
        <w:tblW w:w="8863" w:type="dxa"/>
        <w:tblCellMar>
          <w:left w:w="70" w:type="dxa"/>
          <w:right w:w="70" w:type="dxa"/>
        </w:tblCellMar>
        <w:tblLook w:val="04A0" w:firstRow="1" w:lastRow="0" w:firstColumn="1" w:lastColumn="0" w:noHBand="0" w:noVBand="1"/>
      </w:tblPr>
      <w:tblGrid>
        <w:gridCol w:w="3119"/>
        <w:gridCol w:w="1417"/>
        <w:gridCol w:w="1503"/>
        <w:gridCol w:w="1481"/>
        <w:gridCol w:w="1343"/>
      </w:tblGrid>
      <w:tr w:rsidR="00731EB8" w:rsidRPr="00731EB8" w14:paraId="07B866AA" w14:textId="77777777" w:rsidTr="002A1097">
        <w:trPr>
          <w:trHeight w:val="832"/>
        </w:trPr>
        <w:tc>
          <w:tcPr>
            <w:tcW w:w="3119" w:type="dxa"/>
            <w:tcBorders>
              <w:top w:val="nil"/>
              <w:left w:val="nil"/>
              <w:bottom w:val="nil"/>
              <w:right w:val="nil"/>
            </w:tcBorders>
            <w:noWrap/>
            <w:vAlign w:val="bottom"/>
            <w:hideMark/>
          </w:tcPr>
          <w:p w14:paraId="2ABD24E6" w14:textId="77777777" w:rsidR="00731EB8" w:rsidRPr="00731EB8" w:rsidRDefault="00731EB8" w:rsidP="00AA12E3">
            <w:pPr>
              <w:spacing w:after="240"/>
              <w:jc w:val="left"/>
              <w:rPr>
                <w:rFonts w:ascii="Times New Roman" w:hAnsi="Times New Roman" w:cs="Times New Roman"/>
                <w:sz w:val="20"/>
                <w:szCs w:val="20"/>
                <w:lang w:eastAsia="es-ES"/>
              </w:rPr>
            </w:pPr>
          </w:p>
        </w:tc>
        <w:tc>
          <w:tcPr>
            <w:tcW w:w="1417" w:type="dxa"/>
            <w:tcBorders>
              <w:top w:val="single" w:sz="8" w:space="0" w:color="auto"/>
              <w:left w:val="single" w:sz="8" w:space="0" w:color="auto"/>
              <w:bottom w:val="single" w:sz="8" w:space="0" w:color="auto"/>
              <w:right w:val="single" w:sz="8" w:space="0" w:color="auto"/>
            </w:tcBorders>
            <w:noWrap/>
            <w:vAlign w:val="bottom"/>
            <w:hideMark/>
          </w:tcPr>
          <w:p w14:paraId="353D4DF1" w14:textId="77777777" w:rsidR="00731EB8" w:rsidRPr="00731EB8" w:rsidRDefault="00731EB8" w:rsidP="00AA12E3">
            <w:pPr>
              <w:spacing w:after="240"/>
              <w:jc w:val="center"/>
              <w:rPr>
                <w:b/>
                <w:bCs/>
                <w:color w:val="000000"/>
                <w:sz w:val="20"/>
                <w:szCs w:val="20"/>
                <w:lang w:eastAsia="es-ES"/>
              </w:rPr>
            </w:pPr>
            <w:r w:rsidRPr="00731EB8">
              <w:rPr>
                <w:b/>
                <w:bCs/>
                <w:color w:val="000000"/>
                <w:sz w:val="20"/>
                <w:szCs w:val="20"/>
                <w:lang w:eastAsia="es-ES"/>
              </w:rPr>
              <w:t>Producción 2024 (Kg)</w:t>
            </w:r>
          </w:p>
        </w:tc>
        <w:tc>
          <w:tcPr>
            <w:tcW w:w="1503" w:type="dxa"/>
            <w:tcBorders>
              <w:top w:val="single" w:sz="8" w:space="0" w:color="auto"/>
              <w:left w:val="nil"/>
              <w:bottom w:val="single" w:sz="8" w:space="0" w:color="auto"/>
              <w:right w:val="single" w:sz="8" w:space="0" w:color="auto"/>
            </w:tcBorders>
            <w:noWrap/>
            <w:vAlign w:val="bottom"/>
            <w:hideMark/>
          </w:tcPr>
          <w:p w14:paraId="0BE3EDD9" w14:textId="77777777" w:rsidR="00731EB8" w:rsidRPr="00731EB8" w:rsidRDefault="00731EB8" w:rsidP="00AA12E3">
            <w:pPr>
              <w:spacing w:after="240"/>
              <w:jc w:val="center"/>
              <w:rPr>
                <w:b/>
                <w:bCs/>
                <w:color w:val="000000"/>
                <w:sz w:val="20"/>
                <w:szCs w:val="20"/>
                <w:lang w:eastAsia="es-ES"/>
              </w:rPr>
            </w:pPr>
            <w:r w:rsidRPr="00731EB8">
              <w:rPr>
                <w:b/>
                <w:bCs/>
                <w:color w:val="000000"/>
                <w:sz w:val="20"/>
                <w:szCs w:val="20"/>
                <w:lang w:eastAsia="es-ES"/>
              </w:rPr>
              <w:t>Inicio vendimia 2025</w:t>
            </w:r>
          </w:p>
        </w:tc>
        <w:tc>
          <w:tcPr>
            <w:tcW w:w="1481" w:type="dxa"/>
            <w:tcBorders>
              <w:top w:val="single" w:sz="8" w:space="0" w:color="auto"/>
              <w:left w:val="nil"/>
              <w:bottom w:val="single" w:sz="8" w:space="0" w:color="auto"/>
              <w:right w:val="single" w:sz="8" w:space="0" w:color="auto"/>
            </w:tcBorders>
            <w:noWrap/>
            <w:vAlign w:val="bottom"/>
            <w:hideMark/>
          </w:tcPr>
          <w:p w14:paraId="42284266" w14:textId="77777777" w:rsidR="00731EB8" w:rsidRPr="00731EB8" w:rsidRDefault="00731EB8" w:rsidP="00AA12E3">
            <w:pPr>
              <w:spacing w:after="240"/>
              <w:jc w:val="center"/>
              <w:rPr>
                <w:b/>
                <w:bCs/>
                <w:color w:val="000000"/>
                <w:sz w:val="20"/>
                <w:szCs w:val="20"/>
                <w:lang w:eastAsia="es-ES"/>
              </w:rPr>
            </w:pPr>
            <w:r w:rsidRPr="00731EB8">
              <w:rPr>
                <w:b/>
                <w:bCs/>
                <w:color w:val="000000"/>
                <w:sz w:val="20"/>
                <w:szCs w:val="20"/>
                <w:lang w:eastAsia="es-ES"/>
              </w:rPr>
              <w:t>Producción 2025 (Kg)</w:t>
            </w:r>
          </w:p>
        </w:tc>
        <w:tc>
          <w:tcPr>
            <w:tcW w:w="1343" w:type="dxa"/>
            <w:tcBorders>
              <w:top w:val="single" w:sz="8" w:space="0" w:color="auto"/>
              <w:left w:val="nil"/>
              <w:bottom w:val="single" w:sz="8" w:space="0" w:color="auto"/>
              <w:right w:val="single" w:sz="8" w:space="0" w:color="auto"/>
            </w:tcBorders>
            <w:noWrap/>
            <w:vAlign w:val="bottom"/>
            <w:hideMark/>
          </w:tcPr>
          <w:p w14:paraId="1D880F1C" w14:textId="77777777" w:rsidR="00731EB8" w:rsidRPr="00731EB8" w:rsidRDefault="00731EB8" w:rsidP="00AA12E3">
            <w:pPr>
              <w:spacing w:after="240"/>
              <w:jc w:val="center"/>
              <w:rPr>
                <w:b/>
                <w:bCs/>
                <w:color w:val="000000"/>
                <w:sz w:val="20"/>
                <w:szCs w:val="20"/>
                <w:lang w:eastAsia="es-ES"/>
              </w:rPr>
            </w:pPr>
            <w:r w:rsidRPr="00731EB8">
              <w:rPr>
                <w:b/>
                <w:bCs/>
                <w:color w:val="000000"/>
                <w:sz w:val="20"/>
                <w:szCs w:val="20"/>
                <w:lang w:eastAsia="es-ES"/>
              </w:rPr>
              <w:t>Variación %</w:t>
            </w:r>
          </w:p>
        </w:tc>
      </w:tr>
      <w:tr w:rsidR="00731EB8" w:rsidRPr="00731EB8" w14:paraId="6187573B" w14:textId="77777777" w:rsidTr="002A1097">
        <w:trPr>
          <w:trHeight w:val="160"/>
        </w:trPr>
        <w:tc>
          <w:tcPr>
            <w:tcW w:w="3119" w:type="dxa"/>
            <w:tcBorders>
              <w:top w:val="single" w:sz="8" w:space="0" w:color="auto"/>
              <w:left w:val="single" w:sz="8" w:space="0" w:color="auto"/>
              <w:bottom w:val="single" w:sz="4" w:space="0" w:color="auto"/>
              <w:right w:val="single" w:sz="4" w:space="0" w:color="auto"/>
            </w:tcBorders>
            <w:noWrap/>
            <w:vAlign w:val="bottom"/>
            <w:hideMark/>
          </w:tcPr>
          <w:p w14:paraId="484731CB" w14:textId="77777777" w:rsidR="00731EB8" w:rsidRPr="00662567" w:rsidRDefault="00731EB8" w:rsidP="00AA12E3">
            <w:pPr>
              <w:jc w:val="left"/>
              <w:rPr>
                <w:sz w:val="20"/>
                <w:szCs w:val="20"/>
                <w:lang w:eastAsia="es-ES"/>
              </w:rPr>
            </w:pPr>
            <w:r w:rsidRPr="00662567">
              <w:rPr>
                <w:sz w:val="20"/>
                <w:szCs w:val="20"/>
                <w:lang w:eastAsia="es-ES"/>
              </w:rPr>
              <w:t>ARLANZA</w:t>
            </w:r>
          </w:p>
        </w:tc>
        <w:tc>
          <w:tcPr>
            <w:tcW w:w="1417" w:type="dxa"/>
            <w:tcBorders>
              <w:top w:val="nil"/>
              <w:left w:val="nil"/>
              <w:bottom w:val="single" w:sz="4" w:space="0" w:color="auto"/>
              <w:right w:val="single" w:sz="4" w:space="0" w:color="auto"/>
            </w:tcBorders>
            <w:noWrap/>
            <w:vAlign w:val="bottom"/>
            <w:hideMark/>
          </w:tcPr>
          <w:p w14:paraId="6E4E0EC3" w14:textId="77777777" w:rsidR="00731EB8" w:rsidRPr="00731EB8" w:rsidRDefault="00731EB8" w:rsidP="00AA12E3">
            <w:pPr>
              <w:jc w:val="center"/>
              <w:rPr>
                <w:color w:val="000000"/>
                <w:sz w:val="20"/>
                <w:szCs w:val="20"/>
                <w:lang w:eastAsia="es-ES"/>
              </w:rPr>
            </w:pPr>
            <w:r w:rsidRPr="00731EB8">
              <w:rPr>
                <w:color w:val="000000"/>
                <w:sz w:val="20"/>
                <w:szCs w:val="20"/>
                <w:lang w:eastAsia="es-ES"/>
              </w:rPr>
              <w:t>623.809</w:t>
            </w:r>
          </w:p>
        </w:tc>
        <w:tc>
          <w:tcPr>
            <w:tcW w:w="1503" w:type="dxa"/>
            <w:tcBorders>
              <w:top w:val="nil"/>
              <w:left w:val="nil"/>
              <w:bottom w:val="single" w:sz="4" w:space="0" w:color="auto"/>
              <w:right w:val="single" w:sz="4" w:space="0" w:color="auto"/>
            </w:tcBorders>
            <w:noWrap/>
            <w:vAlign w:val="bottom"/>
            <w:hideMark/>
          </w:tcPr>
          <w:p w14:paraId="43993CC2"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22-sept</w:t>
            </w:r>
          </w:p>
        </w:tc>
        <w:tc>
          <w:tcPr>
            <w:tcW w:w="1481" w:type="dxa"/>
            <w:tcBorders>
              <w:top w:val="nil"/>
              <w:left w:val="nil"/>
              <w:bottom w:val="single" w:sz="4" w:space="0" w:color="auto"/>
              <w:right w:val="single" w:sz="4" w:space="0" w:color="auto"/>
            </w:tcBorders>
            <w:noWrap/>
            <w:vAlign w:val="bottom"/>
            <w:hideMark/>
          </w:tcPr>
          <w:p w14:paraId="68BCCA4C" w14:textId="77777777" w:rsidR="00731EB8" w:rsidRPr="00731EB8" w:rsidRDefault="00731EB8" w:rsidP="00AA12E3">
            <w:pPr>
              <w:jc w:val="center"/>
              <w:rPr>
                <w:color w:val="000000"/>
                <w:sz w:val="20"/>
                <w:szCs w:val="20"/>
                <w:lang w:eastAsia="es-ES"/>
              </w:rPr>
            </w:pPr>
            <w:r w:rsidRPr="00731EB8">
              <w:rPr>
                <w:color w:val="000000"/>
                <w:sz w:val="20"/>
                <w:szCs w:val="20"/>
                <w:lang w:eastAsia="es-ES"/>
              </w:rPr>
              <w:t>400.000</w:t>
            </w:r>
          </w:p>
        </w:tc>
        <w:tc>
          <w:tcPr>
            <w:tcW w:w="1343" w:type="dxa"/>
            <w:tcBorders>
              <w:top w:val="nil"/>
              <w:left w:val="nil"/>
              <w:bottom w:val="single" w:sz="4" w:space="0" w:color="auto"/>
              <w:right w:val="single" w:sz="8" w:space="0" w:color="auto"/>
            </w:tcBorders>
            <w:noWrap/>
            <w:vAlign w:val="bottom"/>
            <w:hideMark/>
          </w:tcPr>
          <w:p w14:paraId="2DA9AE10" w14:textId="77777777" w:rsidR="00731EB8" w:rsidRPr="00731EB8" w:rsidRDefault="00731EB8" w:rsidP="00AA12E3">
            <w:pPr>
              <w:jc w:val="center"/>
              <w:rPr>
                <w:color w:val="000000"/>
                <w:sz w:val="20"/>
                <w:szCs w:val="20"/>
                <w:lang w:eastAsia="es-ES"/>
              </w:rPr>
            </w:pPr>
            <w:r w:rsidRPr="00731EB8">
              <w:rPr>
                <w:color w:val="000000"/>
                <w:sz w:val="20"/>
                <w:szCs w:val="20"/>
                <w:lang w:eastAsia="es-ES"/>
              </w:rPr>
              <w:t>-35,88</w:t>
            </w:r>
          </w:p>
        </w:tc>
      </w:tr>
      <w:tr w:rsidR="00731EB8" w:rsidRPr="00731EB8" w14:paraId="427F76D8" w14:textId="77777777" w:rsidTr="002A1097">
        <w:trPr>
          <w:trHeight w:val="160"/>
        </w:trPr>
        <w:tc>
          <w:tcPr>
            <w:tcW w:w="3119" w:type="dxa"/>
            <w:tcBorders>
              <w:top w:val="nil"/>
              <w:left w:val="single" w:sz="8" w:space="0" w:color="auto"/>
              <w:bottom w:val="single" w:sz="4" w:space="0" w:color="auto"/>
              <w:right w:val="nil"/>
            </w:tcBorders>
            <w:noWrap/>
            <w:vAlign w:val="bottom"/>
            <w:hideMark/>
          </w:tcPr>
          <w:p w14:paraId="202A4DD9" w14:textId="77777777" w:rsidR="00731EB8" w:rsidRPr="00662567" w:rsidRDefault="00731EB8" w:rsidP="00AA12E3">
            <w:pPr>
              <w:jc w:val="left"/>
              <w:rPr>
                <w:sz w:val="20"/>
                <w:szCs w:val="20"/>
                <w:lang w:eastAsia="es-ES"/>
              </w:rPr>
            </w:pPr>
            <w:r w:rsidRPr="00662567">
              <w:rPr>
                <w:sz w:val="20"/>
                <w:szCs w:val="20"/>
                <w:lang w:eastAsia="es-ES"/>
              </w:rPr>
              <w:t>ARRIBES</w:t>
            </w:r>
          </w:p>
        </w:tc>
        <w:tc>
          <w:tcPr>
            <w:tcW w:w="1417" w:type="dxa"/>
            <w:tcBorders>
              <w:top w:val="nil"/>
              <w:left w:val="single" w:sz="4" w:space="0" w:color="auto"/>
              <w:bottom w:val="single" w:sz="4" w:space="0" w:color="auto"/>
              <w:right w:val="single" w:sz="4" w:space="0" w:color="auto"/>
            </w:tcBorders>
            <w:noWrap/>
            <w:vAlign w:val="bottom"/>
            <w:hideMark/>
          </w:tcPr>
          <w:p w14:paraId="11F94864" w14:textId="77777777" w:rsidR="00731EB8" w:rsidRPr="00731EB8" w:rsidRDefault="00731EB8" w:rsidP="00AA12E3">
            <w:pPr>
              <w:jc w:val="center"/>
              <w:rPr>
                <w:color w:val="000000"/>
                <w:sz w:val="20"/>
                <w:szCs w:val="20"/>
                <w:lang w:eastAsia="es-ES"/>
              </w:rPr>
            </w:pPr>
            <w:r w:rsidRPr="00731EB8">
              <w:rPr>
                <w:color w:val="000000"/>
                <w:sz w:val="20"/>
                <w:szCs w:val="20"/>
                <w:lang w:eastAsia="es-ES"/>
              </w:rPr>
              <w:t>719.077</w:t>
            </w:r>
          </w:p>
        </w:tc>
        <w:tc>
          <w:tcPr>
            <w:tcW w:w="1503" w:type="dxa"/>
            <w:tcBorders>
              <w:top w:val="nil"/>
              <w:left w:val="nil"/>
              <w:bottom w:val="single" w:sz="4" w:space="0" w:color="auto"/>
              <w:right w:val="single" w:sz="4" w:space="0" w:color="auto"/>
            </w:tcBorders>
            <w:noWrap/>
            <w:vAlign w:val="bottom"/>
            <w:hideMark/>
          </w:tcPr>
          <w:p w14:paraId="235ACD8A"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20-ago</w:t>
            </w:r>
          </w:p>
        </w:tc>
        <w:tc>
          <w:tcPr>
            <w:tcW w:w="1481" w:type="dxa"/>
            <w:tcBorders>
              <w:top w:val="nil"/>
              <w:left w:val="nil"/>
              <w:bottom w:val="single" w:sz="4" w:space="0" w:color="auto"/>
              <w:right w:val="single" w:sz="4" w:space="0" w:color="auto"/>
            </w:tcBorders>
            <w:noWrap/>
            <w:vAlign w:val="bottom"/>
            <w:hideMark/>
          </w:tcPr>
          <w:p w14:paraId="6D8BFD39" w14:textId="77777777" w:rsidR="00731EB8" w:rsidRPr="00731EB8" w:rsidRDefault="00731EB8" w:rsidP="00AA12E3">
            <w:pPr>
              <w:jc w:val="center"/>
              <w:rPr>
                <w:color w:val="000000"/>
                <w:sz w:val="20"/>
                <w:szCs w:val="20"/>
                <w:lang w:eastAsia="es-ES"/>
              </w:rPr>
            </w:pPr>
            <w:r w:rsidRPr="00731EB8">
              <w:rPr>
                <w:color w:val="000000"/>
                <w:sz w:val="20"/>
                <w:szCs w:val="20"/>
                <w:lang w:eastAsia="es-ES"/>
              </w:rPr>
              <w:t>527.000</w:t>
            </w:r>
          </w:p>
        </w:tc>
        <w:tc>
          <w:tcPr>
            <w:tcW w:w="1343" w:type="dxa"/>
            <w:tcBorders>
              <w:top w:val="nil"/>
              <w:left w:val="nil"/>
              <w:bottom w:val="single" w:sz="4" w:space="0" w:color="auto"/>
              <w:right w:val="single" w:sz="8" w:space="0" w:color="auto"/>
            </w:tcBorders>
            <w:noWrap/>
            <w:vAlign w:val="bottom"/>
            <w:hideMark/>
          </w:tcPr>
          <w:p w14:paraId="2E7E6899"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-26,71</w:t>
            </w:r>
          </w:p>
        </w:tc>
      </w:tr>
      <w:tr w:rsidR="00731EB8" w:rsidRPr="00731EB8" w14:paraId="2F559722" w14:textId="77777777" w:rsidTr="002A1097">
        <w:trPr>
          <w:trHeight w:val="160"/>
        </w:trPr>
        <w:tc>
          <w:tcPr>
            <w:tcW w:w="3119" w:type="dxa"/>
            <w:tcBorders>
              <w:top w:val="nil"/>
              <w:left w:val="single" w:sz="8" w:space="0" w:color="auto"/>
              <w:bottom w:val="single" w:sz="4" w:space="0" w:color="auto"/>
              <w:right w:val="nil"/>
            </w:tcBorders>
            <w:noWrap/>
            <w:vAlign w:val="bottom"/>
            <w:hideMark/>
          </w:tcPr>
          <w:p w14:paraId="2EFF1E54" w14:textId="77777777" w:rsidR="00731EB8" w:rsidRPr="00662567" w:rsidRDefault="00731EB8" w:rsidP="00AA12E3">
            <w:pPr>
              <w:jc w:val="left"/>
              <w:rPr>
                <w:sz w:val="20"/>
                <w:szCs w:val="20"/>
                <w:lang w:eastAsia="es-ES"/>
              </w:rPr>
            </w:pPr>
            <w:r w:rsidRPr="00662567">
              <w:rPr>
                <w:sz w:val="20"/>
                <w:szCs w:val="20"/>
                <w:lang w:eastAsia="es-ES"/>
              </w:rPr>
              <w:t>BIERZO</w:t>
            </w:r>
          </w:p>
        </w:tc>
        <w:tc>
          <w:tcPr>
            <w:tcW w:w="1417" w:type="dxa"/>
            <w:tcBorders>
              <w:top w:val="nil"/>
              <w:left w:val="single" w:sz="4" w:space="0" w:color="auto"/>
              <w:bottom w:val="single" w:sz="4" w:space="0" w:color="auto"/>
              <w:right w:val="single" w:sz="4" w:space="0" w:color="auto"/>
            </w:tcBorders>
            <w:noWrap/>
            <w:vAlign w:val="bottom"/>
            <w:hideMark/>
          </w:tcPr>
          <w:p w14:paraId="0C3B3889" w14:textId="77777777" w:rsidR="00731EB8" w:rsidRPr="00731EB8" w:rsidRDefault="00731EB8" w:rsidP="00AA12E3">
            <w:pPr>
              <w:jc w:val="center"/>
              <w:rPr>
                <w:color w:val="000000"/>
                <w:sz w:val="20"/>
                <w:szCs w:val="20"/>
                <w:lang w:eastAsia="es-ES"/>
              </w:rPr>
            </w:pPr>
            <w:r w:rsidRPr="00731EB8">
              <w:rPr>
                <w:color w:val="000000"/>
                <w:sz w:val="20"/>
                <w:szCs w:val="20"/>
                <w:lang w:eastAsia="es-ES"/>
              </w:rPr>
              <w:t>7.978.655</w:t>
            </w:r>
          </w:p>
        </w:tc>
        <w:tc>
          <w:tcPr>
            <w:tcW w:w="1503" w:type="dxa"/>
            <w:tcBorders>
              <w:top w:val="nil"/>
              <w:left w:val="nil"/>
              <w:bottom w:val="single" w:sz="4" w:space="0" w:color="auto"/>
              <w:right w:val="single" w:sz="4" w:space="0" w:color="auto"/>
            </w:tcBorders>
            <w:noWrap/>
            <w:vAlign w:val="bottom"/>
            <w:hideMark/>
          </w:tcPr>
          <w:p w14:paraId="56F4A633"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25-ago</w:t>
            </w:r>
          </w:p>
        </w:tc>
        <w:tc>
          <w:tcPr>
            <w:tcW w:w="1481" w:type="dxa"/>
            <w:tcBorders>
              <w:top w:val="nil"/>
              <w:left w:val="nil"/>
              <w:bottom w:val="single" w:sz="4" w:space="0" w:color="auto"/>
              <w:right w:val="single" w:sz="4" w:space="0" w:color="auto"/>
            </w:tcBorders>
            <w:noWrap/>
            <w:vAlign w:val="bottom"/>
            <w:hideMark/>
          </w:tcPr>
          <w:p w14:paraId="0298E8D8" w14:textId="77777777" w:rsidR="00731EB8" w:rsidRPr="00731EB8" w:rsidRDefault="00731EB8" w:rsidP="00AA12E3">
            <w:pPr>
              <w:jc w:val="center"/>
              <w:rPr>
                <w:color w:val="000000"/>
                <w:sz w:val="20"/>
                <w:szCs w:val="20"/>
                <w:lang w:eastAsia="es-ES"/>
              </w:rPr>
            </w:pPr>
            <w:r w:rsidRPr="00731EB8">
              <w:rPr>
                <w:color w:val="000000"/>
                <w:sz w:val="20"/>
                <w:szCs w:val="20"/>
                <w:lang w:eastAsia="es-ES"/>
              </w:rPr>
              <w:t>10.500.000</w:t>
            </w:r>
          </w:p>
        </w:tc>
        <w:tc>
          <w:tcPr>
            <w:tcW w:w="1343" w:type="dxa"/>
            <w:tcBorders>
              <w:top w:val="nil"/>
              <w:left w:val="nil"/>
              <w:bottom w:val="single" w:sz="4" w:space="0" w:color="auto"/>
              <w:right w:val="single" w:sz="8" w:space="0" w:color="auto"/>
            </w:tcBorders>
            <w:noWrap/>
            <w:vAlign w:val="bottom"/>
            <w:hideMark/>
          </w:tcPr>
          <w:p w14:paraId="3F2952AD" w14:textId="77777777" w:rsidR="00731EB8" w:rsidRPr="00731EB8" w:rsidRDefault="00731EB8" w:rsidP="00AA12E3">
            <w:pPr>
              <w:jc w:val="center"/>
              <w:rPr>
                <w:color w:val="000000"/>
                <w:sz w:val="20"/>
                <w:szCs w:val="20"/>
                <w:lang w:eastAsia="es-ES"/>
              </w:rPr>
            </w:pPr>
            <w:r w:rsidRPr="00731EB8">
              <w:rPr>
                <w:color w:val="000000"/>
                <w:sz w:val="20"/>
                <w:szCs w:val="20"/>
                <w:lang w:eastAsia="es-ES"/>
              </w:rPr>
              <w:t>31,60</w:t>
            </w:r>
          </w:p>
        </w:tc>
      </w:tr>
      <w:tr w:rsidR="00731EB8" w:rsidRPr="00731EB8" w14:paraId="0701E126" w14:textId="77777777" w:rsidTr="002A1097">
        <w:trPr>
          <w:trHeight w:val="160"/>
        </w:trPr>
        <w:tc>
          <w:tcPr>
            <w:tcW w:w="3119" w:type="dxa"/>
            <w:tcBorders>
              <w:top w:val="nil"/>
              <w:left w:val="single" w:sz="8" w:space="0" w:color="auto"/>
              <w:bottom w:val="single" w:sz="4" w:space="0" w:color="auto"/>
              <w:right w:val="nil"/>
            </w:tcBorders>
            <w:noWrap/>
            <w:vAlign w:val="bottom"/>
            <w:hideMark/>
          </w:tcPr>
          <w:p w14:paraId="0193CD7F" w14:textId="77777777" w:rsidR="00731EB8" w:rsidRPr="00662567" w:rsidRDefault="00731EB8" w:rsidP="00AA12E3">
            <w:pPr>
              <w:jc w:val="left"/>
              <w:rPr>
                <w:sz w:val="20"/>
                <w:szCs w:val="20"/>
                <w:lang w:eastAsia="es-ES"/>
              </w:rPr>
            </w:pPr>
            <w:r w:rsidRPr="00662567">
              <w:rPr>
                <w:sz w:val="20"/>
                <w:szCs w:val="20"/>
                <w:lang w:eastAsia="es-ES"/>
              </w:rPr>
              <w:t>CIGALES</w:t>
            </w:r>
          </w:p>
        </w:tc>
        <w:tc>
          <w:tcPr>
            <w:tcW w:w="1417" w:type="dxa"/>
            <w:tcBorders>
              <w:top w:val="nil"/>
              <w:left w:val="single" w:sz="4" w:space="0" w:color="auto"/>
              <w:bottom w:val="single" w:sz="4" w:space="0" w:color="auto"/>
              <w:right w:val="single" w:sz="4" w:space="0" w:color="auto"/>
            </w:tcBorders>
            <w:noWrap/>
            <w:vAlign w:val="bottom"/>
            <w:hideMark/>
          </w:tcPr>
          <w:p w14:paraId="1E3F21F5" w14:textId="77777777" w:rsidR="00731EB8" w:rsidRPr="00731EB8" w:rsidRDefault="00731EB8" w:rsidP="00AA12E3">
            <w:pPr>
              <w:jc w:val="center"/>
              <w:rPr>
                <w:color w:val="000000"/>
                <w:sz w:val="20"/>
                <w:szCs w:val="20"/>
                <w:lang w:eastAsia="es-ES"/>
              </w:rPr>
            </w:pPr>
            <w:r w:rsidRPr="00731EB8">
              <w:rPr>
                <w:color w:val="000000"/>
                <w:sz w:val="20"/>
                <w:szCs w:val="20"/>
                <w:lang w:eastAsia="es-ES"/>
              </w:rPr>
              <w:t>6.108.949</w:t>
            </w:r>
          </w:p>
        </w:tc>
        <w:tc>
          <w:tcPr>
            <w:tcW w:w="1503" w:type="dxa"/>
            <w:tcBorders>
              <w:top w:val="nil"/>
              <w:left w:val="nil"/>
              <w:bottom w:val="single" w:sz="4" w:space="0" w:color="auto"/>
              <w:right w:val="single" w:sz="4" w:space="0" w:color="auto"/>
            </w:tcBorders>
            <w:noWrap/>
            <w:vAlign w:val="bottom"/>
            <w:hideMark/>
          </w:tcPr>
          <w:p w14:paraId="77067CE8" w14:textId="77777777" w:rsidR="00731EB8" w:rsidRPr="00731EB8" w:rsidRDefault="00731EB8" w:rsidP="00AA12E3">
            <w:pPr>
              <w:jc w:val="center"/>
              <w:rPr>
                <w:color w:val="000000"/>
                <w:sz w:val="20"/>
                <w:szCs w:val="20"/>
                <w:lang w:eastAsia="es-ES"/>
              </w:rPr>
            </w:pPr>
            <w:r w:rsidRPr="00731EB8">
              <w:rPr>
                <w:color w:val="000000"/>
                <w:sz w:val="20"/>
                <w:szCs w:val="20"/>
                <w:lang w:eastAsia="es-ES"/>
              </w:rPr>
              <w:t>10-sep</w:t>
            </w:r>
          </w:p>
        </w:tc>
        <w:tc>
          <w:tcPr>
            <w:tcW w:w="1481" w:type="dxa"/>
            <w:tcBorders>
              <w:top w:val="nil"/>
              <w:left w:val="nil"/>
              <w:bottom w:val="single" w:sz="4" w:space="0" w:color="auto"/>
              <w:right w:val="single" w:sz="4" w:space="0" w:color="auto"/>
            </w:tcBorders>
            <w:noWrap/>
            <w:vAlign w:val="bottom"/>
            <w:hideMark/>
          </w:tcPr>
          <w:p w14:paraId="4EF2D1DF" w14:textId="77777777" w:rsidR="00731EB8" w:rsidRPr="00731EB8" w:rsidRDefault="00731EB8" w:rsidP="00AA12E3">
            <w:pPr>
              <w:jc w:val="center"/>
              <w:rPr>
                <w:color w:val="000000"/>
                <w:sz w:val="20"/>
                <w:szCs w:val="20"/>
                <w:lang w:eastAsia="es-ES"/>
              </w:rPr>
            </w:pPr>
            <w:r w:rsidRPr="00731EB8">
              <w:rPr>
                <w:color w:val="000000"/>
                <w:sz w:val="20"/>
                <w:szCs w:val="20"/>
                <w:lang w:eastAsia="es-ES"/>
              </w:rPr>
              <w:t>6.993.626</w:t>
            </w:r>
          </w:p>
        </w:tc>
        <w:tc>
          <w:tcPr>
            <w:tcW w:w="1343" w:type="dxa"/>
            <w:tcBorders>
              <w:top w:val="nil"/>
              <w:left w:val="nil"/>
              <w:bottom w:val="single" w:sz="4" w:space="0" w:color="auto"/>
              <w:right w:val="single" w:sz="8" w:space="0" w:color="auto"/>
            </w:tcBorders>
            <w:noWrap/>
            <w:vAlign w:val="bottom"/>
            <w:hideMark/>
          </w:tcPr>
          <w:p w14:paraId="546A245D" w14:textId="77777777" w:rsidR="00731EB8" w:rsidRPr="00731EB8" w:rsidRDefault="00731EB8" w:rsidP="00AA12E3">
            <w:pPr>
              <w:jc w:val="center"/>
              <w:rPr>
                <w:color w:val="000000"/>
                <w:sz w:val="20"/>
                <w:szCs w:val="20"/>
                <w:lang w:eastAsia="es-ES"/>
              </w:rPr>
            </w:pPr>
            <w:r w:rsidRPr="00731EB8">
              <w:rPr>
                <w:color w:val="000000"/>
                <w:sz w:val="20"/>
                <w:szCs w:val="20"/>
                <w:lang w:eastAsia="es-ES"/>
              </w:rPr>
              <w:t>14,48</w:t>
            </w:r>
          </w:p>
        </w:tc>
      </w:tr>
      <w:tr w:rsidR="00731EB8" w:rsidRPr="00731EB8" w14:paraId="0A495E06" w14:textId="77777777" w:rsidTr="002A1097">
        <w:trPr>
          <w:trHeight w:val="160"/>
        </w:trPr>
        <w:tc>
          <w:tcPr>
            <w:tcW w:w="3119" w:type="dxa"/>
            <w:tcBorders>
              <w:top w:val="nil"/>
              <w:left w:val="single" w:sz="8" w:space="0" w:color="auto"/>
              <w:bottom w:val="single" w:sz="4" w:space="0" w:color="auto"/>
              <w:right w:val="nil"/>
            </w:tcBorders>
            <w:noWrap/>
            <w:vAlign w:val="bottom"/>
            <w:hideMark/>
          </w:tcPr>
          <w:p w14:paraId="6E272EB7" w14:textId="77777777" w:rsidR="00731EB8" w:rsidRPr="00662567" w:rsidRDefault="00731EB8" w:rsidP="00AA12E3">
            <w:pPr>
              <w:jc w:val="left"/>
              <w:rPr>
                <w:sz w:val="20"/>
                <w:szCs w:val="20"/>
                <w:lang w:eastAsia="es-ES"/>
              </w:rPr>
            </w:pPr>
            <w:r w:rsidRPr="00662567">
              <w:rPr>
                <w:sz w:val="20"/>
                <w:szCs w:val="20"/>
                <w:lang w:eastAsia="es-ES"/>
              </w:rPr>
              <w:t>LEÓN</w:t>
            </w:r>
          </w:p>
        </w:tc>
        <w:tc>
          <w:tcPr>
            <w:tcW w:w="1417" w:type="dxa"/>
            <w:tcBorders>
              <w:top w:val="nil"/>
              <w:left w:val="single" w:sz="4" w:space="0" w:color="auto"/>
              <w:bottom w:val="single" w:sz="4" w:space="0" w:color="auto"/>
              <w:right w:val="single" w:sz="4" w:space="0" w:color="auto"/>
            </w:tcBorders>
            <w:noWrap/>
            <w:vAlign w:val="bottom"/>
            <w:hideMark/>
          </w:tcPr>
          <w:p w14:paraId="7038205B"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2.829.211</w:t>
            </w:r>
          </w:p>
        </w:tc>
        <w:tc>
          <w:tcPr>
            <w:tcW w:w="1503" w:type="dxa"/>
            <w:tcBorders>
              <w:top w:val="nil"/>
              <w:left w:val="nil"/>
              <w:bottom w:val="single" w:sz="4" w:space="0" w:color="auto"/>
              <w:right w:val="single" w:sz="4" w:space="0" w:color="auto"/>
            </w:tcBorders>
            <w:noWrap/>
            <w:vAlign w:val="bottom"/>
            <w:hideMark/>
          </w:tcPr>
          <w:p w14:paraId="343E4942" w14:textId="77777777" w:rsidR="00731EB8" w:rsidRPr="00731EB8" w:rsidRDefault="00731EB8" w:rsidP="00AA12E3">
            <w:pPr>
              <w:jc w:val="center"/>
              <w:rPr>
                <w:color w:val="000000"/>
                <w:sz w:val="20"/>
                <w:szCs w:val="20"/>
                <w:lang w:eastAsia="es-ES"/>
              </w:rPr>
            </w:pPr>
            <w:r w:rsidRPr="00731EB8">
              <w:rPr>
                <w:color w:val="000000"/>
                <w:sz w:val="20"/>
                <w:szCs w:val="20"/>
                <w:lang w:eastAsia="es-ES"/>
              </w:rPr>
              <w:t>6-sep</w:t>
            </w:r>
          </w:p>
        </w:tc>
        <w:tc>
          <w:tcPr>
            <w:tcW w:w="1481" w:type="dxa"/>
            <w:tcBorders>
              <w:top w:val="nil"/>
              <w:left w:val="nil"/>
              <w:bottom w:val="single" w:sz="4" w:space="0" w:color="auto"/>
              <w:right w:val="single" w:sz="4" w:space="0" w:color="auto"/>
            </w:tcBorders>
            <w:noWrap/>
            <w:vAlign w:val="bottom"/>
            <w:hideMark/>
          </w:tcPr>
          <w:p w14:paraId="548D28BD"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2.921.397</w:t>
            </w:r>
          </w:p>
        </w:tc>
        <w:tc>
          <w:tcPr>
            <w:tcW w:w="1343" w:type="dxa"/>
            <w:tcBorders>
              <w:top w:val="nil"/>
              <w:left w:val="nil"/>
              <w:bottom w:val="single" w:sz="4" w:space="0" w:color="auto"/>
              <w:right w:val="single" w:sz="8" w:space="0" w:color="auto"/>
            </w:tcBorders>
            <w:noWrap/>
            <w:vAlign w:val="bottom"/>
            <w:hideMark/>
          </w:tcPr>
          <w:p w14:paraId="4660CA9A" w14:textId="77777777" w:rsidR="00731EB8" w:rsidRPr="00731EB8" w:rsidRDefault="00731EB8" w:rsidP="00AA12E3">
            <w:pPr>
              <w:jc w:val="center"/>
              <w:rPr>
                <w:color w:val="000000"/>
                <w:sz w:val="20"/>
                <w:szCs w:val="20"/>
                <w:lang w:eastAsia="es-ES"/>
              </w:rPr>
            </w:pPr>
            <w:r w:rsidRPr="00731EB8">
              <w:rPr>
                <w:color w:val="000000"/>
                <w:sz w:val="20"/>
                <w:szCs w:val="20"/>
                <w:lang w:eastAsia="es-ES"/>
              </w:rPr>
              <w:t>3,26</w:t>
            </w:r>
          </w:p>
        </w:tc>
      </w:tr>
      <w:tr w:rsidR="00731EB8" w:rsidRPr="00731EB8" w14:paraId="36A5A018" w14:textId="77777777" w:rsidTr="002A1097">
        <w:trPr>
          <w:trHeight w:val="160"/>
        </w:trPr>
        <w:tc>
          <w:tcPr>
            <w:tcW w:w="3119" w:type="dxa"/>
            <w:tcBorders>
              <w:top w:val="nil"/>
              <w:left w:val="single" w:sz="8" w:space="0" w:color="auto"/>
              <w:bottom w:val="single" w:sz="4" w:space="0" w:color="auto"/>
              <w:right w:val="nil"/>
            </w:tcBorders>
            <w:noWrap/>
            <w:vAlign w:val="bottom"/>
            <w:hideMark/>
          </w:tcPr>
          <w:p w14:paraId="3BA8CB1F" w14:textId="77777777" w:rsidR="00731EB8" w:rsidRPr="00662567" w:rsidRDefault="00731EB8" w:rsidP="00AA12E3">
            <w:pPr>
              <w:jc w:val="left"/>
              <w:rPr>
                <w:sz w:val="20"/>
                <w:szCs w:val="20"/>
                <w:lang w:eastAsia="es-ES"/>
              </w:rPr>
            </w:pPr>
            <w:r w:rsidRPr="00662567">
              <w:rPr>
                <w:sz w:val="20"/>
                <w:szCs w:val="20"/>
                <w:lang w:eastAsia="es-ES"/>
              </w:rPr>
              <w:t>RIBERA DEL DUERO</w:t>
            </w:r>
          </w:p>
        </w:tc>
        <w:tc>
          <w:tcPr>
            <w:tcW w:w="1417" w:type="dxa"/>
            <w:tcBorders>
              <w:top w:val="nil"/>
              <w:left w:val="single" w:sz="4" w:space="0" w:color="auto"/>
              <w:bottom w:val="single" w:sz="4" w:space="0" w:color="auto"/>
              <w:right w:val="single" w:sz="4" w:space="0" w:color="auto"/>
            </w:tcBorders>
            <w:noWrap/>
            <w:vAlign w:val="bottom"/>
            <w:hideMark/>
          </w:tcPr>
          <w:p w14:paraId="55852DEA" w14:textId="77777777" w:rsidR="00731EB8" w:rsidRPr="00731EB8" w:rsidRDefault="00731EB8" w:rsidP="00AA12E3">
            <w:pPr>
              <w:jc w:val="center"/>
              <w:rPr>
                <w:color w:val="000000"/>
                <w:sz w:val="20"/>
                <w:szCs w:val="20"/>
                <w:lang w:eastAsia="es-ES"/>
              </w:rPr>
            </w:pPr>
            <w:r w:rsidRPr="00731EB8">
              <w:rPr>
                <w:color w:val="000000"/>
                <w:sz w:val="20"/>
                <w:szCs w:val="20"/>
                <w:lang w:eastAsia="es-ES"/>
              </w:rPr>
              <w:t>95.663.264</w:t>
            </w:r>
          </w:p>
        </w:tc>
        <w:tc>
          <w:tcPr>
            <w:tcW w:w="1503" w:type="dxa"/>
            <w:tcBorders>
              <w:top w:val="nil"/>
              <w:left w:val="nil"/>
              <w:bottom w:val="single" w:sz="4" w:space="0" w:color="auto"/>
              <w:right w:val="single" w:sz="4" w:space="0" w:color="auto"/>
            </w:tcBorders>
            <w:noWrap/>
            <w:vAlign w:val="bottom"/>
            <w:hideMark/>
          </w:tcPr>
          <w:p w14:paraId="713F590D"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29-ago</w:t>
            </w:r>
          </w:p>
        </w:tc>
        <w:tc>
          <w:tcPr>
            <w:tcW w:w="1481" w:type="dxa"/>
            <w:tcBorders>
              <w:top w:val="nil"/>
              <w:left w:val="nil"/>
              <w:bottom w:val="single" w:sz="4" w:space="0" w:color="auto"/>
              <w:right w:val="single" w:sz="4" w:space="0" w:color="auto"/>
            </w:tcBorders>
            <w:noWrap/>
            <w:vAlign w:val="bottom"/>
            <w:hideMark/>
          </w:tcPr>
          <w:p w14:paraId="264828E8" w14:textId="77777777" w:rsidR="00731EB8" w:rsidRPr="00731EB8" w:rsidRDefault="00731EB8" w:rsidP="00AA12E3">
            <w:pPr>
              <w:jc w:val="center"/>
              <w:rPr>
                <w:color w:val="000000"/>
                <w:sz w:val="20"/>
                <w:szCs w:val="20"/>
                <w:lang w:eastAsia="es-ES"/>
              </w:rPr>
            </w:pPr>
            <w:r w:rsidRPr="00731EB8">
              <w:rPr>
                <w:color w:val="000000"/>
                <w:sz w:val="20"/>
                <w:szCs w:val="20"/>
                <w:lang w:eastAsia="es-ES"/>
              </w:rPr>
              <w:t>124.251.020</w:t>
            </w:r>
          </w:p>
        </w:tc>
        <w:tc>
          <w:tcPr>
            <w:tcW w:w="1343" w:type="dxa"/>
            <w:tcBorders>
              <w:top w:val="nil"/>
              <w:left w:val="nil"/>
              <w:bottom w:val="single" w:sz="4" w:space="0" w:color="auto"/>
              <w:right w:val="single" w:sz="8" w:space="0" w:color="auto"/>
            </w:tcBorders>
            <w:noWrap/>
            <w:vAlign w:val="bottom"/>
            <w:hideMark/>
          </w:tcPr>
          <w:p w14:paraId="39561663"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29,88</w:t>
            </w:r>
          </w:p>
        </w:tc>
      </w:tr>
      <w:tr w:rsidR="00731EB8" w:rsidRPr="00731EB8" w14:paraId="05AF6EFE" w14:textId="77777777" w:rsidTr="002A1097">
        <w:trPr>
          <w:trHeight w:val="160"/>
        </w:trPr>
        <w:tc>
          <w:tcPr>
            <w:tcW w:w="3119" w:type="dxa"/>
            <w:tcBorders>
              <w:top w:val="nil"/>
              <w:left w:val="single" w:sz="8" w:space="0" w:color="auto"/>
              <w:bottom w:val="single" w:sz="4" w:space="0" w:color="auto"/>
              <w:right w:val="nil"/>
            </w:tcBorders>
            <w:noWrap/>
            <w:vAlign w:val="bottom"/>
            <w:hideMark/>
          </w:tcPr>
          <w:p w14:paraId="0AFB812E" w14:textId="77777777" w:rsidR="00731EB8" w:rsidRPr="00662567" w:rsidRDefault="00731EB8" w:rsidP="00AA12E3">
            <w:pPr>
              <w:jc w:val="left"/>
              <w:rPr>
                <w:sz w:val="20"/>
                <w:szCs w:val="20"/>
                <w:lang w:eastAsia="es-ES"/>
              </w:rPr>
            </w:pPr>
            <w:r w:rsidRPr="00662567">
              <w:rPr>
                <w:sz w:val="20"/>
                <w:szCs w:val="20"/>
                <w:lang w:eastAsia="es-ES"/>
              </w:rPr>
              <w:t>RUEDA</w:t>
            </w:r>
          </w:p>
        </w:tc>
        <w:tc>
          <w:tcPr>
            <w:tcW w:w="1417" w:type="dxa"/>
            <w:tcBorders>
              <w:top w:val="nil"/>
              <w:left w:val="single" w:sz="4" w:space="0" w:color="auto"/>
              <w:bottom w:val="single" w:sz="4" w:space="0" w:color="auto"/>
              <w:right w:val="single" w:sz="4" w:space="0" w:color="auto"/>
            </w:tcBorders>
            <w:noWrap/>
            <w:vAlign w:val="bottom"/>
            <w:hideMark/>
          </w:tcPr>
          <w:p w14:paraId="6D97679F" w14:textId="77777777" w:rsidR="00731EB8" w:rsidRPr="00731EB8" w:rsidRDefault="00731EB8" w:rsidP="00AA12E3">
            <w:pPr>
              <w:jc w:val="center"/>
              <w:rPr>
                <w:color w:val="000000"/>
                <w:sz w:val="20"/>
                <w:szCs w:val="20"/>
                <w:lang w:eastAsia="es-ES"/>
              </w:rPr>
            </w:pPr>
            <w:r w:rsidRPr="00731EB8">
              <w:rPr>
                <w:color w:val="000000"/>
                <w:sz w:val="20"/>
                <w:szCs w:val="20"/>
                <w:lang w:eastAsia="es-ES"/>
              </w:rPr>
              <w:t>138.568.850</w:t>
            </w:r>
          </w:p>
        </w:tc>
        <w:tc>
          <w:tcPr>
            <w:tcW w:w="1503" w:type="dxa"/>
            <w:tcBorders>
              <w:top w:val="nil"/>
              <w:left w:val="nil"/>
              <w:bottom w:val="single" w:sz="4" w:space="0" w:color="auto"/>
              <w:right w:val="single" w:sz="4" w:space="0" w:color="auto"/>
            </w:tcBorders>
            <w:noWrap/>
            <w:vAlign w:val="bottom"/>
            <w:hideMark/>
          </w:tcPr>
          <w:p w14:paraId="646F3B84"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25-ago</w:t>
            </w:r>
          </w:p>
        </w:tc>
        <w:tc>
          <w:tcPr>
            <w:tcW w:w="1481" w:type="dxa"/>
            <w:tcBorders>
              <w:top w:val="nil"/>
              <w:left w:val="nil"/>
              <w:bottom w:val="single" w:sz="4" w:space="0" w:color="auto"/>
              <w:right w:val="single" w:sz="4" w:space="0" w:color="auto"/>
            </w:tcBorders>
            <w:noWrap/>
            <w:vAlign w:val="bottom"/>
            <w:hideMark/>
          </w:tcPr>
          <w:p w14:paraId="1A4B216E" w14:textId="77777777" w:rsidR="00731EB8" w:rsidRPr="00731EB8" w:rsidRDefault="00731EB8" w:rsidP="00AA12E3">
            <w:pPr>
              <w:jc w:val="center"/>
              <w:rPr>
                <w:color w:val="000000"/>
                <w:sz w:val="20"/>
                <w:szCs w:val="20"/>
                <w:lang w:eastAsia="es-ES"/>
              </w:rPr>
            </w:pPr>
            <w:r w:rsidRPr="00731EB8">
              <w:rPr>
                <w:color w:val="000000"/>
                <w:sz w:val="20"/>
                <w:szCs w:val="20"/>
                <w:lang w:eastAsia="es-ES"/>
              </w:rPr>
              <w:t>123.000.000</w:t>
            </w:r>
          </w:p>
        </w:tc>
        <w:tc>
          <w:tcPr>
            <w:tcW w:w="1343" w:type="dxa"/>
            <w:tcBorders>
              <w:top w:val="nil"/>
              <w:left w:val="nil"/>
              <w:bottom w:val="single" w:sz="4" w:space="0" w:color="auto"/>
              <w:right w:val="single" w:sz="8" w:space="0" w:color="auto"/>
            </w:tcBorders>
            <w:noWrap/>
            <w:vAlign w:val="bottom"/>
            <w:hideMark/>
          </w:tcPr>
          <w:p w14:paraId="4F4E30B5" w14:textId="77777777" w:rsidR="00731EB8" w:rsidRPr="00731EB8" w:rsidRDefault="00731EB8" w:rsidP="00AA12E3">
            <w:pPr>
              <w:jc w:val="center"/>
              <w:rPr>
                <w:color w:val="000000"/>
                <w:sz w:val="20"/>
                <w:szCs w:val="20"/>
                <w:lang w:eastAsia="es-ES"/>
              </w:rPr>
            </w:pPr>
            <w:r w:rsidRPr="00731EB8">
              <w:rPr>
                <w:color w:val="000000"/>
                <w:sz w:val="20"/>
                <w:szCs w:val="20"/>
                <w:lang w:eastAsia="es-ES"/>
              </w:rPr>
              <w:t>-11,24</w:t>
            </w:r>
          </w:p>
        </w:tc>
      </w:tr>
      <w:tr w:rsidR="00731EB8" w:rsidRPr="00731EB8" w14:paraId="598DE35C" w14:textId="77777777" w:rsidTr="002A1097">
        <w:trPr>
          <w:trHeight w:val="160"/>
        </w:trPr>
        <w:tc>
          <w:tcPr>
            <w:tcW w:w="3119" w:type="dxa"/>
            <w:tcBorders>
              <w:top w:val="nil"/>
              <w:left w:val="single" w:sz="8" w:space="0" w:color="auto"/>
              <w:bottom w:val="single" w:sz="4" w:space="0" w:color="auto"/>
              <w:right w:val="nil"/>
            </w:tcBorders>
            <w:noWrap/>
            <w:vAlign w:val="bottom"/>
            <w:hideMark/>
          </w:tcPr>
          <w:p w14:paraId="3641B494" w14:textId="77777777" w:rsidR="00731EB8" w:rsidRPr="00662567" w:rsidRDefault="00731EB8" w:rsidP="00AA12E3">
            <w:pPr>
              <w:jc w:val="left"/>
              <w:rPr>
                <w:sz w:val="20"/>
                <w:szCs w:val="20"/>
                <w:lang w:eastAsia="es-ES"/>
              </w:rPr>
            </w:pPr>
            <w:r w:rsidRPr="00662567">
              <w:rPr>
                <w:sz w:val="20"/>
                <w:szCs w:val="20"/>
                <w:lang w:eastAsia="es-ES"/>
              </w:rPr>
              <w:t>TIERRA DEL VINO DE ZAMORA</w:t>
            </w:r>
          </w:p>
        </w:tc>
        <w:tc>
          <w:tcPr>
            <w:tcW w:w="1417" w:type="dxa"/>
            <w:tcBorders>
              <w:top w:val="nil"/>
              <w:left w:val="single" w:sz="4" w:space="0" w:color="auto"/>
              <w:bottom w:val="single" w:sz="4" w:space="0" w:color="auto"/>
              <w:right w:val="single" w:sz="4" w:space="0" w:color="auto"/>
            </w:tcBorders>
            <w:noWrap/>
            <w:vAlign w:val="bottom"/>
            <w:hideMark/>
          </w:tcPr>
          <w:p w14:paraId="11B97559" w14:textId="77777777" w:rsidR="00731EB8" w:rsidRPr="00731EB8" w:rsidRDefault="00731EB8" w:rsidP="00AA12E3">
            <w:pPr>
              <w:jc w:val="center"/>
              <w:rPr>
                <w:color w:val="000000"/>
                <w:sz w:val="20"/>
                <w:szCs w:val="20"/>
                <w:lang w:eastAsia="es-ES"/>
              </w:rPr>
            </w:pPr>
            <w:r w:rsidRPr="00731EB8">
              <w:rPr>
                <w:color w:val="000000"/>
                <w:sz w:val="20"/>
                <w:szCs w:val="20"/>
                <w:lang w:eastAsia="es-ES"/>
              </w:rPr>
              <w:t>429.782</w:t>
            </w:r>
          </w:p>
        </w:tc>
        <w:tc>
          <w:tcPr>
            <w:tcW w:w="1503" w:type="dxa"/>
            <w:tcBorders>
              <w:top w:val="nil"/>
              <w:left w:val="nil"/>
              <w:bottom w:val="single" w:sz="4" w:space="0" w:color="auto"/>
              <w:right w:val="single" w:sz="4" w:space="0" w:color="auto"/>
            </w:tcBorders>
            <w:noWrap/>
            <w:vAlign w:val="bottom"/>
            <w:hideMark/>
          </w:tcPr>
          <w:p w14:paraId="12D79A2C" w14:textId="77777777" w:rsidR="00731EB8" w:rsidRPr="00731EB8" w:rsidRDefault="00731EB8" w:rsidP="00AA12E3">
            <w:pPr>
              <w:jc w:val="center"/>
              <w:rPr>
                <w:color w:val="000000"/>
                <w:sz w:val="20"/>
                <w:szCs w:val="20"/>
                <w:lang w:eastAsia="es-ES"/>
              </w:rPr>
            </w:pPr>
            <w:r w:rsidRPr="00731EB8">
              <w:rPr>
                <w:color w:val="000000"/>
                <w:sz w:val="20"/>
                <w:szCs w:val="20"/>
                <w:lang w:eastAsia="es-ES"/>
              </w:rPr>
              <w:t>11-sep</w:t>
            </w:r>
          </w:p>
        </w:tc>
        <w:tc>
          <w:tcPr>
            <w:tcW w:w="1481" w:type="dxa"/>
            <w:tcBorders>
              <w:top w:val="nil"/>
              <w:left w:val="nil"/>
              <w:bottom w:val="single" w:sz="4" w:space="0" w:color="auto"/>
              <w:right w:val="single" w:sz="4" w:space="0" w:color="auto"/>
            </w:tcBorders>
            <w:noWrap/>
            <w:vAlign w:val="bottom"/>
            <w:hideMark/>
          </w:tcPr>
          <w:p w14:paraId="74423E5B" w14:textId="77777777" w:rsidR="00731EB8" w:rsidRPr="00731EB8" w:rsidRDefault="00731EB8" w:rsidP="00AA12E3">
            <w:pPr>
              <w:jc w:val="center"/>
              <w:rPr>
                <w:color w:val="000000"/>
                <w:sz w:val="20"/>
                <w:szCs w:val="20"/>
                <w:lang w:eastAsia="es-ES"/>
              </w:rPr>
            </w:pPr>
            <w:r w:rsidRPr="00731EB8">
              <w:rPr>
                <w:color w:val="000000"/>
                <w:sz w:val="20"/>
                <w:szCs w:val="20"/>
                <w:lang w:eastAsia="es-ES"/>
              </w:rPr>
              <w:t>645.123</w:t>
            </w:r>
          </w:p>
        </w:tc>
        <w:tc>
          <w:tcPr>
            <w:tcW w:w="1343" w:type="dxa"/>
            <w:tcBorders>
              <w:top w:val="nil"/>
              <w:left w:val="nil"/>
              <w:bottom w:val="single" w:sz="4" w:space="0" w:color="auto"/>
              <w:right w:val="single" w:sz="8" w:space="0" w:color="auto"/>
            </w:tcBorders>
            <w:noWrap/>
            <w:vAlign w:val="bottom"/>
            <w:hideMark/>
          </w:tcPr>
          <w:p w14:paraId="2C5F27FD" w14:textId="77777777" w:rsidR="00731EB8" w:rsidRPr="00731EB8" w:rsidRDefault="00731EB8" w:rsidP="00AA12E3">
            <w:pPr>
              <w:jc w:val="center"/>
              <w:rPr>
                <w:color w:val="000000"/>
                <w:sz w:val="20"/>
                <w:szCs w:val="20"/>
                <w:lang w:eastAsia="es-ES"/>
              </w:rPr>
            </w:pPr>
            <w:r w:rsidRPr="00731EB8">
              <w:rPr>
                <w:color w:val="000000"/>
                <w:sz w:val="20"/>
                <w:szCs w:val="20"/>
                <w:lang w:eastAsia="es-ES"/>
              </w:rPr>
              <w:t>50,10</w:t>
            </w:r>
          </w:p>
        </w:tc>
      </w:tr>
      <w:tr w:rsidR="00731EB8" w:rsidRPr="00731EB8" w14:paraId="32194185" w14:textId="77777777" w:rsidTr="002A1097">
        <w:trPr>
          <w:trHeight w:val="160"/>
        </w:trPr>
        <w:tc>
          <w:tcPr>
            <w:tcW w:w="3119" w:type="dxa"/>
            <w:tcBorders>
              <w:top w:val="nil"/>
              <w:left w:val="single" w:sz="8" w:space="0" w:color="auto"/>
              <w:bottom w:val="single" w:sz="4" w:space="0" w:color="auto"/>
              <w:right w:val="nil"/>
            </w:tcBorders>
            <w:noWrap/>
            <w:vAlign w:val="bottom"/>
            <w:hideMark/>
          </w:tcPr>
          <w:p w14:paraId="33582115" w14:textId="77777777" w:rsidR="00731EB8" w:rsidRPr="00662567" w:rsidRDefault="00731EB8" w:rsidP="00AA12E3">
            <w:pPr>
              <w:jc w:val="left"/>
              <w:rPr>
                <w:sz w:val="20"/>
                <w:szCs w:val="20"/>
                <w:lang w:eastAsia="es-ES"/>
              </w:rPr>
            </w:pPr>
            <w:r w:rsidRPr="00662567">
              <w:rPr>
                <w:sz w:val="20"/>
                <w:szCs w:val="20"/>
                <w:lang w:eastAsia="es-ES"/>
              </w:rPr>
              <w:t>TORO</w:t>
            </w:r>
          </w:p>
        </w:tc>
        <w:tc>
          <w:tcPr>
            <w:tcW w:w="1417" w:type="dxa"/>
            <w:tcBorders>
              <w:top w:val="nil"/>
              <w:left w:val="single" w:sz="4" w:space="0" w:color="auto"/>
              <w:bottom w:val="single" w:sz="4" w:space="0" w:color="auto"/>
              <w:right w:val="single" w:sz="4" w:space="0" w:color="auto"/>
            </w:tcBorders>
            <w:noWrap/>
            <w:vAlign w:val="bottom"/>
            <w:hideMark/>
          </w:tcPr>
          <w:p w14:paraId="56F9E23E" w14:textId="77777777" w:rsidR="00731EB8" w:rsidRPr="00731EB8" w:rsidRDefault="00731EB8" w:rsidP="00AA12E3">
            <w:pPr>
              <w:jc w:val="center"/>
              <w:rPr>
                <w:color w:val="000000"/>
                <w:sz w:val="20"/>
                <w:szCs w:val="20"/>
                <w:lang w:eastAsia="es-ES"/>
              </w:rPr>
            </w:pPr>
            <w:r w:rsidRPr="00731EB8">
              <w:rPr>
                <w:color w:val="000000"/>
                <w:sz w:val="20"/>
                <w:szCs w:val="20"/>
                <w:lang w:eastAsia="es-ES"/>
              </w:rPr>
              <w:t>19.788.668</w:t>
            </w:r>
          </w:p>
        </w:tc>
        <w:tc>
          <w:tcPr>
            <w:tcW w:w="1503" w:type="dxa"/>
            <w:tcBorders>
              <w:top w:val="nil"/>
              <w:left w:val="nil"/>
              <w:bottom w:val="single" w:sz="4" w:space="0" w:color="auto"/>
              <w:right w:val="single" w:sz="4" w:space="0" w:color="auto"/>
            </w:tcBorders>
            <w:noWrap/>
            <w:vAlign w:val="bottom"/>
            <w:hideMark/>
          </w:tcPr>
          <w:p w14:paraId="4B694687"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25-ago</w:t>
            </w:r>
          </w:p>
        </w:tc>
        <w:tc>
          <w:tcPr>
            <w:tcW w:w="1481" w:type="dxa"/>
            <w:tcBorders>
              <w:top w:val="nil"/>
              <w:left w:val="nil"/>
              <w:bottom w:val="single" w:sz="4" w:space="0" w:color="auto"/>
              <w:right w:val="single" w:sz="4" w:space="0" w:color="auto"/>
            </w:tcBorders>
            <w:noWrap/>
            <w:vAlign w:val="bottom"/>
            <w:hideMark/>
          </w:tcPr>
          <w:p w14:paraId="20C3995D" w14:textId="77777777" w:rsidR="00731EB8" w:rsidRPr="00731EB8" w:rsidRDefault="00731EB8" w:rsidP="00AA12E3">
            <w:pPr>
              <w:jc w:val="center"/>
              <w:rPr>
                <w:color w:val="000000"/>
                <w:sz w:val="20"/>
                <w:szCs w:val="20"/>
                <w:lang w:eastAsia="es-ES"/>
              </w:rPr>
            </w:pPr>
            <w:r w:rsidRPr="00731EB8">
              <w:rPr>
                <w:color w:val="000000"/>
                <w:sz w:val="20"/>
                <w:szCs w:val="20"/>
                <w:lang w:eastAsia="es-ES"/>
              </w:rPr>
              <w:t>19.651.643</w:t>
            </w:r>
          </w:p>
        </w:tc>
        <w:tc>
          <w:tcPr>
            <w:tcW w:w="1343" w:type="dxa"/>
            <w:tcBorders>
              <w:top w:val="nil"/>
              <w:left w:val="nil"/>
              <w:bottom w:val="single" w:sz="4" w:space="0" w:color="auto"/>
              <w:right w:val="single" w:sz="8" w:space="0" w:color="auto"/>
            </w:tcBorders>
            <w:noWrap/>
            <w:vAlign w:val="bottom"/>
            <w:hideMark/>
          </w:tcPr>
          <w:p w14:paraId="0ADF42FB" w14:textId="77777777" w:rsidR="00731EB8" w:rsidRPr="00731EB8" w:rsidRDefault="00731EB8" w:rsidP="00AA12E3">
            <w:pPr>
              <w:jc w:val="center"/>
              <w:rPr>
                <w:color w:val="000000"/>
                <w:sz w:val="20"/>
                <w:szCs w:val="20"/>
                <w:lang w:eastAsia="es-ES"/>
              </w:rPr>
            </w:pPr>
            <w:r w:rsidRPr="00731EB8">
              <w:rPr>
                <w:color w:val="000000"/>
                <w:sz w:val="20"/>
                <w:szCs w:val="20"/>
                <w:lang w:eastAsia="es-ES"/>
              </w:rPr>
              <w:t>-0,69</w:t>
            </w:r>
          </w:p>
        </w:tc>
      </w:tr>
      <w:tr w:rsidR="00731EB8" w:rsidRPr="00731EB8" w14:paraId="6AE0EFC6" w14:textId="77777777" w:rsidTr="002A1097">
        <w:trPr>
          <w:trHeight w:val="160"/>
        </w:trPr>
        <w:tc>
          <w:tcPr>
            <w:tcW w:w="3119" w:type="dxa"/>
            <w:tcBorders>
              <w:top w:val="nil"/>
              <w:left w:val="single" w:sz="8" w:space="0" w:color="auto"/>
              <w:bottom w:val="single" w:sz="4" w:space="0" w:color="auto"/>
              <w:right w:val="nil"/>
            </w:tcBorders>
            <w:noWrap/>
            <w:vAlign w:val="bottom"/>
            <w:hideMark/>
          </w:tcPr>
          <w:p w14:paraId="0DF356D9" w14:textId="77777777" w:rsidR="00731EB8" w:rsidRPr="00731EB8" w:rsidRDefault="00731EB8" w:rsidP="00AA12E3">
            <w:pPr>
              <w:jc w:val="left"/>
              <w:rPr>
                <w:rFonts w:ascii="Aptos Narrow" w:hAnsi="Aptos Narrow" w:cs="Times New Roman"/>
                <w:sz w:val="20"/>
                <w:szCs w:val="20"/>
                <w:lang w:eastAsia="es-ES"/>
              </w:rPr>
            </w:pPr>
            <w:r w:rsidRPr="00731EB8">
              <w:rPr>
                <w:rFonts w:ascii="Aptos Narrow" w:hAnsi="Aptos Narrow" w:cs="Times New Roman"/>
                <w:sz w:val="20"/>
                <w:szCs w:val="20"/>
                <w:lang w:eastAsia="es-ES"/>
              </w:rPr>
              <w:t>CEBREROS</w:t>
            </w:r>
          </w:p>
        </w:tc>
        <w:tc>
          <w:tcPr>
            <w:tcW w:w="1417" w:type="dxa"/>
            <w:tcBorders>
              <w:top w:val="nil"/>
              <w:left w:val="single" w:sz="4" w:space="0" w:color="auto"/>
              <w:bottom w:val="single" w:sz="4" w:space="0" w:color="auto"/>
              <w:right w:val="single" w:sz="4" w:space="0" w:color="auto"/>
            </w:tcBorders>
            <w:noWrap/>
            <w:vAlign w:val="bottom"/>
            <w:hideMark/>
          </w:tcPr>
          <w:p w14:paraId="4B5779E7" w14:textId="77777777" w:rsidR="00731EB8" w:rsidRPr="00731EB8" w:rsidRDefault="00731EB8" w:rsidP="00AA12E3">
            <w:pPr>
              <w:jc w:val="center"/>
              <w:rPr>
                <w:color w:val="000000"/>
                <w:sz w:val="20"/>
                <w:szCs w:val="20"/>
                <w:lang w:eastAsia="es-ES"/>
              </w:rPr>
            </w:pPr>
            <w:r w:rsidRPr="00731EB8">
              <w:rPr>
                <w:color w:val="000000"/>
                <w:sz w:val="20"/>
                <w:szCs w:val="20"/>
                <w:lang w:eastAsia="es-ES"/>
              </w:rPr>
              <w:t>466.407</w:t>
            </w:r>
          </w:p>
        </w:tc>
        <w:tc>
          <w:tcPr>
            <w:tcW w:w="1503" w:type="dxa"/>
            <w:tcBorders>
              <w:top w:val="nil"/>
              <w:left w:val="nil"/>
              <w:bottom w:val="single" w:sz="4" w:space="0" w:color="auto"/>
              <w:right w:val="single" w:sz="4" w:space="0" w:color="auto"/>
            </w:tcBorders>
            <w:noWrap/>
            <w:vAlign w:val="bottom"/>
            <w:hideMark/>
          </w:tcPr>
          <w:p w14:paraId="75EC8029" w14:textId="77777777" w:rsidR="00731EB8" w:rsidRPr="00731EB8" w:rsidRDefault="00731EB8" w:rsidP="00AA12E3">
            <w:pPr>
              <w:jc w:val="center"/>
              <w:rPr>
                <w:color w:val="000000"/>
                <w:sz w:val="20"/>
                <w:szCs w:val="20"/>
                <w:lang w:eastAsia="es-ES"/>
              </w:rPr>
            </w:pPr>
            <w:r w:rsidRPr="00731EB8">
              <w:rPr>
                <w:color w:val="000000"/>
                <w:sz w:val="20"/>
                <w:szCs w:val="20"/>
                <w:lang w:eastAsia="es-ES"/>
              </w:rPr>
              <w:t>6-ago</w:t>
            </w:r>
          </w:p>
        </w:tc>
        <w:tc>
          <w:tcPr>
            <w:tcW w:w="1481" w:type="dxa"/>
            <w:tcBorders>
              <w:top w:val="nil"/>
              <w:left w:val="nil"/>
              <w:bottom w:val="single" w:sz="4" w:space="0" w:color="auto"/>
              <w:right w:val="single" w:sz="4" w:space="0" w:color="auto"/>
            </w:tcBorders>
            <w:noWrap/>
            <w:vAlign w:val="bottom"/>
            <w:hideMark/>
          </w:tcPr>
          <w:p w14:paraId="0CFD9EA8" w14:textId="77777777" w:rsidR="00731EB8" w:rsidRPr="00731EB8" w:rsidRDefault="00731EB8" w:rsidP="00AA12E3">
            <w:pPr>
              <w:jc w:val="center"/>
              <w:rPr>
                <w:color w:val="000000"/>
                <w:sz w:val="20"/>
                <w:szCs w:val="20"/>
                <w:lang w:eastAsia="es-ES"/>
              </w:rPr>
            </w:pPr>
            <w:r w:rsidRPr="00731EB8">
              <w:rPr>
                <w:color w:val="000000"/>
                <w:sz w:val="20"/>
                <w:szCs w:val="20"/>
                <w:lang w:eastAsia="es-ES"/>
              </w:rPr>
              <w:t>625.000</w:t>
            </w:r>
          </w:p>
        </w:tc>
        <w:tc>
          <w:tcPr>
            <w:tcW w:w="1343" w:type="dxa"/>
            <w:tcBorders>
              <w:top w:val="nil"/>
              <w:left w:val="nil"/>
              <w:bottom w:val="single" w:sz="4" w:space="0" w:color="auto"/>
              <w:right w:val="single" w:sz="8" w:space="0" w:color="auto"/>
            </w:tcBorders>
            <w:noWrap/>
            <w:vAlign w:val="bottom"/>
            <w:hideMark/>
          </w:tcPr>
          <w:p w14:paraId="78BC4CF3" w14:textId="77777777" w:rsidR="00731EB8" w:rsidRPr="00731EB8" w:rsidRDefault="00731EB8" w:rsidP="00AA12E3">
            <w:pPr>
              <w:jc w:val="center"/>
              <w:rPr>
                <w:color w:val="000000"/>
                <w:sz w:val="20"/>
                <w:szCs w:val="20"/>
                <w:lang w:eastAsia="es-ES"/>
              </w:rPr>
            </w:pPr>
            <w:r w:rsidRPr="00731EB8">
              <w:rPr>
                <w:color w:val="000000"/>
                <w:sz w:val="20"/>
                <w:szCs w:val="20"/>
                <w:lang w:eastAsia="es-ES"/>
              </w:rPr>
              <w:t>34,00</w:t>
            </w:r>
          </w:p>
        </w:tc>
      </w:tr>
      <w:tr w:rsidR="00731EB8" w:rsidRPr="00731EB8" w14:paraId="2C0BE2B3" w14:textId="77777777" w:rsidTr="002A1097">
        <w:trPr>
          <w:trHeight w:val="160"/>
        </w:trPr>
        <w:tc>
          <w:tcPr>
            <w:tcW w:w="3119" w:type="dxa"/>
            <w:tcBorders>
              <w:top w:val="nil"/>
              <w:left w:val="single" w:sz="8" w:space="0" w:color="auto"/>
              <w:bottom w:val="single" w:sz="4" w:space="0" w:color="auto"/>
              <w:right w:val="nil"/>
            </w:tcBorders>
            <w:noWrap/>
            <w:vAlign w:val="bottom"/>
            <w:hideMark/>
          </w:tcPr>
          <w:p w14:paraId="525B758A" w14:textId="77777777" w:rsidR="00731EB8" w:rsidRPr="00731EB8" w:rsidRDefault="00731EB8" w:rsidP="00AA12E3">
            <w:pPr>
              <w:jc w:val="left"/>
              <w:rPr>
                <w:rFonts w:ascii="Aptos Narrow" w:hAnsi="Aptos Narrow" w:cs="Times New Roman"/>
                <w:sz w:val="20"/>
                <w:szCs w:val="20"/>
                <w:lang w:eastAsia="es-ES"/>
              </w:rPr>
            </w:pPr>
            <w:r w:rsidRPr="00731EB8">
              <w:rPr>
                <w:rFonts w:ascii="Aptos Narrow" w:hAnsi="Aptos Narrow" w:cs="Times New Roman"/>
                <w:sz w:val="20"/>
                <w:szCs w:val="20"/>
                <w:lang w:eastAsia="es-ES"/>
              </w:rPr>
              <w:t>SIERRA DE SALAMANCA</w:t>
            </w:r>
          </w:p>
        </w:tc>
        <w:tc>
          <w:tcPr>
            <w:tcW w:w="1417" w:type="dxa"/>
            <w:tcBorders>
              <w:top w:val="nil"/>
              <w:left w:val="single" w:sz="4" w:space="0" w:color="auto"/>
              <w:bottom w:val="single" w:sz="4" w:space="0" w:color="auto"/>
              <w:right w:val="single" w:sz="4" w:space="0" w:color="auto"/>
            </w:tcBorders>
            <w:noWrap/>
            <w:vAlign w:val="bottom"/>
            <w:hideMark/>
          </w:tcPr>
          <w:p w14:paraId="19B91DA8"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267.563</w:t>
            </w:r>
          </w:p>
        </w:tc>
        <w:tc>
          <w:tcPr>
            <w:tcW w:w="1503" w:type="dxa"/>
            <w:tcBorders>
              <w:top w:val="nil"/>
              <w:left w:val="nil"/>
              <w:bottom w:val="single" w:sz="4" w:space="0" w:color="auto"/>
              <w:right w:val="single" w:sz="4" w:space="0" w:color="auto"/>
            </w:tcBorders>
            <w:noWrap/>
            <w:vAlign w:val="bottom"/>
            <w:hideMark/>
          </w:tcPr>
          <w:p w14:paraId="6DB3666F"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25-ago</w:t>
            </w:r>
          </w:p>
        </w:tc>
        <w:tc>
          <w:tcPr>
            <w:tcW w:w="1481" w:type="dxa"/>
            <w:tcBorders>
              <w:top w:val="nil"/>
              <w:left w:val="nil"/>
              <w:bottom w:val="single" w:sz="4" w:space="0" w:color="auto"/>
              <w:right w:val="single" w:sz="4" w:space="0" w:color="auto"/>
            </w:tcBorders>
            <w:noWrap/>
            <w:vAlign w:val="bottom"/>
            <w:hideMark/>
          </w:tcPr>
          <w:p w14:paraId="166D9734" w14:textId="77777777" w:rsidR="00731EB8" w:rsidRPr="00731EB8" w:rsidRDefault="00731EB8" w:rsidP="00AA12E3">
            <w:pPr>
              <w:jc w:val="center"/>
              <w:rPr>
                <w:color w:val="000000"/>
                <w:sz w:val="20"/>
                <w:szCs w:val="20"/>
                <w:lang w:eastAsia="es-ES"/>
              </w:rPr>
            </w:pPr>
            <w:r w:rsidRPr="00731EB8">
              <w:rPr>
                <w:color w:val="000000"/>
                <w:sz w:val="20"/>
                <w:szCs w:val="20"/>
                <w:lang w:eastAsia="es-ES"/>
              </w:rPr>
              <w:t>190.000</w:t>
            </w:r>
          </w:p>
        </w:tc>
        <w:tc>
          <w:tcPr>
            <w:tcW w:w="1343" w:type="dxa"/>
            <w:tcBorders>
              <w:top w:val="nil"/>
              <w:left w:val="nil"/>
              <w:bottom w:val="single" w:sz="4" w:space="0" w:color="auto"/>
              <w:right w:val="single" w:sz="8" w:space="0" w:color="auto"/>
            </w:tcBorders>
            <w:noWrap/>
            <w:vAlign w:val="bottom"/>
            <w:hideMark/>
          </w:tcPr>
          <w:p w14:paraId="054E6881"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-28,99</w:t>
            </w:r>
          </w:p>
        </w:tc>
      </w:tr>
      <w:tr w:rsidR="00731EB8" w:rsidRPr="00731EB8" w14:paraId="6E4FF695" w14:textId="77777777" w:rsidTr="002A1097">
        <w:trPr>
          <w:trHeight w:val="160"/>
        </w:trPr>
        <w:tc>
          <w:tcPr>
            <w:tcW w:w="3119" w:type="dxa"/>
            <w:tcBorders>
              <w:top w:val="nil"/>
              <w:left w:val="single" w:sz="8" w:space="0" w:color="auto"/>
              <w:bottom w:val="single" w:sz="4" w:space="0" w:color="auto"/>
              <w:right w:val="nil"/>
            </w:tcBorders>
            <w:noWrap/>
            <w:vAlign w:val="bottom"/>
            <w:hideMark/>
          </w:tcPr>
          <w:p w14:paraId="5F04AB97" w14:textId="77777777" w:rsidR="00731EB8" w:rsidRPr="00731EB8" w:rsidRDefault="00731EB8" w:rsidP="00AA12E3">
            <w:pPr>
              <w:jc w:val="left"/>
              <w:rPr>
                <w:rFonts w:ascii="Aptos Narrow" w:hAnsi="Aptos Narrow" w:cs="Times New Roman"/>
                <w:sz w:val="20"/>
                <w:szCs w:val="20"/>
                <w:lang w:eastAsia="es-ES"/>
              </w:rPr>
            </w:pPr>
            <w:r w:rsidRPr="00731EB8">
              <w:rPr>
                <w:rFonts w:ascii="Aptos Narrow" w:hAnsi="Aptos Narrow" w:cs="Times New Roman"/>
                <w:sz w:val="20"/>
                <w:szCs w:val="20"/>
                <w:lang w:eastAsia="es-ES"/>
              </w:rPr>
              <w:t>VALLES DE BENAVENTE</w:t>
            </w:r>
          </w:p>
        </w:tc>
        <w:tc>
          <w:tcPr>
            <w:tcW w:w="1417" w:type="dxa"/>
            <w:tcBorders>
              <w:top w:val="nil"/>
              <w:left w:val="single" w:sz="4" w:space="0" w:color="auto"/>
              <w:bottom w:val="single" w:sz="4" w:space="0" w:color="auto"/>
              <w:right w:val="single" w:sz="4" w:space="0" w:color="auto"/>
            </w:tcBorders>
            <w:noWrap/>
            <w:vAlign w:val="bottom"/>
            <w:hideMark/>
          </w:tcPr>
          <w:p w14:paraId="5137B365" w14:textId="77777777" w:rsidR="00731EB8" w:rsidRPr="00731EB8" w:rsidRDefault="00731EB8" w:rsidP="00AA12E3">
            <w:pPr>
              <w:jc w:val="center"/>
              <w:rPr>
                <w:color w:val="000000"/>
                <w:sz w:val="20"/>
                <w:szCs w:val="20"/>
                <w:lang w:eastAsia="es-ES"/>
              </w:rPr>
            </w:pPr>
            <w:r w:rsidRPr="00731EB8">
              <w:rPr>
                <w:color w:val="000000"/>
                <w:sz w:val="20"/>
                <w:szCs w:val="20"/>
                <w:lang w:eastAsia="es-ES"/>
              </w:rPr>
              <w:t>474.300</w:t>
            </w:r>
          </w:p>
        </w:tc>
        <w:tc>
          <w:tcPr>
            <w:tcW w:w="1503" w:type="dxa"/>
            <w:tcBorders>
              <w:top w:val="nil"/>
              <w:left w:val="nil"/>
              <w:bottom w:val="single" w:sz="4" w:space="0" w:color="auto"/>
              <w:right w:val="single" w:sz="4" w:space="0" w:color="auto"/>
            </w:tcBorders>
            <w:noWrap/>
            <w:vAlign w:val="bottom"/>
            <w:hideMark/>
          </w:tcPr>
          <w:p w14:paraId="60EA06FA"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22-sept</w:t>
            </w:r>
          </w:p>
        </w:tc>
        <w:tc>
          <w:tcPr>
            <w:tcW w:w="1481" w:type="dxa"/>
            <w:tcBorders>
              <w:top w:val="nil"/>
              <w:left w:val="nil"/>
              <w:bottom w:val="single" w:sz="4" w:space="0" w:color="auto"/>
              <w:right w:val="single" w:sz="4" w:space="0" w:color="auto"/>
            </w:tcBorders>
            <w:noWrap/>
            <w:vAlign w:val="bottom"/>
            <w:hideMark/>
          </w:tcPr>
          <w:p w14:paraId="0D1A8422" w14:textId="77777777" w:rsidR="00731EB8" w:rsidRPr="00731EB8" w:rsidRDefault="00731EB8" w:rsidP="00AA12E3">
            <w:pPr>
              <w:jc w:val="center"/>
              <w:rPr>
                <w:color w:val="000000"/>
                <w:sz w:val="20"/>
                <w:szCs w:val="20"/>
                <w:lang w:eastAsia="es-ES"/>
              </w:rPr>
            </w:pPr>
            <w:r w:rsidRPr="00731EB8">
              <w:rPr>
                <w:color w:val="000000"/>
                <w:sz w:val="20"/>
                <w:szCs w:val="20"/>
                <w:lang w:eastAsia="es-ES"/>
              </w:rPr>
              <w:t>379.830</w:t>
            </w:r>
          </w:p>
        </w:tc>
        <w:tc>
          <w:tcPr>
            <w:tcW w:w="1343" w:type="dxa"/>
            <w:tcBorders>
              <w:top w:val="nil"/>
              <w:left w:val="nil"/>
              <w:bottom w:val="single" w:sz="4" w:space="0" w:color="auto"/>
              <w:right w:val="single" w:sz="8" w:space="0" w:color="auto"/>
            </w:tcBorders>
            <w:noWrap/>
            <w:vAlign w:val="bottom"/>
            <w:hideMark/>
          </w:tcPr>
          <w:p w14:paraId="4D4BC1A0" w14:textId="77777777" w:rsidR="00731EB8" w:rsidRPr="00731EB8" w:rsidRDefault="00731EB8" w:rsidP="00AA12E3">
            <w:pPr>
              <w:jc w:val="center"/>
              <w:rPr>
                <w:color w:val="000000"/>
                <w:sz w:val="20"/>
                <w:szCs w:val="20"/>
                <w:lang w:eastAsia="es-ES"/>
              </w:rPr>
            </w:pPr>
            <w:r w:rsidRPr="00731EB8">
              <w:rPr>
                <w:color w:val="000000"/>
                <w:sz w:val="20"/>
                <w:szCs w:val="20"/>
                <w:lang w:eastAsia="es-ES"/>
              </w:rPr>
              <w:t>-19,92</w:t>
            </w:r>
          </w:p>
        </w:tc>
      </w:tr>
      <w:tr w:rsidR="00731EB8" w:rsidRPr="00731EB8" w14:paraId="7F726377" w14:textId="77777777" w:rsidTr="002A1097">
        <w:trPr>
          <w:trHeight w:val="160"/>
        </w:trPr>
        <w:tc>
          <w:tcPr>
            <w:tcW w:w="3119" w:type="dxa"/>
            <w:tcBorders>
              <w:top w:val="nil"/>
              <w:left w:val="single" w:sz="8" w:space="0" w:color="auto"/>
              <w:bottom w:val="single" w:sz="4" w:space="0" w:color="auto"/>
              <w:right w:val="nil"/>
            </w:tcBorders>
            <w:noWrap/>
            <w:vAlign w:val="bottom"/>
            <w:hideMark/>
          </w:tcPr>
          <w:p w14:paraId="0CB39BB5" w14:textId="77777777" w:rsidR="00731EB8" w:rsidRPr="00731EB8" w:rsidRDefault="00731EB8" w:rsidP="00AA12E3">
            <w:pPr>
              <w:jc w:val="left"/>
              <w:rPr>
                <w:rFonts w:ascii="Aptos Narrow" w:hAnsi="Aptos Narrow" w:cs="Times New Roman"/>
                <w:sz w:val="20"/>
                <w:szCs w:val="20"/>
                <w:lang w:eastAsia="es-ES"/>
              </w:rPr>
            </w:pPr>
            <w:r w:rsidRPr="00731EB8">
              <w:rPr>
                <w:rFonts w:ascii="Aptos Narrow" w:hAnsi="Aptos Narrow" w:cs="Times New Roman"/>
                <w:sz w:val="20"/>
                <w:szCs w:val="20"/>
                <w:lang w:eastAsia="es-ES"/>
              </w:rPr>
              <w:t>VALTIENDAS</w:t>
            </w:r>
          </w:p>
        </w:tc>
        <w:tc>
          <w:tcPr>
            <w:tcW w:w="1417" w:type="dxa"/>
            <w:tcBorders>
              <w:top w:val="nil"/>
              <w:left w:val="single" w:sz="4" w:space="0" w:color="auto"/>
              <w:bottom w:val="single" w:sz="4" w:space="0" w:color="auto"/>
              <w:right w:val="single" w:sz="4" w:space="0" w:color="auto"/>
            </w:tcBorders>
            <w:noWrap/>
            <w:vAlign w:val="bottom"/>
            <w:hideMark/>
          </w:tcPr>
          <w:p w14:paraId="61691FAE" w14:textId="77777777" w:rsidR="00731EB8" w:rsidRPr="00731EB8" w:rsidRDefault="00731EB8" w:rsidP="00AA12E3">
            <w:pPr>
              <w:jc w:val="center"/>
              <w:rPr>
                <w:color w:val="000000"/>
                <w:sz w:val="20"/>
                <w:szCs w:val="20"/>
                <w:lang w:eastAsia="es-ES"/>
              </w:rPr>
            </w:pPr>
            <w:r w:rsidRPr="00731EB8">
              <w:rPr>
                <w:color w:val="000000"/>
                <w:sz w:val="20"/>
                <w:szCs w:val="20"/>
                <w:lang w:eastAsia="es-ES"/>
              </w:rPr>
              <w:t>96.000</w:t>
            </w:r>
          </w:p>
        </w:tc>
        <w:tc>
          <w:tcPr>
            <w:tcW w:w="1503" w:type="dxa"/>
            <w:tcBorders>
              <w:top w:val="nil"/>
              <w:left w:val="nil"/>
              <w:bottom w:val="single" w:sz="4" w:space="0" w:color="auto"/>
              <w:right w:val="single" w:sz="4" w:space="0" w:color="auto"/>
            </w:tcBorders>
            <w:noWrap/>
            <w:vAlign w:val="bottom"/>
            <w:hideMark/>
          </w:tcPr>
          <w:p w14:paraId="18F14781" w14:textId="6B8DB613" w:rsidR="00731EB8" w:rsidRPr="00731EB8" w:rsidRDefault="00731EB8" w:rsidP="00AA12E3">
            <w:pPr>
              <w:jc w:val="center"/>
              <w:rPr>
                <w:color w:val="000000"/>
                <w:sz w:val="20"/>
                <w:szCs w:val="20"/>
                <w:lang w:eastAsia="es-ES"/>
              </w:rPr>
            </w:pPr>
            <w:r w:rsidRPr="00731EB8">
              <w:rPr>
                <w:color w:val="000000"/>
                <w:sz w:val="20"/>
                <w:szCs w:val="20"/>
                <w:lang w:eastAsia="es-ES"/>
              </w:rPr>
              <w:t> </w:t>
            </w:r>
            <w:r>
              <w:rPr>
                <w:color w:val="000000"/>
                <w:sz w:val="20"/>
                <w:szCs w:val="20"/>
                <w:lang w:eastAsia="es-ES"/>
              </w:rPr>
              <w:t>/</w:t>
            </w:r>
          </w:p>
        </w:tc>
        <w:tc>
          <w:tcPr>
            <w:tcW w:w="1481" w:type="dxa"/>
            <w:tcBorders>
              <w:top w:val="nil"/>
              <w:left w:val="nil"/>
              <w:bottom w:val="single" w:sz="4" w:space="0" w:color="auto"/>
              <w:right w:val="single" w:sz="4" w:space="0" w:color="auto"/>
            </w:tcBorders>
            <w:noWrap/>
            <w:vAlign w:val="bottom"/>
            <w:hideMark/>
          </w:tcPr>
          <w:p w14:paraId="7B50EBEA" w14:textId="368EF8E7" w:rsidR="00731EB8" w:rsidRPr="00731EB8" w:rsidRDefault="00731EB8" w:rsidP="00AA12E3">
            <w:pPr>
              <w:jc w:val="center"/>
              <w:rPr>
                <w:color w:val="000000"/>
                <w:sz w:val="20"/>
                <w:szCs w:val="20"/>
                <w:lang w:eastAsia="es-ES"/>
              </w:rPr>
            </w:pPr>
            <w:r w:rsidRPr="00731EB8">
              <w:rPr>
                <w:color w:val="000000"/>
                <w:sz w:val="20"/>
                <w:szCs w:val="20"/>
                <w:lang w:eastAsia="es-ES"/>
              </w:rPr>
              <w:t> </w:t>
            </w:r>
            <w:r>
              <w:rPr>
                <w:color w:val="000000"/>
                <w:sz w:val="20"/>
                <w:szCs w:val="20"/>
                <w:lang w:eastAsia="es-ES"/>
              </w:rPr>
              <w:t>/</w:t>
            </w:r>
          </w:p>
        </w:tc>
        <w:tc>
          <w:tcPr>
            <w:tcW w:w="1343" w:type="dxa"/>
            <w:tcBorders>
              <w:top w:val="nil"/>
              <w:left w:val="nil"/>
              <w:bottom w:val="single" w:sz="4" w:space="0" w:color="auto"/>
              <w:right w:val="single" w:sz="8" w:space="0" w:color="auto"/>
            </w:tcBorders>
            <w:noWrap/>
            <w:vAlign w:val="bottom"/>
            <w:hideMark/>
          </w:tcPr>
          <w:p w14:paraId="6A7757DB" w14:textId="25EF9574" w:rsidR="00731EB8" w:rsidRPr="00731EB8" w:rsidRDefault="00731EB8" w:rsidP="00AA12E3">
            <w:pPr>
              <w:jc w:val="center"/>
              <w:rPr>
                <w:color w:val="000000"/>
                <w:sz w:val="20"/>
                <w:szCs w:val="20"/>
                <w:lang w:eastAsia="es-ES"/>
              </w:rPr>
            </w:pPr>
            <w:r w:rsidRPr="00731EB8">
              <w:rPr>
                <w:color w:val="000000"/>
                <w:sz w:val="20"/>
                <w:szCs w:val="20"/>
                <w:lang w:eastAsia="es-ES"/>
              </w:rPr>
              <w:t> </w:t>
            </w:r>
            <w:r>
              <w:rPr>
                <w:color w:val="000000"/>
                <w:sz w:val="20"/>
                <w:szCs w:val="20"/>
                <w:lang w:eastAsia="es-ES"/>
              </w:rPr>
              <w:t>/</w:t>
            </w:r>
          </w:p>
        </w:tc>
      </w:tr>
      <w:tr w:rsidR="00731EB8" w:rsidRPr="00731EB8" w14:paraId="476E86A8" w14:textId="77777777" w:rsidTr="002A1097">
        <w:trPr>
          <w:trHeight w:val="160"/>
        </w:trPr>
        <w:tc>
          <w:tcPr>
            <w:tcW w:w="3119" w:type="dxa"/>
            <w:tcBorders>
              <w:top w:val="nil"/>
              <w:left w:val="single" w:sz="8" w:space="0" w:color="auto"/>
              <w:bottom w:val="single" w:sz="4" w:space="0" w:color="auto"/>
              <w:right w:val="nil"/>
            </w:tcBorders>
            <w:noWrap/>
            <w:vAlign w:val="bottom"/>
            <w:hideMark/>
          </w:tcPr>
          <w:p w14:paraId="625ED68C" w14:textId="77777777" w:rsidR="00731EB8" w:rsidRPr="00731EB8" w:rsidRDefault="00731EB8" w:rsidP="00AA12E3">
            <w:pPr>
              <w:jc w:val="left"/>
              <w:rPr>
                <w:rFonts w:ascii="Aptos Narrow" w:hAnsi="Aptos Narrow" w:cs="Times New Roman"/>
                <w:sz w:val="20"/>
                <w:szCs w:val="20"/>
                <w:lang w:eastAsia="es-ES"/>
              </w:rPr>
            </w:pPr>
            <w:r w:rsidRPr="00731EB8">
              <w:rPr>
                <w:rFonts w:ascii="Aptos Narrow" w:hAnsi="Aptos Narrow" w:cs="Times New Roman"/>
                <w:sz w:val="20"/>
                <w:szCs w:val="20"/>
                <w:lang w:eastAsia="es-ES"/>
              </w:rPr>
              <w:t>VP ABADÍA RETUERTA</w:t>
            </w:r>
          </w:p>
        </w:tc>
        <w:tc>
          <w:tcPr>
            <w:tcW w:w="1417" w:type="dxa"/>
            <w:tcBorders>
              <w:top w:val="nil"/>
              <w:left w:val="single" w:sz="4" w:space="0" w:color="auto"/>
              <w:bottom w:val="single" w:sz="4" w:space="0" w:color="auto"/>
              <w:right w:val="single" w:sz="4" w:space="0" w:color="auto"/>
            </w:tcBorders>
            <w:noWrap/>
            <w:vAlign w:val="bottom"/>
            <w:hideMark/>
          </w:tcPr>
          <w:p w14:paraId="6B599EAF" w14:textId="77777777" w:rsidR="00731EB8" w:rsidRPr="00731EB8" w:rsidRDefault="00731EB8" w:rsidP="00AA12E3">
            <w:pPr>
              <w:jc w:val="center"/>
              <w:rPr>
                <w:color w:val="000000"/>
                <w:sz w:val="20"/>
                <w:szCs w:val="20"/>
                <w:lang w:eastAsia="es-ES"/>
              </w:rPr>
            </w:pPr>
            <w:r w:rsidRPr="00731EB8">
              <w:rPr>
                <w:color w:val="000000"/>
                <w:sz w:val="20"/>
                <w:szCs w:val="20"/>
                <w:lang w:eastAsia="es-ES"/>
              </w:rPr>
              <w:t>419.317</w:t>
            </w:r>
          </w:p>
        </w:tc>
        <w:tc>
          <w:tcPr>
            <w:tcW w:w="1503" w:type="dxa"/>
            <w:tcBorders>
              <w:top w:val="nil"/>
              <w:left w:val="nil"/>
              <w:bottom w:val="single" w:sz="4" w:space="0" w:color="auto"/>
              <w:right w:val="single" w:sz="4" w:space="0" w:color="auto"/>
            </w:tcBorders>
            <w:noWrap/>
            <w:vAlign w:val="bottom"/>
            <w:hideMark/>
          </w:tcPr>
          <w:p w14:paraId="68299A01" w14:textId="77777777" w:rsidR="00731EB8" w:rsidRPr="00731EB8" w:rsidRDefault="00731EB8" w:rsidP="00AA12E3">
            <w:pPr>
              <w:jc w:val="center"/>
              <w:rPr>
                <w:color w:val="000000"/>
                <w:sz w:val="20"/>
                <w:szCs w:val="20"/>
                <w:lang w:eastAsia="es-ES"/>
              </w:rPr>
            </w:pPr>
            <w:r w:rsidRPr="00731EB8">
              <w:rPr>
                <w:color w:val="000000"/>
                <w:sz w:val="20"/>
                <w:szCs w:val="20"/>
                <w:lang w:eastAsia="es-ES"/>
              </w:rPr>
              <w:t>8-sep</w:t>
            </w:r>
          </w:p>
        </w:tc>
        <w:tc>
          <w:tcPr>
            <w:tcW w:w="1481" w:type="dxa"/>
            <w:tcBorders>
              <w:top w:val="nil"/>
              <w:left w:val="nil"/>
              <w:bottom w:val="single" w:sz="4" w:space="0" w:color="auto"/>
              <w:right w:val="single" w:sz="4" w:space="0" w:color="auto"/>
            </w:tcBorders>
            <w:noWrap/>
            <w:vAlign w:val="bottom"/>
            <w:hideMark/>
          </w:tcPr>
          <w:p w14:paraId="1F061113" w14:textId="77777777" w:rsidR="00731EB8" w:rsidRPr="00731EB8" w:rsidRDefault="00731EB8" w:rsidP="00AA12E3">
            <w:pPr>
              <w:jc w:val="center"/>
              <w:rPr>
                <w:color w:val="000000"/>
                <w:sz w:val="20"/>
                <w:szCs w:val="20"/>
                <w:lang w:eastAsia="es-ES"/>
              </w:rPr>
            </w:pPr>
            <w:r w:rsidRPr="00731EB8">
              <w:rPr>
                <w:color w:val="000000"/>
                <w:sz w:val="20"/>
                <w:szCs w:val="20"/>
                <w:lang w:eastAsia="es-ES"/>
              </w:rPr>
              <w:t>591.903</w:t>
            </w:r>
          </w:p>
        </w:tc>
        <w:tc>
          <w:tcPr>
            <w:tcW w:w="1343" w:type="dxa"/>
            <w:tcBorders>
              <w:top w:val="nil"/>
              <w:left w:val="nil"/>
              <w:bottom w:val="single" w:sz="4" w:space="0" w:color="auto"/>
              <w:right w:val="single" w:sz="8" w:space="0" w:color="auto"/>
            </w:tcBorders>
            <w:noWrap/>
            <w:vAlign w:val="bottom"/>
            <w:hideMark/>
          </w:tcPr>
          <w:p w14:paraId="46C9D148" w14:textId="77777777" w:rsidR="00731EB8" w:rsidRPr="00731EB8" w:rsidRDefault="00731EB8" w:rsidP="00AA12E3">
            <w:pPr>
              <w:jc w:val="center"/>
              <w:rPr>
                <w:color w:val="000000"/>
                <w:sz w:val="20"/>
                <w:szCs w:val="20"/>
                <w:lang w:eastAsia="es-ES"/>
              </w:rPr>
            </w:pPr>
            <w:r w:rsidRPr="00731EB8">
              <w:rPr>
                <w:color w:val="000000"/>
                <w:sz w:val="20"/>
                <w:szCs w:val="20"/>
                <w:lang w:eastAsia="es-ES"/>
              </w:rPr>
              <w:t>41,16</w:t>
            </w:r>
          </w:p>
        </w:tc>
      </w:tr>
      <w:tr w:rsidR="00731EB8" w:rsidRPr="00731EB8" w14:paraId="2E061C09" w14:textId="77777777" w:rsidTr="002A1097">
        <w:trPr>
          <w:trHeight w:val="160"/>
        </w:trPr>
        <w:tc>
          <w:tcPr>
            <w:tcW w:w="3119" w:type="dxa"/>
            <w:tcBorders>
              <w:top w:val="nil"/>
              <w:left w:val="single" w:sz="8" w:space="0" w:color="auto"/>
              <w:bottom w:val="single" w:sz="4" w:space="0" w:color="auto"/>
              <w:right w:val="nil"/>
            </w:tcBorders>
            <w:noWrap/>
            <w:vAlign w:val="bottom"/>
            <w:hideMark/>
          </w:tcPr>
          <w:p w14:paraId="7630AA27" w14:textId="77777777" w:rsidR="00731EB8" w:rsidRPr="00731EB8" w:rsidRDefault="00731EB8" w:rsidP="00AA12E3">
            <w:pPr>
              <w:jc w:val="left"/>
              <w:rPr>
                <w:rFonts w:ascii="Aptos Narrow" w:hAnsi="Aptos Narrow" w:cs="Times New Roman"/>
                <w:sz w:val="20"/>
                <w:szCs w:val="20"/>
                <w:lang w:eastAsia="es-ES"/>
              </w:rPr>
            </w:pPr>
            <w:r w:rsidRPr="00731EB8">
              <w:rPr>
                <w:rFonts w:ascii="Aptos Narrow" w:hAnsi="Aptos Narrow" w:cs="Times New Roman"/>
                <w:sz w:val="20"/>
                <w:szCs w:val="20"/>
                <w:lang w:eastAsia="es-ES"/>
              </w:rPr>
              <w:t>VP DEHESA PEÑALBA</w:t>
            </w:r>
          </w:p>
        </w:tc>
        <w:tc>
          <w:tcPr>
            <w:tcW w:w="1417" w:type="dxa"/>
            <w:tcBorders>
              <w:top w:val="nil"/>
              <w:left w:val="single" w:sz="4" w:space="0" w:color="auto"/>
              <w:bottom w:val="single" w:sz="4" w:space="0" w:color="auto"/>
              <w:right w:val="single" w:sz="4" w:space="0" w:color="auto"/>
            </w:tcBorders>
            <w:noWrap/>
            <w:vAlign w:val="bottom"/>
            <w:hideMark/>
          </w:tcPr>
          <w:p w14:paraId="43FC932D" w14:textId="77777777" w:rsidR="00731EB8" w:rsidRPr="00731EB8" w:rsidRDefault="00731EB8" w:rsidP="00AA12E3">
            <w:pPr>
              <w:jc w:val="center"/>
              <w:rPr>
                <w:color w:val="000000"/>
                <w:sz w:val="20"/>
                <w:szCs w:val="20"/>
                <w:lang w:eastAsia="es-ES"/>
              </w:rPr>
            </w:pPr>
            <w:r w:rsidRPr="00731EB8">
              <w:rPr>
                <w:color w:val="000000"/>
                <w:sz w:val="20"/>
                <w:szCs w:val="20"/>
                <w:lang w:eastAsia="es-ES"/>
              </w:rPr>
              <w:t>119.342</w:t>
            </w:r>
          </w:p>
        </w:tc>
        <w:tc>
          <w:tcPr>
            <w:tcW w:w="1503" w:type="dxa"/>
            <w:tcBorders>
              <w:top w:val="nil"/>
              <w:left w:val="nil"/>
              <w:bottom w:val="single" w:sz="4" w:space="0" w:color="auto"/>
              <w:right w:val="single" w:sz="4" w:space="0" w:color="auto"/>
            </w:tcBorders>
            <w:noWrap/>
            <w:vAlign w:val="bottom"/>
            <w:hideMark/>
          </w:tcPr>
          <w:p w14:paraId="4BA70CAC"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20-sep</w:t>
            </w:r>
          </w:p>
        </w:tc>
        <w:tc>
          <w:tcPr>
            <w:tcW w:w="1481" w:type="dxa"/>
            <w:tcBorders>
              <w:top w:val="nil"/>
              <w:left w:val="nil"/>
              <w:bottom w:val="single" w:sz="4" w:space="0" w:color="auto"/>
              <w:right w:val="single" w:sz="4" w:space="0" w:color="auto"/>
            </w:tcBorders>
            <w:noWrap/>
            <w:vAlign w:val="bottom"/>
            <w:hideMark/>
          </w:tcPr>
          <w:p w14:paraId="629E0ED4" w14:textId="77777777" w:rsidR="00731EB8" w:rsidRPr="00731EB8" w:rsidRDefault="00731EB8" w:rsidP="00AA12E3">
            <w:pPr>
              <w:jc w:val="center"/>
              <w:rPr>
                <w:color w:val="000000"/>
                <w:sz w:val="20"/>
                <w:szCs w:val="20"/>
                <w:lang w:eastAsia="es-ES"/>
              </w:rPr>
            </w:pPr>
            <w:r w:rsidRPr="00731EB8">
              <w:rPr>
                <w:color w:val="000000"/>
                <w:sz w:val="20"/>
                <w:szCs w:val="20"/>
                <w:lang w:eastAsia="es-ES"/>
              </w:rPr>
              <w:t>128.784</w:t>
            </w:r>
          </w:p>
        </w:tc>
        <w:tc>
          <w:tcPr>
            <w:tcW w:w="1343" w:type="dxa"/>
            <w:tcBorders>
              <w:top w:val="nil"/>
              <w:left w:val="nil"/>
              <w:bottom w:val="single" w:sz="4" w:space="0" w:color="auto"/>
              <w:right w:val="single" w:sz="8" w:space="0" w:color="auto"/>
            </w:tcBorders>
            <w:noWrap/>
            <w:vAlign w:val="bottom"/>
            <w:hideMark/>
          </w:tcPr>
          <w:p w14:paraId="64ABCDE1" w14:textId="77777777" w:rsidR="00731EB8" w:rsidRPr="00731EB8" w:rsidRDefault="00731EB8" w:rsidP="00AA12E3">
            <w:pPr>
              <w:jc w:val="center"/>
              <w:rPr>
                <w:color w:val="000000"/>
                <w:sz w:val="20"/>
                <w:szCs w:val="20"/>
                <w:lang w:eastAsia="es-ES"/>
              </w:rPr>
            </w:pPr>
            <w:r w:rsidRPr="00731EB8">
              <w:rPr>
                <w:color w:val="000000"/>
                <w:sz w:val="20"/>
                <w:szCs w:val="20"/>
                <w:lang w:eastAsia="es-ES"/>
              </w:rPr>
              <w:t>7,91</w:t>
            </w:r>
          </w:p>
        </w:tc>
      </w:tr>
      <w:tr w:rsidR="00731EB8" w:rsidRPr="00731EB8" w14:paraId="07C934B1" w14:textId="77777777" w:rsidTr="002A1097">
        <w:trPr>
          <w:trHeight w:val="160"/>
        </w:trPr>
        <w:tc>
          <w:tcPr>
            <w:tcW w:w="3119" w:type="dxa"/>
            <w:tcBorders>
              <w:top w:val="nil"/>
              <w:left w:val="single" w:sz="8" w:space="0" w:color="auto"/>
              <w:bottom w:val="single" w:sz="4" w:space="0" w:color="auto"/>
              <w:right w:val="nil"/>
            </w:tcBorders>
            <w:noWrap/>
            <w:vAlign w:val="bottom"/>
            <w:hideMark/>
          </w:tcPr>
          <w:p w14:paraId="3B6E634E" w14:textId="77777777" w:rsidR="00731EB8" w:rsidRPr="00731EB8" w:rsidRDefault="00731EB8" w:rsidP="00AA12E3">
            <w:pPr>
              <w:jc w:val="left"/>
              <w:rPr>
                <w:rFonts w:ascii="Aptos Narrow" w:hAnsi="Aptos Narrow" w:cs="Times New Roman"/>
                <w:sz w:val="20"/>
                <w:szCs w:val="20"/>
                <w:lang w:eastAsia="es-ES"/>
              </w:rPr>
            </w:pPr>
            <w:r w:rsidRPr="00731EB8">
              <w:rPr>
                <w:rFonts w:ascii="Aptos Narrow" w:hAnsi="Aptos Narrow" w:cs="Times New Roman"/>
                <w:sz w:val="20"/>
                <w:szCs w:val="20"/>
                <w:lang w:eastAsia="es-ES"/>
              </w:rPr>
              <w:t>VP URUEÑA</w:t>
            </w:r>
          </w:p>
        </w:tc>
        <w:tc>
          <w:tcPr>
            <w:tcW w:w="1417" w:type="dxa"/>
            <w:tcBorders>
              <w:top w:val="nil"/>
              <w:left w:val="single" w:sz="4" w:space="0" w:color="auto"/>
              <w:bottom w:val="single" w:sz="4" w:space="0" w:color="auto"/>
              <w:right w:val="single" w:sz="4" w:space="0" w:color="auto"/>
            </w:tcBorders>
            <w:noWrap/>
            <w:vAlign w:val="bottom"/>
            <w:hideMark/>
          </w:tcPr>
          <w:p w14:paraId="14E47F9B" w14:textId="77777777" w:rsidR="00731EB8" w:rsidRPr="00731EB8" w:rsidRDefault="00731EB8" w:rsidP="00AA12E3">
            <w:pPr>
              <w:jc w:val="center"/>
              <w:rPr>
                <w:color w:val="000000"/>
                <w:sz w:val="20"/>
                <w:szCs w:val="20"/>
                <w:lang w:eastAsia="es-ES"/>
              </w:rPr>
            </w:pPr>
            <w:r w:rsidRPr="00731EB8">
              <w:rPr>
                <w:color w:val="000000"/>
                <w:sz w:val="20"/>
                <w:szCs w:val="20"/>
                <w:lang w:eastAsia="es-ES"/>
              </w:rPr>
              <w:t>40.490</w:t>
            </w:r>
          </w:p>
        </w:tc>
        <w:tc>
          <w:tcPr>
            <w:tcW w:w="1503" w:type="dxa"/>
            <w:tcBorders>
              <w:top w:val="nil"/>
              <w:left w:val="nil"/>
              <w:bottom w:val="single" w:sz="4" w:space="0" w:color="auto"/>
              <w:right w:val="single" w:sz="4" w:space="0" w:color="auto"/>
            </w:tcBorders>
            <w:noWrap/>
            <w:vAlign w:val="bottom"/>
            <w:hideMark/>
          </w:tcPr>
          <w:p w14:paraId="1D000FBD" w14:textId="77777777" w:rsidR="00731EB8" w:rsidRPr="00731EB8" w:rsidRDefault="00731EB8" w:rsidP="00AA12E3">
            <w:pPr>
              <w:jc w:val="center"/>
              <w:rPr>
                <w:color w:val="000000"/>
                <w:sz w:val="20"/>
                <w:szCs w:val="20"/>
                <w:lang w:eastAsia="es-ES"/>
              </w:rPr>
            </w:pPr>
            <w:r w:rsidRPr="00731EB8">
              <w:rPr>
                <w:color w:val="000000"/>
                <w:sz w:val="20"/>
                <w:szCs w:val="20"/>
                <w:lang w:eastAsia="es-ES"/>
              </w:rPr>
              <w:t>26-sep</w:t>
            </w:r>
          </w:p>
        </w:tc>
        <w:tc>
          <w:tcPr>
            <w:tcW w:w="1481" w:type="dxa"/>
            <w:tcBorders>
              <w:top w:val="nil"/>
              <w:left w:val="nil"/>
              <w:bottom w:val="single" w:sz="4" w:space="0" w:color="auto"/>
              <w:right w:val="single" w:sz="4" w:space="0" w:color="auto"/>
            </w:tcBorders>
            <w:noWrap/>
            <w:vAlign w:val="bottom"/>
            <w:hideMark/>
          </w:tcPr>
          <w:p w14:paraId="26688281" w14:textId="77777777" w:rsidR="00731EB8" w:rsidRPr="00731EB8" w:rsidRDefault="00731EB8" w:rsidP="00AA12E3">
            <w:pPr>
              <w:jc w:val="center"/>
              <w:rPr>
                <w:color w:val="000000"/>
                <w:sz w:val="20"/>
                <w:szCs w:val="20"/>
                <w:lang w:eastAsia="es-ES"/>
              </w:rPr>
            </w:pPr>
            <w:r w:rsidRPr="00731EB8">
              <w:rPr>
                <w:color w:val="000000"/>
                <w:sz w:val="20"/>
                <w:szCs w:val="20"/>
                <w:lang w:eastAsia="es-ES"/>
              </w:rPr>
              <w:t>53.024</w:t>
            </w:r>
          </w:p>
        </w:tc>
        <w:tc>
          <w:tcPr>
            <w:tcW w:w="1343" w:type="dxa"/>
            <w:tcBorders>
              <w:top w:val="nil"/>
              <w:left w:val="nil"/>
              <w:bottom w:val="single" w:sz="4" w:space="0" w:color="auto"/>
              <w:right w:val="single" w:sz="8" w:space="0" w:color="auto"/>
            </w:tcBorders>
            <w:noWrap/>
            <w:vAlign w:val="bottom"/>
            <w:hideMark/>
          </w:tcPr>
          <w:p w14:paraId="12635539" w14:textId="77777777" w:rsidR="00731EB8" w:rsidRPr="00731EB8" w:rsidRDefault="00731EB8" w:rsidP="00AA12E3">
            <w:pPr>
              <w:jc w:val="center"/>
              <w:rPr>
                <w:color w:val="000000"/>
                <w:sz w:val="20"/>
                <w:szCs w:val="20"/>
                <w:lang w:eastAsia="es-ES"/>
              </w:rPr>
            </w:pPr>
            <w:r w:rsidRPr="00731EB8">
              <w:rPr>
                <w:color w:val="000000"/>
                <w:sz w:val="20"/>
                <w:szCs w:val="20"/>
                <w:lang w:eastAsia="es-ES"/>
              </w:rPr>
              <w:t>30,96</w:t>
            </w:r>
          </w:p>
        </w:tc>
      </w:tr>
      <w:tr w:rsidR="00731EB8" w:rsidRPr="00731EB8" w14:paraId="7B7BB029" w14:textId="77777777" w:rsidTr="002A1097">
        <w:trPr>
          <w:trHeight w:val="167"/>
        </w:trPr>
        <w:tc>
          <w:tcPr>
            <w:tcW w:w="3119" w:type="dxa"/>
            <w:tcBorders>
              <w:top w:val="nil"/>
              <w:left w:val="single" w:sz="8" w:space="0" w:color="auto"/>
              <w:bottom w:val="single" w:sz="8" w:space="0" w:color="auto"/>
              <w:right w:val="nil"/>
            </w:tcBorders>
            <w:noWrap/>
            <w:vAlign w:val="bottom"/>
            <w:hideMark/>
          </w:tcPr>
          <w:p w14:paraId="4CF71AA1" w14:textId="77777777" w:rsidR="00731EB8" w:rsidRPr="00731EB8" w:rsidRDefault="00731EB8" w:rsidP="00AA12E3">
            <w:pPr>
              <w:jc w:val="left"/>
              <w:rPr>
                <w:rFonts w:ascii="Aptos Narrow" w:hAnsi="Aptos Narrow" w:cs="Times New Roman"/>
                <w:b/>
                <w:bCs/>
                <w:color w:val="000000"/>
                <w:sz w:val="22"/>
                <w:szCs w:val="22"/>
                <w:lang w:eastAsia="es-ES"/>
              </w:rPr>
            </w:pPr>
            <w:r w:rsidRPr="00731EB8">
              <w:rPr>
                <w:rFonts w:ascii="Aptos Narrow" w:hAnsi="Aptos Narrow" w:cs="Times New Roman"/>
                <w:b/>
                <w:bCs/>
                <w:color w:val="000000"/>
                <w:sz w:val="22"/>
                <w:szCs w:val="22"/>
                <w:lang w:eastAsia="es-ES"/>
              </w:rPr>
              <w:t>TOTAL</w:t>
            </w:r>
          </w:p>
        </w:tc>
        <w:tc>
          <w:tcPr>
            <w:tcW w:w="1417" w:type="dxa"/>
            <w:tcBorders>
              <w:top w:val="nil"/>
              <w:left w:val="single" w:sz="4" w:space="0" w:color="auto"/>
              <w:bottom w:val="single" w:sz="8" w:space="0" w:color="auto"/>
              <w:right w:val="single" w:sz="4" w:space="0" w:color="auto"/>
            </w:tcBorders>
            <w:noWrap/>
            <w:vAlign w:val="bottom"/>
            <w:hideMark/>
          </w:tcPr>
          <w:p w14:paraId="3EC57266" w14:textId="77777777" w:rsidR="00731EB8" w:rsidRPr="00731EB8" w:rsidRDefault="00731EB8" w:rsidP="00AA12E3">
            <w:pPr>
              <w:jc w:val="center"/>
              <w:rPr>
                <w:b/>
                <w:bCs/>
                <w:color w:val="000000"/>
                <w:sz w:val="20"/>
                <w:szCs w:val="20"/>
                <w:lang w:eastAsia="es-ES"/>
              </w:rPr>
            </w:pPr>
            <w:r w:rsidRPr="00731EB8">
              <w:rPr>
                <w:b/>
                <w:bCs/>
                <w:color w:val="000000"/>
                <w:sz w:val="20"/>
                <w:szCs w:val="20"/>
                <w:lang w:eastAsia="es-ES"/>
              </w:rPr>
              <w:t>274.593.684</w:t>
            </w:r>
          </w:p>
        </w:tc>
        <w:tc>
          <w:tcPr>
            <w:tcW w:w="1503" w:type="dxa"/>
            <w:tcBorders>
              <w:top w:val="nil"/>
              <w:left w:val="nil"/>
              <w:bottom w:val="nil"/>
              <w:right w:val="nil"/>
            </w:tcBorders>
            <w:noWrap/>
            <w:vAlign w:val="bottom"/>
            <w:hideMark/>
          </w:tcPr>
          <w:p w14:paraId="37C279B7" w14:textId="77777777" w:rsidR="00731EB8" w:rsidRPr="00731EB8" w:rsidRDefault="00731EB8" w:rsidP="00AA12E3">
            <w:pPr>
              <w:jc w:val="center"/>
              <w:rPr>
                <w:b/>
                <w:bCs/>
                <w:color w:val="000000"/>
                <w:sz w:val="20"/>
                <w:szCs w:val="20"/>
                <w:lang w:eastAsia="es-ES"/>
              </w:rPr>
            </w:pPr>
          </w:p>
        </w:tc>
        <w:tc>
          <w:tcPr>
            <w:tcW w:w="1481" w:type="dxa"/>
            <w:tcBorders>
              <w:top w:val="nil"/>
              <w:left w:val="single" w:sz="4" w:space="0" w:color="auto"/>
              <w:bottom w:val="single" w:sz="8" w:space="0" w:color="auto"/>
              <w:right w:val="single" w:sz="4" w:space="0" w:color="auto"/>
            </w:tcBorders>
            <w:noWrap/>
            <w:vAlign w:val="bottom"/>
            <w:hideMark/>
          </w:tcPr>
          <w:p w14:paraId="3AC41FF9" w14:textId="77777777" w:rsidR="00731EB8" w:rsidRPr="00731EB8" w:rsidRDefault="00731EB8" w:rsidP="00AA12E3">
            <w:pPr>
              <w:jc w:val="center"/>
              <w:rPr>
                <w:b/>
                <w:bCs/>
                <w:color w:val="000000"/>
                <w:sz w:val="20"/>
                <w:szCs w:val="20"/>
                <w:lang w:eastAsia="es-ES"/>
              </w:rPr>
            </w:pPr>
            <w:r w:rsidRPr="00731EB8">
              <w:rPr>
                <w:b/>
                <w:bCs/>
                <w:color w:val="000000"/>
                <w:sz w:val="20"/>
                <w:szCs w:val="20"/>
                <w:lang w:eastAsia="es-ES"/>
              </w:rPr>
              <w:t>290.858.866</w:t>
            </w:r>
          </w:p>
        </w:tc>
        <w:tc>
          <w:tcPr>
            <w:tcW w:w="1343" w:type="dxa"/>
            <w:tcBorders>
              <w:top w:val="nil"/>
              <w:left w:val="nil"/>
              <w:bottom w:val="single" w:sz="8" w:space="0" w:color="auto"/>
              <w:right w:val="single" w:sz="8" w:space="0" w:color="auto"/>
            </w:tcBorders>
            <w:noWrap/>
            <w:vAlign w:val="bottom"/>
            <w:hideMark/>
          </w:tcPr>
          <w:p w14:paraId="110B59AB" w14:textId="77777777" w:rsidR="00731EB8" w:rsidRPr="00731EB8" w:rsidRDefault="00731EB8" w:rsidP="00AA12E3">
            <w:pPr>
              <w:jc w:val="center"/>
              <w:rPr>
                <w:b/>
                <w:bCs/>
                <w:color w:val="000000"/>
                <w:sz w:val="20"/>
                <w:szCs w:val="20"/>
                <w:lang w:eastAsia="es-ES"/>
              </w:rPr>
            </w:pPr>
            <w:r w:rsidRPr="00731EB8">
              <w:rPr>
                <w:b/>
                <w:bCs/>
                <w:color w:val="000000"/>
                <w:sz w:val="20"/>
                <w:szCs w:val="20"/>
                <w:lang w:eastAsia="es-ES"/>
              </w:rPr>
              <w:t>5,92</w:t>
            </w:r>
          </w:p>
        </w:tc>
      </w:tr>
    </w:tbl>
    <w:p w14:paraId="11D8FDC0" w14:textId="77777777" w:rsidR="00731EB8" w:rsidRDefault="00731EB8" w:rsidP="00AA12E3">
      <w:pPr>
        <w:rPr>
          <w:color w:val="4F81BD" w:themeColor="accent1"/>
        </w:rPr>
      </w:pPr>
    </w:p>
    <w:p w14:paraId="22BF9E37" w14:textId="2ABA5490" w:rsidR="00731EB8" w:rsidRPr="00731EB8" w:rsidRDefault="004C516C" w:rsidP="00AA12E3">
      <w:pPr>
        <w:ind w:left="-142"/>
        <w:rPr>
          <w:color w:val="4F81BD" w:themeColor="accent1"/>
          <w:sz w:val="20"/>
          <w:szCs w:val="20"/>
        </w:rPr>
      </w:pPr>
      <w:r>
        <w:rPr>
          <w:sz w:val="20"/>
          <w:szCs w:val="20"/>
        </w:rPr>
        <w:t xml:space="preserve">   </w:t>
      </w:r>
      <w:r w:rsidR="00731EB8" w:rsidRPr="009A63CB">
        <w:rPr>
          <w:sz w:val="20"/>
          <w:szCs w:val="20"/>
        </w:rPr>
        <w:t>Fuente: Consejería de Agricultura, Ganadería y Desarrollo Rural</w:t>
      </w:r>
    </w:p>
    <w:p w14:paraId="11FBFD9B" w14:textId="77777777" w:rsidR="004C516C" w:rsidRDefault="004C516C" w:rsidP="00AA12E3">
      <w:pPr>
        <w:spacing w:after="160"/>
      </w:pPr>
    </w:p>
    <w:p w14:paraId="3C48F908" w14:textId="0C95B520" w:rsidR="0084709C" w:rsidRPr="00BC716B" w:rsidRDefault="004C516C" w:rsidP="00AA12E3">
      <w:r>
        <w:t>Respecto a los precios, s</w:t>
      </w:r>
      <w:r w:rsidR="00BA06B8" w:rsidRPr="00BC716B">
        <w:t xml:space="preserve">egún el Observatorio de Precios de los productos agrícolas de Castilla y León, el precio de la uva de transformación se situó en el mes de octubre en una media de 0,79 euros por kilo, un 5,6% por encima del precio de la uva en 2024 en esas mismas fechas. </w:t>
      </w:r>
    </w:p>
    <w:p w14:paraId="6C25C4B1" w14:textId="4BB1C65D" w:rsidR="00647839" w:rsidRPr="00BC716B" w:rsidRDefault="004C516C" w:rsidP="00AA12E3">
      <w:pPr>
        <w:spacing w:after="160"/>
      </w:pPr>
      <w:r>
        <w:t xml:space="preserve">En marzo se convocaron las ayudas a la reestructuración y reconversión de viñedos </w:t>
      </w:r>
      <w:r w:rsidR="00647839" w:rsidRPr="00BC716B">
        <w:t xml:space="preserve">en Castilla y León para el año 2025, </w:t>
      </w:r>
      <w:r>
        <w:t xml:space="preserve">y en abril </w:t>
      </w:r>
      <w:r w:rsidR="00E17EE0">
        <w:t xml:space="preserve">se publicó </w:t>
      </w:r>
      <w:r w:rsidR="00CF2C43" w:rsidRPr="00BC716B">
        <w:t>la convocatoria de ayudas para la cosecha en verde</w:t>
      </w:r>
      <w:r w:rsidR="00B731B2" w:rsidRPr="00BC716B">
        <w:t>.</w:t>
      </w:r>
    </w:p>
    <w:p w14:paraId="1CD626C6" w14:textId="6E811C15" w:rsidR="00986BF4" w:rsidRPr="00BC716B" w:rsidRDefault="00986BF4" w:rsidP="00AA12E3">
      <w:r w:rsidRPr="00BC716B">
        <w:t xml:space="preserve">Por otra parte, respecto a normativa del sector, en verano se publicó el contrato tipo de </w:t>
      </w:r>
      <w:proofErr w:type="gramStart"/>
      <w:r w:rsidRPr="00BC716B">
        <w:t>compra-venta</w:t>
      </w:r>
      <w:proofErr w:type="gramEnd"/>
      <w:r w:rsidRPr="00BC716B">
        <w:t xml:space="preserve"> de uva para vinificación por el cual se establecieron los plazos de emisión de facturas por parte de las bodegas y los plazos de pago al viticultor, previo acuerdo de precio entre ambas partes cubriendo los costes de producción.</w:t>
      </w:r>
    </w:p>
    <w:p w14:paraId="704B6E43" w14:textId="77777777" w:rsidR="0038204E" w:rsidRDefault="0038204E" w:rsidP="00AA12E3">
      <w:pPr>
        <w:rPr>
          <w:b/>
        </w:rPr>
      </w:pPr>
    </w:p>
    <w:p w14:paraId="34AEC36D" w14:textId="77777777" w:rsidR="0038204E" w:rsidRDefault="0038204E" w:rsidP="00AA12E3">
      <w:pPr>
        <w:rPr>
          <w:b/>
        </w:rPr>
      </w:pPr>
    </w:p>
    <w:p w14:paraId="16306C69" w14:textId="5A9DBC3E" w:rsidR="00F125FD" w:rsidRPr="00BC716B" w:rsidRDefault="00F125FD" w:rsidP="00AA12E3">
      <w:pPr>
        <w:rPr>
          <w:b/>
        </w:rPr>
      </w:pPr>
      <w:r w:rsidRPr="00BC716B">
        <w:rPr>
          <w:b/>
        </w:rPr>
        <w:t>Sanidad Vegetal</w:t>
      </w:r>
    </w:p>
    <w:p w14:paraId="402DBAFE" w14:textId="77777777" w:rsidR="001A1C73" w:rsidRDefault="001A1C73" w:rsidP="00AA12E3"/>
    <w:p w14:paraId="77E24F96" w14:textId="6E4075F6" w:rsidR="00184A88" w:rsidRDefault="00184A88" w:rsidP="00AA12E3">
      <w:r>
        <w:t>Durante la campaña 2025,</w:t>
      </w:r>
      <w:r w:rsidR="00857BAE">
        <w:t xml:space="preserve"> ha habido problemas por afección de mildiu</w:t>
      </w:r>
      <w:r>
        <w:t xml:space="preserve"> en varias Denominaciones de Origen</w:t>
      </w:r>
      <w:r w:rsidR="00857BAE">
        <w:t xml:space="preserve"> de Castilla y León, </w:t>
      </w:r>
      <w:r>
        <w:t>si</w:t>
      </w:r>
      <w:r w:rsidR="00A4365B">
        <w:t>tuación</w:t>
      </w:r>
      <w:r>
        <w:t xml:space="preserve"> especialmente grave en algunas zonas de la D.O. Rueda, donde</w:t>
      </w:r>
      <w:r w:rsidR="00C529AE">
        <w:t xml:space="preserve"> después de aplicar muchos tratamientos resultó imposible su control, dejando algunas parcelas prácticamente sin producción. </w:t>
      </w:r>
      <w:r w:rsidR="00FA1AC8">
        <w:t>Así, en</w:t>
      </w:r>
      <w:r w:rsidR="006141CB" w:rsidRPr="00BC716B">
        <w:t xml:space="preserve"> Rueda, La Seca y Serrada, </w:t>
      </w:r>
      <w:r w:rsidR="00C529AE">
        <w:t>ha sido muy significativa la reducción de la producción respecto al año anterior, hasta un</w:t>
      </w:r>
      <w:r w:rsidR="006141CB" w:rsidRPr="00BC716B">
        <w:t xml:space="preserve"> 80-90% en ecológico</w:t>
      </w:r>
      <w:r w:rsidR="006141CB">
        <w:t>.</w:t>
      </w:r>
    </w:p>
    <w:p w14:paraId="684E17C6" w14:textId="77EEF2FE" w:rsidR="00C529AE" w:rsidRDefault="00C529AE" w:rsidP="00AA12E3">
      <w:r>
        <w:t xml:space="preserve">Ante esta problemática, </w:t>
      </w:r>
      <w:r w:rsidR="000141AC">
        <w:t>ASAJA</w:t>
      </w:r>
      <w:r w:rsidR="00FA1AC8">
        <w:t xml:space="preserve"> trasladó</w:t>
      </w:r>
      <w:r w:rsidR="000141AC">
        <w:t xml:space="preserve"> a la Junta de Castilla y León</w:t>
      </w:r>
      <w:r w:rsidR="00FA1AC8">
        <w:t xml:space="preserve"> </w:t>
      </w:r>
      <w:r w:rsidRPr="00C529AE">
        <w:t>la necesidad de implementar medidas</w:t>
      </w:r>
      <w:r w:rsidR="000141AC">
        <w:t xml:space="preserve"> urgentes</w:t>
      </w:r>
      <w:r w:rsidRPr="00C529AE">
        <w:t xml:space="preserve"> de apoyo</w:t>
      </w:r>
      <w:r w:rsidR="000141AC">
        <w:t xml:space="preserve"> a los viticultores afectados </w:t>
      </w:r>
      <w:r w:rsidRPr="00C529AE">
        <w:t xml:space="preserve">y empezar a trabajar </w:t>
      </w:r>
      <w:r w:rsidR="000141AC">
        <w:t xml:space="preserve">cuanto antes </w:t>
      </w:r>
      <w:r w:rsidRPr="00C529AE">
        <w:t>para que la próxima campaña los viticultores de la zona</w:t>
      </w:r>
      <w:r w:rsidR="00FA1AC8">
        <w:t xml:space="preserve"> norte de España puedan asegurar este riesg</w:t>
      </w:r>
      <w:r w:rsidR="000141AC">
        <w:t xml:space="preserve">o, comprometiéndose </w:t>
      </w:r>
      <w:r w:rsidR="00FA1AC8">
        <w:t>l</w:t>
      </w:r>
      <w:r w:rsidR="00FA1AC8" w:rsidRPr="00C529AE">
        <w:t>a</w:t>
      </w:r>
      <w:r w:rsidR="00FA1AC8" w:rsidRPr="00FA1AC8">
        <w:t xml:space="preserve"> </w:t>
      </w:r>
      <w:r w:rsidR="00FA1AC8">
        <w:t xml:space="preserve">Consejería </w:t>
      </w:r>
      <w:r w:rsidR="00FA1AC8" w:rsidRPr="00C529AE">
        <w:t xml:space="preserve">a analizar </w:t>
      </w:r>
      <w:r w:rsidR="00FA1AC8">
        <w:t>estas peticiones</w:t>
      </w:r>
      <w:r w:rsidR="00FA1AC8" w:rsidRPr="00C529AE">
        <w:t>,</w:t>
      </w:r>
      <w:r w:rsidR="000141AC">
        <w:t xml:space="preserve"> e</w:t>
      </w:r>
      <w:r w:rsidR="00FA1AC8" w:rsidRPr="00C529AE">
        <w:t xml:space="preserve"> informando que ya se han dirigido al Ministerio para empezar a trabajar</w:t>
      </w:r>
      <w:r w:rsidR="000141AC">
        <w:t xml:space="preserve"> en el asunto.</w:t>
      </w:r>
    </w:p>
    <w:p w14:paraId="1B1F12D0" w14:textId="77777777" w:rsidR="00FA1AC8" w:rsidRDefault="00FA1AC8" w:rsidP="00AA12E3"/>
    <w:p w14:paraId="47B65801" w14:textId="374AEFA9" w:rsidR="00BA26B8" w:rsidRDefault="006E7FA9" w:rsidP="00AA12E3">
      <w:r>
        <w:t xml:space="preserve">Por otra parte, </w:t>
      </w:r>
      <w:r w:rsidR="00292F26" w:rsidRPr="00BC716B">
        <w:t>en 2025 ha continuado la problemática de la plaga de conejos en Castilla y Léon, con una dinámica expansiva y una compleja solución, un problema largamente denunciado desde ASAJA.</w:t>
      </w:r>
      <w:r w:rsidR="00AB4B50">
        <w:t xml:space="preserve"> </w:t>
      </w:r>
      <w:r w:rsidR="00292F26" w:rsidRPr="00BC716B">
        <w:t xml:space="preserve">El nudo Valladolid-Burgos-Palencia es el más intenso, </w:t>
      </w:r>
      <w:r w:rsidR="009C05A0">
        <w:t>aunque</w:t>
      </w:r>
      <w:r w:rsidR="00292F26" w:rsidRPr="00BC716B">
        <w:t xml:space="preserve"> los conejos se están dispersando por la meseta causando problemas prácticamente en todas las provincias</w:t>
      </w:r>
      <w:r w:rsidR="00BA26B8">
        <w:t xml:space="preserve">, </w:t>
      </w:r>
      <w:r w:rsidR="00EC2236">
        <w:t>destacando también</w:t>
      </w:r>
      <w:r w:rsidR="00BA26B8">
        <w:t xml:space="preserve"> la expansión</w:t>
      </w:r>
      <w:r w:rsidR="00EC2236">
        <w:t xml:space="preserve"> </w:t>
      </w:r>
      <w:r w:rsidR="00BA26B8">
        <w:t>en la provincia de Zamora.</w:t>
      </w:r>
      <w:r w:rsidR="00292F26" w:rsidRPr="00BC716B">
        <w:t xml:space="preserve"> </w:t>
      </w:r>
    </w:p>
    <w:p w14:paraId="195F4965" w14:textId="2EA03E58" w:rsidR="00292F26" w:rsidRPr="00AB4B50" w:rsidRDefault="00154705" w:rsidP="00AA12E3">
      <w:r>
        <w:t>E</w:t>
      </w:r>
      <w:r w:rsidR="009C05A0">
        <w:t>n el mes de febrero</w:t>
      </w:r>
      <w:r>
        <w:t>,</w:t>
      </w:r>
      <w:r w:rsidR="009C05A0">
        <w:t xml:space="preserve"> ASAJA</w:t>
      </w:r>
      <w:r>
        <w:t xml:space="preserve"> </w:t>
      </w:r>
      <w:r w:rsidR="009C05A0">
        <w:t>se reunió con responsables de la Consejería de Medio Ambiente y Ordenación del Territorio para tratar específicamente el problema, a raíz de lo cual, Medio Ambiente elaboró una nueva instrucción para simplificar los permisos para el control de conejos, la cual se publicó en marzo de 2025.</w:t>
      </w:r>
      <w:r w:rsidR="00AB4B50">
        <w:t xml:space="preserve"> </w:t>
      </w:r>
      <w:r w:rsidR="009C05A0">
        <w:t>En la misma línea, en ese mismo mes, d</w:t>
      </w:r>
      <w:r w:rsidR="00292F26" w:rsidRPr="00BC716B">
        <w:t>ada la densidad de conejos</w:t>
      </w:r>
      <w:r w:rsidR="00210966" w:rsidRPr="00BC716B">
        <w:t xml:space="preserve"> detectada</w:t>
      </w:r>
      <w:r w:rsidR="00292F26" w:rsidRPr="00BC716B">
        <w:t>, ASAJA solicitó</w:t>
      </w:r>
      <w:r w:rsidR="00210966" w:rsidRPr="00BC716B">
        <w:t xml:space="preserve"> </w:t>
      </w:r>
      <w:r w:rsidR="00292F26" w:rsidRPr="00BC716B">
        <w:t>al delegado del Gobierno, mediación para lograr una actuación coordinada de las administraciones competentes para que se actúe sobre las infraestructuras públicas</w:t>
      </w:r>
      <w:r w:rsidR="00AB4B50">
        <w:rPr>
          <w:b/>
          <w:bCs/>
        </w:rPr>
        <w:t>.</w:t>
      </w:r>
    </w:p>
    <w:p w14:paraId="6E82CD09" w14:textId="77777777" w:rsidR="00210966" w:rsidRPr="00BC716B" w:rsidRDefault="00210966" w:rsidP="00AA12E3"/>
    <w:p w14:paraId="128F06B3" w14:textId="3FACA27B" w:rsidR="00A33282" w:rsidRPr="00BC716B" w:rsidRDefault="0082787D" w:rsidP="00AA12E3">
      <w:r>
        <w:t>R</w:t>
      </w:r>
      <w:r w:rsidR="006933E7" w:rsidRPr="00BC716B">
        <w:t>especto a</w:t>
      </w:r>
      <w:r w:rsidR="00210966" w:rsidRPr="00BC716B">
        <w:t xml:space="preserve">l </w:t>
      </w:r>
      <w:r w:rsidR="006933E7" w:rsidRPr="00BC716B">
        <w:t xml:space="preserve">topillo, </w:t>
      </w:r>
      <w:r w:rsidR="00A33282" w:rsidRPr="00BC716B">
        <w:t>se ha</w:t>
      </w:r>
      <w:r w:rsidR="00210966" w:rsidRPr="00BC716B">
        <w:t>n</w:t>
      </w:r>
      <w:r w:rsidR="00A33282" w:rsidRPr="00BC716B">
        <w:t xml:space="preserve"> venido detectando</w:t>
      </w:r>
      <w:r w:rsidR="00210966" w:rsidRPr="00BC716B">
        <w:t xml:space="preserve"> focos</w:t>
      </w:r>
      <w:r w:rsidR="00A33282" w:rsidRPr="00BC716B">
        <w:t xml:space="preserve"> de forma progresiva en gran parte del ámbito geográfico de Castilla y León, incluyendo zon</w:t>
      </w:r>
      <w:r w:rsidR="00533195" w:rsidRPr="00BC716B">
        <w:t>as como es el caso de la Ribera del Duero,</w:t>
      </w:r>
      <w:r w:rsidR="00A33282" w:rsidRPr="00BC716B">
        <w:t xml:space="preserve"> no vinculadas al entorno de Tierra de Campos, donde estos fenómenos </w:t>
      </w:r>
      <w:r w:rsidR="00F03635" w:rsidRPr="00BC716B">
        <w:t>vienen presentando</w:t>
      </w:r>
      <w:r w:rsidR="00A33282" w:rsidRPr="00BC716B">
        <w:t xml:space="preserve"> más incidencia</w:t>
      </w:r>
      <w:r w:rsidR="00AB4B50">
        <w:t xml:space="preserve">, algo que también se ha detectado en la provincia de Segovia. </w:t>
      </w:r>
      <w:r w:rsidR="00A33282" w:rsidRPr="00BC716B">
        <w:t>Si bien la tendencia es, en general, en remisión, aún no existen suficientes evidencias de que las poblaciones hayan llegado a la fase de colapso en todo el ámbito geográfico donde se ha manifestado.</w:t>
      </w:r>
    </w:p>
    <w:p w14:paraId="60D1EA17" w14:textId="77777777" w:rsidR="00A33282" w:rsidRPr="00BC716B" w:rsidRDefault="00A33282" w:rsidP="00AA12E3"/>
    <w:p w14:paraId="699B7A7A" w14:textId="4DD69EF1" w:rsidR="00F125FD" w:rsidRPr="00BC716B" w:rsidRDefault="00533195" w:rsidP="00AA12E3">
      <w:r w:rsidRPr="00BC716B">
        <w:t xml:space="preserve">En cuanto a los </w:t>
      </w:r>
      <w:r w:rsidRPr="00BC716B">
        <w:rPr>
          <w:b/>
          <w:bCs/>
        </w:rPr>
        <w:t>avisos emitidos en 2025</w:t>
      </w:r>
      <w:r w:rsidRPr="00BC716B">
        <w:t xml:space="preserve"> por e</w:t>
      </w:r>
      <w:r w:rsidR="001A1C73" w:rsidRPr="00BC716B">
        <w:t>l Observatorio de Plagas y Enfermedades Agrícolas de Castilla y León</w:t>
      </w:r>
      <w:r w:rsidR="00B02E45">
        <w:t>, éste</w:t>
      </w:r>
      <w:r w:rsidR="001A1C73" w:rsidRPr="00BC716B">
        <w:t xml:space="preserve"> emitió a lo largo de 2025 avisos sobre incidencias o detección de  las siguientes </w:t>
      </w:r>
      <w:r w:rsidR="001A1C73" w:rsidRPr="00BC716B">
        <w:rPr>
          <w:b/>
          <w:bCs/>
        </w:rPr>
        <w:t>plagas y enfermedades</w:t>
      </w:r>
      <w:r w:rsidR="001A1C73" w:rsidRPr="00BC716B">
        <w:t xml:space="preserve">: gorgojo en colza; gusano verde en alfalfa; gorgojo y </w:t>
      </w:r>
      <w:proofErr w:type="spellStart"/>
      <w:r w:rsidR="001A1C73" w:rsidRPr="00BC716B">
        <w:t>sitona</w:t>
      </w:r>
      <w:proofErr w:type="spellEnd"/>
      <w:r w:rsidR="001A1C73" w:rsidRPr="00BC716B">
        <w:t xml:space="preserve"> en leguminosas; moteado, fuego bacteriano y pseudomonas en frutales de pepita;</w:t>
      </w:r>
      <w:r w:rsidR="00A37B6C" w:rsidRPr="00BC716B">
        <w:t xml:space="preserve"> mosca del cerezo; </w:t>
      </w:r>
      <w:proofErr w:type="spellStart"/>
      <w:r w:rsidR="00A37B6C" w:rsidRPr="00BC716B">
        <w:t>carpocapsa</w:t>
      </w:r>
      <w:proofErr w:type="spellEnd"/>
      <w:r w:rsidR="00A37B6C" w:rsidRPr="00BC716B">
        <w:t xml:space="preserve"> en peral y manzano;</w:t>
      </w:r>
      <w:r w:rsidR="001A1C73" w:rsidRPr="00BC716B">
        <w:t xml:space="preserve"> </w:t>
      </w:r>
      <w:proofErr w:type="spellStart"/>
      <w:r w:rsidR="001A1C73" w:rsidRPr="00BC716B">
        <w:t>septoria</w:t>
      </w:r>
      <w:proofErr w:type="spellEnd"/>
      <w:r w:rsidR="001A1C73" w:rsidRPr="00BC716B">
        <w:t xml:space="preserve">, </w:t>
      </w:r>
      <w:proofErr w:type="spellStart"/>
      <w:r w:rsidR="001A1C73" w:rsidRPr="00BC716B">
        <w:t>helmintosporiosis</w:t>
      </w:r>
      <w:proofErr w:type="spellEnd"/>
      <w:r w:rsidR="001A1C73" w:rsidRPr="00BC716B">
        <w:t xml:space="preserve">, </w:t>
      </w:r>
      <w:proofErr w:type="spellStart"/>
      <w:r w:rsidR="001A1C73" w:rsidRPr="00BC716B">
        <w:t>rincosporiosis</w:t>
      </w:r>
      <w:proofErr w:type="spellEnd"/>
      <w:r w:rsidR="001A1C73" w:rsidRPr="00BC716B">
        <w:t xml:space="preserve">, </w:t>
      </w:r>
      <w:proofErr w:type="spellStart"/>
      <w:r w:rsidR="001A1C73" w:rsidRPr="00BC716B">
        <w:t>tronchaespigas</w:t>
      </w:r>
      <w:proofErr w:type="spellEnd"/>
      <w:r w:rsidR="001A1C73" w:rsidRPr="00BC716B">
        <w:t xml:space="preserve"> (</w:t>
      </w:r>
      <w:proofErr w:type="spellStart"/>
      <w:r w:rsidR="001A1C73" w:rsidRPr="00BC716B">
        <w:t>calamobius</w:t>
      </w:r>
      <w:proofErr w:type="spellEnd"/>
      <w:r w:rsidR="001A1C73" w:rsidRPr="00BC716B">
        <w:t xml:space="preserve"> y </w:t>
      </w:r>
      <w:proofErr w:type="spellStart"/>
      <w:r w:rsidR="001A1C73" w:rsidRPr="00BC716B">
        <w:t>céfidos</w:t>
      </w:r>
      <w:proofErr w:type="spellEnd"/>
      <w:r w:rsidR="001A1C73" w:rsidRPr="00BC716B">
        <w:t xml:space="preserve">), virus del enanismo del trigo, </w:t>
      </w:r>
      <w:proofErr w:type="spellStart"/>
      <w:r w:rsidR="001A1C73" w:rsidRPr="00BC716B">
        <w:t>oscinella</w:t>
      </w:r>
      <w:proofErr w:type="spellEnd"/>
      <w:r w:rsidR="001A1C73" w:rsidRPr="00BC716B">
        <w:t xml:space="preserve">, </w:t>
      </w:r>
      <w:proofErr w:type="spellStart"/>
      <w:r w:rsidR="001A1C73" w:rsidRPr="00BC716B">
        <w:t>trips</w:t>
      </w:r>
      <w:proofErr w:type="spellEnd"/>
      <w:r w:rsidR="001A1C73" w:rsidRPr="00BC716B">
        <w:t xml:space="preserve">, mohos negros y </w:t>
      </w:r>
      <w:proofErr w:type="spellStart"/>
      <w:r w:rsidR="001A1C73" w:rsidRPr="00BC716B">
        <w:t>mayetiola</w:t>
      </w:r>
      <w:proofErr w:type="spellEnd"/>
      <w:r w:rsidR="001A1C73" w:rsidRPr="00BC716B">
        <w:t xml:space="preserve"> en cereal; barreno de los frutales; mancha negra en peral; mildiu, </w:t>
      </w:r>
      <w:proofErr w:type="spellStart"/>
      <w:r w:rsidR="001A1C73" w:rsidRPr="00BC716B">
        <w:t>oidio</w:t>
      </w:r>
      <w:proofErr w:type="spellEnd"/>
      <w:r w:rsidR="00A37B6C" w:rsidRPr="00BC716B">
        <w:t>,</w:t>
      </w:r>
      <w:r w:rsidR="001A1C73" w:rsidRPr="00BC716B">
        <w:t xml:space="preserve"> polilla del racimo</w:t>
      </w:r>
      <w:r w:rsidR="00A37B6C" w:rsidRPr="00BC716B">
        <w:t xml:space="preserve">, </w:t>
      </w:r>
      <w:proofErr w:type="spellStart"/>
      <w:r w:rsidR="00A37B6C" w:rsidRPr="00BC716B">
        <w:t>erinosis</w:t>
      </w:r>
      <w:proofErr w:type="spellEnd"/>
      <w:r w:rsidR="00A37B6C" w:rsidRPr="00BC716B">
        <w:t xml:space="preserve"> y yesca</w:t>
      </w:r>
      <w:r w:rsidR="001A1C73" w:rsidRPr="00BC716B">
        <w:t xml:space="preserve"> </w:t>
      </w:r>
      <w:r w:rsidR="00A37B6C" w:rsidRPr="00BC716B">
        <w:t>en</w:t>
      </w:r>
      <w:r w:rsidR="001A1C73" w:rsidRPr="00BC716B">
        <w:t xml:space="preserve"> la vid; roya amarilla en trigo; moscas del cerezo; anguina en cebada; </w:t>
      </w:r>
      <w:proofErr w:type="spellStart"/>
      <w:r w:rsidR="001A1C73" w:rsidRPr="00BC716B">
        <w:t>helicoverpa</w:t>
      </w:r>
      <w:proofErr w:type="spellEnd"/>
      <w:r w:rsidR="001A1C73" w:rsidRPr="00BC716B">
        <w:t xml:space="preserve"> en girasol y garbanzo; </w:t>
      </w:r>
      <w:proofErr w:type="spellStart"/>
      <w:r w:rsidR="001A1C73" w:rsidRPr="00BC716B">
        <w:t>spodoptera</w:t>
      </w:r>
      <w:proofErr w:type="spellEnd"/>
      <w:r w:rsidR="001A1C73" w:rsidRPr="00BC716B">
        <w:t xml:space="preserve"> en pimiento</w:t>
      </w:r>
      <w:r w:rsidR="00A37B6C" w:rsidRPr="00BC716B">
        <w:t>.</w:t>
      </w:r>
    </w:p>
    <w:p w14:paraId="55CD1F44" w14:textId="77777777" w:rsidR="00066097" w:rsidRPr="00BC716B" w:rsidRDefault="00066097" w:rsidP="00AA12E3"/>
    <w:p w14:paraId="1A9BC9FF" w14:textId="5B0B2667" w:rsidR="00263DDB" w:rsidRPr="00BC716B" w:rsidRDefault="00533195" w:rsidP="00AA12E3">
      <w:r w:rsidRPr="00BC716B">
        <w:t xml:space="preserve">Respecto </w:t>
      </w:r>
      <w:r w:rsidR="00263DDB" w:rsidRPr="00BC716B">
        <w:t>al cultivo de la patata,</w:t>
      </w:r>
      <w:r w:rsidR="00210966" w:rsidRPr="00BC716B">
        <w:t xml:space="preserve"> este 2025</w:t>
      </w:r>
      <w:r w:rsidR="00263DDB" w:rsidRPr="00BC716B">
        <w:t xml:space="preserve"> la Organización Interprofesional de la Patata de Castilla y León (OIPACYL) firmó un acuerdo de colaboración con el Instituto Tecnológico Agrario de Castilla y León (ITACYL) a través del Observatorio de plagas y enfermedades y la empresa FMC </w:t>
      </w:r>
      <w:proofErr w:type="spellStart"/>
      <w:r w:rsidR="00263DDB" w:rsidRPr="00BC716B">
        <w:t>Agricultural</w:t>
      </w:r>
      <w:proofErr w:type="spellEnd"/>
      <w:r w:rsidR="00263DDB" w:rsidRPr="00BC716B">
        <w:t xml:space="preserve"> </w:t>
      </w:r>
      <w:proofErr w:type="spellStart"/>
      <w:r w:rsidR="00263DDB" w:rsidRPr="00BC716B">
        <w:t>Solutions</w:t>
      </w:r>
      <w:proofErr w:type="spellEnd"/>
      <w:r w:rsidR="00263DDB" w:rsidRPr="00BC716B">
        <w:t xml:space="preserve">, para implantar un proyecto piloto de evaluación y seguimiento de la Palomilla y otras plagas y enfermedades de la patata en las zonas productoras de la </w:t>
      </w:r>
      <w:r w:rsidR="002E6C39" w:rsidRPr="00BC716B">
        <w:t>Castilla y León</w:t>
      </w:r>
      <w:r w:rsidR="00263DDB" w:rsidRPr="00BC716B">
        <w:t>.</w:t>
      </w:r>
    </w:p>
    <w:p w14:paraId="0D260EDD" w14:textId="77777777" w:rsidR="002E6C39" w:rsidRPr="00BC716B" w:rsidRDefault="002E6C39" w:rsidP="00AA12E3"/>
    <w:bookmarkEnd w:id="1"/>
    <w:p w14:paraId="7D10E48C" w14:textId="77777777" w:rsidR="000D1BC6" w:rsidRDefault="000D1BC6" w:rsidP="00AA12E3">
      <w:pPr>
        <w:rPr>
          <w:b/>
        </w:rPr>
      </w:pPr>
    </w:p>
    <w:p w14:paraId="4A377400" w14:textId="77777777" w:rsidR="000D1BC6" w:rsidRDefault="000D1BC6" w:rsidP="00AA12E3">
      <w:pPr>
        <w:jc w:val="center"/>
        <w:rPr>
          <w:b/>
        </w:rPr>
      </w:pPr>
    </w:p>
    <w:p w14:paraId="7C5F0923" w14:textId="77777777" w:rsidR="009A63CB" w:rsidRDefault="009A63CB" w:rsidP="00AA12E3">
      <w:pPr>
        <w:jc w:val="center"/>
        <w:rPr>
          <w:b/>
        </w:rPr>
      </w:pPr>
    </w:p>
    <w:p w14:paraId="4D97FF11" w14:textId="77777777" w:rsidR="005162FF" w:rsidRDefault="005162FF" w:rsidP="00AA12E3">
      <w:pPr>
        <w:jc w:val="center"/>
        <w:rPr>
          <w:b/>
        </w:rPr>
      </w:pPr>
    </w:p>
    <w:p w14:paraId="1CA038EC" w14:textId="77777777" w:rsidR="005162FF" w:rsidRDefault="005162FF" w:rsidP="00AA12E3">
      <w:pPr>
        <w:jc w:val="center"/>
        <w:rPr>
          <w:b/>
        </w:rPr>
      </w:pPr>
    </w:p>
    <w:p w14:paraId="6C6A3D21" w14:textId="77777777" w:rsidR="00C257FA" w:rsidRDefault="00C257FA" w:rsidP="00AA12E3">
      <w:pPr>
        <w:rPr>
          <w:b/>
        </w:rPr>
      </w:pPr>
    </w:p>
    <w:p w14:paraId="2A1ACE04" w14:textId="77777777" w:rsidR="00C257FA" w:rsidRDefault="00C257FA" w:rsidP="00AA12E3">
      <w:pPr>
        <w:rPr>
          <w:b/>
        </w:rPr>
      </w:pPr>
    </w:p>
    <w:p w14:paraId="6F8AB488" w14:textId="77777777" w:rsidR="002E464E" w:rsidRDefault="002E464E" w:rsidP="00AA12E3">
      <w:pPr>
        <w:rPr>
          <w:b/>
        </w:rPr>
      </w:pPr>
    </w:p>
    <w:p w14:paraId="4E55A257" w14:textId="478C61A4" w:rsidR="00F125FD" w:rsidRPr="00BD7F00" w:rsidRDefault="00F125FD" w:rsidP="00AA12E3">
      <w:pPr>
        <w:jc w:val="center"/>
        <w:rPr>
          <w:b/>
        </w:rPr>
      </w:pPr>
      <w:r w:rsidRPr="00BD7F00">
        <w:rPr>
          <w:b/>
        </w:rPr>
        <w:lastRenderedPageBreak/>
        <w:t>SUBSECTOR GANADERO</w:t>
      </w:r>
    </w:p>
    <w:p w14:paraId="4641BDAB" w14:textId="77777777" w:rsidR="00F125FD" w:rsidRPr="00BD7F00" w:rsidRDefault="00F125FD" w:rsidP="00AA12E3">
      <w:pPr>
        <w:rPr>
          <w:bCs/>
        </w:rPr>
      </w:pPr>
    </w:p>
    <w:p w14:paraId="63162FB2" w14:textId="77777777" w:rsidR="00F125FD" w:rsidRPr="00BD7F00" w:rsidRDefault="00F125FD" w:rsidP="00AA12E3">
      <w:pPr>
        <w:rPr>
          <w:b/>
        </w:rPr>
      </w:pPr>
      <w:r w:rsidRPr="00BD7F00">
        <w:rPr>
          <w:b/>
        </w:rPr>
        <w:t>Censos</w:t>
      </w:r>
    </w:p>
    <w:p w14:paraId="6530B30D" w14:textId="77777777" w:rsidR="00F125FD" w:rsidRPr="00BD7F00" w:rsidRDefault="00F125FD" w:rsidP="00AA12E3"/>
    <w:p w14:paraId="6A7B6B86" w14:textId="2F6714DA" w:rsidR="003C4E29" w:rsidRPr="00BD7F00" w:rsidRDefault="00F125FD" w:rsidP="00AA12E3">
      <w:r w:rsidRPr="00BD7F00">
        <w:t>En</w:t>
      </w:r>
      <w:r w:rsidRPr="00BD7F00">
        <w:rPr>
          <w:b/>
        </w:rPr>
        <w:t xml:space="preserve"> ganado vacuno</w:t>
      </w:r>
      <w:r w:rsidRPr="00BD7F00">
        <w:t xml:space="preserve"> según los últimos datos publicados por el Ministerio, recabados de las “encuestas ganaderas de mayo de 202</w:t>
      </w:r>
      <w:r w:rsidR="003C4E29" w:rsidRPr="00BD7F00">
        <w:t>5</w:t>
      </w:r>
      <w:r w:rsidRPr="00BD7F00">
        <w:t xml:space="preserve">”, en Castilla y León había </w:t>
      </w:r>
      <w:r w:rsidR="003C4E29" w:rsidRPr="00BD7F00">
        <w:rPr>
          <w:b/>
          <w:bCs/>
          <w:sz w:val="22"/>
          <w:szCs w:val="22"/>
          <w:lang w:eastAsia="es-ES"/>
        </w:rPr>
        <w:t xml:space="preserve">1.406.389 </w:t>
      </w:r>
      <w:r w:rsidRPr="00BD7F00">
        <w:t>cabezas de ganado,</w:t>
      </w:r>
      <w:r w:rsidR="000645B6" w:rsidRPr="00BD7F00">
        <w:t xml:space="preserve"> con una ligera variación</w:t>
      </w:r>
      <w:r w:rsidR="001B28D2">
        <w:t xml:space="preserve"> al alza</w:t>
      </w:r>
      <w:r w:rsidR="000645B6" w:rsidRPr="00BD7F00">
        <w:t xml:space="preserve"> del 0,37% respecto al censo de 2024. </w:t>
      </w:r>
      <w:r w:rsidR="003C4E29" w:rsidRPr="00BD7F00">
        <w:t xml:space="preserve"> </w:t>
      </w:r>
    </w:p>
    <w:p w14:paraId="2931E28F" w14:textId="18087BE8" w:rsidR="000645B6" w:rsidRPr="00BD7F00" w:rsidRDefault="000645B6" w:rsidP="00AA12E3">
      <w:r w:rsidRPr="00BD7F00">
        <w:t>En cuanto al censo de animales jóvenes destinados a sacrificio, se ha producido un incremento del 15,53% en machos menores de 12 meses y del 9,03% en los de 12 a menos de 24 meses.</w:t>
      </w:r>
    </w:p>
    <w:p w14:paraId="67E1D3D9" w14:textId="16DC45D7" w:rsidR="00066097" w:rsidRPr="00BD7F00" w:rsidRDefault="00094815" w:rsidP="00AA12E3">
      <w:r w:rsidRPr="00BD7F00">
        <w:t>En el caso del censo de animales adultos se observa ligeros descensos respecto al censo de 2024</w:t>
      </w:r>
      <w:r w:rsidR="00434C28" w:rsidRPr="00BD7F00">
        <w:t>, (-2,64% en vacas lecheras, -5,61% novillas para sacrificio)</w:t>
      </w:r>
      <w:r w:rsidR="00B27029">
        <w:t>.</w:t>
      </w:r>
    </w:p>
    <w:p w14:paraId="0EA2F0BB" w14:textId="77777777" w:rsidR="000D5F9C" w:rsidRPr="00BD7F00" w:rsidRDefault="000D5F9C" w:rsidP="00AA12E3">
      <w:pPr>
        <w:spacing w:after="120"/>
      </w:pPr>
    </w:p>
    <w:p w14:paraId="6012E4E5" w14:textId="61B9FE26" w:rsidR="009A63CB" w:rsidRDefault="00F125FD" w:rsidP="00AA12E3">
      <w:pPr>
        <w:spacing w:after="120"/>
      </w:pPr>
      <w:r w:rsidRPr="00BD7F00">
        <w:t>En la tabla siguiente se puede ver el censo y la evolución por tipo de ganado:</w:t>
      </w:r>
    </w:p>
    <w:p w14:paraId="469B48DD" w14:textId="77777777" w:rsidR="00F8655E" w:rsidRPr="00BD7F00" w:rsidRDefault="00F8655E" w:rsidP="00AA12E3">
      <w:pPr>
        <w:spacing w:after="120"/>
      </w:pPr>
    </w:p>
    <w:tbl>
      <w:tblPr>
        <w:tblW w:w="6760" w:type="dxa"/>
        <w:jc w:val="center"/>
        <w:tblCellMar>
          <w:left w:w="70" w:type="dxa"/>
          <w:right w:w="70" w:type="dxa"/>
        </w:tblCellMar>
        <w:tblLook w:val="04A0" w:firstRow="1" w:lastRow="0" w:firstColumn="1" w:lastColumn="0" w:noHBand="0" w:noVBand="1"/>
      </w:tblPr>
      <w:tblGrid>
        <w:gridCol w:w="1579"/>
        <w:gridCol w:w="1241"/>
        <w:gridCol w:w="1200"/>
        <w:gridCol w:w="1240"/>
        <w:gridCol w:w="1500"/>
      </w:tblGrid>
      <w:tr w:rsidR="00BD7F00" w:rsidRPr="00BD7F00" w14:paraId="42916DD9" w14:textId="77777777" w:rsidTr="003C4E29">
        <w:trPr>
          <w:trHeight w:val="315"/>
          <w:jc w:val="center"/>
        </w:trPr>
        <w:tc>
          <w:tcPr>
            <w:tcW w:w="2820" w:type="dxa"/>
            <w:gridSpan w:val="2"/>
            <w:tcBorders>
              <w:top w:val="nil"/>
              <w:left w:val="nil"/>
              <w:bottom w:val="nil"/>
              <w:right w:val="single" w:sz="8" w:space="0" w:color="000000"/>
            </w:tcBorders>
            <w:noWrap/>
            <w:hideMark/>
          </w:tcPr>
          <w:p w14:paraId="6CBDBBBA" w14:textId="77777777" w:rsidR="003C4E29" w:rsidRPr="00BD7F00" w:rsidRDefault="003C4E29" w:rsidP="00AA12E3">
            <w:pPr>
              <w:jc w:val="left"/>
              <w:rPr>
                <w:sz w:val="20"/>
                <w:szCs w:val="20"/>
                <w:lang w:eastAsia="es-ES"/>
              </w:rPr>
            </w:pPr>
          </w:p>
        </w:tc>
        <w:tc>
          <w:tcPr>
            <w:tcW w:w="1200" w:type="dxa"/>
            <w:tcBorders>
              <w:top w:val="single" w:sz="8" w:space="0" w:color="auto"/>
              <w:left w:val="nil"/>
              <w:bottom w:val="single" w:sz="8" w:space="0" w:color="auto"/>
              <w:right w:val="single" w:sz="8" w:space="0" w:color="auto"/>
            </w:tcBorders>
            <w:noWrap/>
            <w:vAlign w:val="center"/>
            <w:hideMark/>
          </w:tcPr>
          <w:p w14:paraId="45D7B0A7" w14:textId="77777777" w:rsidR="003C4E29" w:rsidRPr="00BD7F00" w:rsidRDefault="003C4E29" w:rsidP="00AA12E3">
            <w:pPr>
              <w:jc w:val="center"/>
              <w:rPr>
                <w:b/>
                <w:bCs/>
                <w:sz w:val="22"/>
                <w:szCs w:val="22"/>
                <w:lang w:eastAsia="es-ES"/>
              </w:rPr>
            </w:pPr>
            <w:r w:rsidRPr="00BD7F00">
              <w:rPr>
                <w:b/>
                <w:bCs/>
                <w:sz w:val="22"/>
                <w:szCs w:val="22"/>
                <w:lang w:eastAsia="es-ES"/>
              </w:rPr>
              <w:t>2024</w:t>
            </w:r>
          </w:p>
        </w:tc>
        <w:tc>
          <w:tcPr>
            <w:tcW w:w="1240" w:type="dxa"/>
            <w:tcBorders>
              <w:top w:val="single" w:sz="8" w:space="0" w:color="auto"/>
              <w:left w:val="nil"/>
              <w:bottom w:val="single" w:sz="8" w:space="0" w:color="auto"/>
              <w:right w:val="single" w:sz="8" w:space="0" w:color="auto"/>
            </w:tcBorders>
            <w:noWrap/>
            <w:vAlign w:val="center"/>
            <w:hideMark/>
          </w:tcPr>
          <w:p w14:paraId="7EA0C7A9" w14:textId="77777777" w:rsidR="003C4E29" w:rsidRPr="00BD7F00" w:rsidRDefault="003C4E29" w:rsidP="00AA12E3">
            <w:pPr>
              <w:jc w:val="center"/>
              <w:rPr>
                <w:b/>
                <w:bCs/>
                <w:sz w:val="22"/>
                <w:szCs w:val="22"/>
                <w:lang w:eastAsia="es-ES"/>
              </w:rPr>
            </w:pPr>
            <w:r w:rsidRPr="00BD7F00">
              <w:rPr>
                <w:b/>
                <w:bCs/>
                <w:sz w:val="22"/>
                <w:szCs w:val="22"/>
                <w:lang w:eastAsia="es-ES"/>
              </w:rPr>
              <w:t>2025</w:t>
            </w:r>
          </w:p>
        </w:tc>
        <w:tc>
          <w:tcPr>
            <w:tcW w:w="1500" w:type="dxa"/>
            <w:tcBorders>
              <w:top w:val="single" w:sz="8" w:space="0" w:color="auto"/>
              <w:left w:val="nil"/>
              <w:bottom w:val="single" w:sz="8" w:space="0" w:color="auto"/>
              <w:right w:val="single" w:sz="8" w:space="0" w:color="auto"/>
            </w:tcBorders>
            <w:noWrap/>
            <w:vAlign w:val="center"/>
            <w:hideMark/>
          </w:tcPr>
          <w:p w14:paraId="7918AC28" w14:textId="77777777" w:rsidR="003C4E29" w:rsidRPr="00BD7F00" w:rsidRDefault="003C4E29" w:rsidP="00AA12E3">
            <w:pPr>
              <w:jc w:val="center"/>
              <w:rPr>
                <w:b/>
                <w:bCs/>
                <w:sz w:val="22"/>
                <w:szCs w:val="22"/>
                <w:lang w:eastAsia="es-ES"/>
              </w:rPr>
            </w:pPr>
            <w:r w:rsidRPr="00BD7F00">
              <w:rPr>
                <w:b/>
                <w:bCs/>
                <w:sz w:val="22"/>
                <w:szCs w:val="22"/>
                <w:lang w:eastAsia="es-ES"/>
              </w:rPr>
              <w:t>Variación (%)</w:t>
            </w:r>
          </w:p>
        </w:tc>
      </w:tr>
      <w:tr w:rsidR="00BD7F00" w:rsidRPr="00BD7F00" w14:paraId="5DE08883" w14:textId="77777777" w:rsidTr="003C4E29">
        <w:trPr>
          <w:trHeight w:val="315"/>
          <w:jc w:val="center"/>
        </w:trPr>
        <w:tc>
          <w:tcPr>
            <w:tcW w:w="2820" w:type="dxa"/>
            <w:gridSpan w:val="2"/>
            <w:tcBorders>
              <w:top w:val="single" w:sz="8" w:space="0" w:color="auto"/>
              <w:left w:val="single" w:sz="8" w:space="0" w:color="auto"/>
              <w:bottom w:val="nil"/>
              <w:right w:val="single" w:sz="8" w:space="0" w:color="000000"/>
            </w:tcBorders>
            <w:noWrap/>
            <w:vAlign w:val="center"/>
            <w:hideMark/>
          </w:tcPr>
          <w:p w14:paraId="602FE649" w14:textId="77777777" w:rsidR="003C4E29" w:rsidRPr="00BD7F00" w:rsidRDefault="003C4E29" w:rsidP="00AA12E3">
            <w:pPr>
              <w:jc w:val="left"/>
              <w:rPr>
                <w:b/>
                <w:bCs/>
                <w:sz w:val="22"/>
                <w:szCs w:val="22"/>
                <w:lang w:eastAsia="es-ES"/>
              </w:rPr>
            </w:pPr>
            <w:r w:rsidRPr="00BD7F00">
              <w:rPr>
                <w:b/>
                <w:bCs/>
                <w:sz w:val="22"/>
                <w:szCs w:val="22"/>
                <w:lang w:eastAsia="es-ES"/>
              </w:rPr>
              <w:t>Total</w:t>
            </w:r>
          </w:p>
        </w:tc>
        <w:tc>
          <w:tcPr>
            <w:tcW w:w="1200" w:type="dxa"/>
            <w:tcBorders>
              <w:top w:val="nil"/>
              <w:left w:val="nil"/>
              <w:bottom w:val="nil"/>
              <w:right w:val="single" w:sz="4" w:space="0" w:color="auto"/>
            </w:tcBorders>
            <w:noWrap/>
            <w:vAlign w:val="center"/>
            <w:hideMark/>
          </w:tcPr>
          <w:p w14:paraId="28A27129" w14:textId="77777777" w:rsidR="003C4E29" w:rsidRPr="00BD7F00" w:rsidRDefault="003C4E29" w:rsidP="00AA12E3">
            <w:pPr>
              <w:jc w:val="center"/>
              <w:rPr>
                <w:b/>
                <w:bCs/>
                <w:sz w:val="22"/>
                <w:szCs w:val="22"/>
                <w:lang w:eastAsia="es-ES"/>
              </w:rPr>
            </w:pPr>
            <w:r w:rsidRPr="00BD7F00">
              <w:rPr>
                <w:b/>
                <w:bCs/>
                <w:sz w:val="22"/>
                <w:szCs w:val="22"/>
                <w:lang w:eastAsia="es-ES"/>
              </w:rPr>
              <w:t>1.401.236</w:t>
            </w:r>
          </w:p>
        </w:tc>
        <w:tc>
          <w:tcPr>
            <w:tcW w:w="1240" w:type="dxa"/>
            <w:tcBorders>
              <w:top w:val="nil"/>
              <w:left w:val="nil"/>
              <w:bottom w:val="nil"/>
              <w:right w:val="nil"/>
            </w:tcBorders>
            <w:shd w:val="clear" w:color="FFFFFF" w:fill="auto"/>
            <w:vAlign w:val="center"/>
            <w:hideMark/>
          </w:tcPr>
          <w:p w14:paraId="7ADC0849" w14:textId="77777777" w:rsidR="003C4E29" w:rsidRPr="00BD7F00" w:rsidRDefault="003C4E29" w:rsidP="00AA12E3">
            <w:pPr>
              <w:jc w:val="center"/>
              <w:rPr>
                <w:b/>
                <w:bCs/>
                <w:sz w:val="22"/>
                <w:szCs w:val="22"/>
                <w:lang w:eastAsia="es-ES"/>
              </w:rPr>
            </w:pPr>
            <w:r w:rsidRPr="00BD7F00">
              <w:rPr>
                <w:b/>
                <w:bCs/>
                <w:sz w:val="22"/>
                <w:szCs w:val="22"/>
                <w:lang w:eastAsia="es-ES"/>
              </w:rPr>
              <w:t>1.406.389</w:t>
            </w:r>
          </w:p>
        </w:tc>
        <w:tc>
          <w:tcPr>
            <w:tcW w:w="1500" w:type="dxa"/>
            <w:tcBorders>
              <w:top w:val="nil"/>
              <w:left w:val="single" w:sz="8" w:space="0" w:color="auto"/>
              <w:bottom w:val="single" w:sz="8" w:space="0" w:color="auto"/>
              <w:right w:val="single" w:sz="8" w:space="0" w:color="auto"/>
            </w:tcBorders>
            <w:noWrap/>
            <w:vAlign w:val="center"/>
            <w:hideMark/>
          </w:tcPr>
          <w:p w14:paraId="6636C2EA" w14:textId="3DA84377" w:rsidR="003C4E29" w:rsidRPr="00BD7F00" w:rsidRDefault="003C4E29" w:rsidP="00AA12E3">
            <w:pPr>
              <w:jc w:val="center"/>
              <w:rPr>
                <w:b/>
                <w:bCs/>
                <w:sz w:val="22"/>
                <w:szCs w:val="22"/>
                <w:lang w:eastAsia="es-ES"/>
              </w:rPr>
            </w:pPr>
            <w:r w:rsidRPr="00BD7F00">
              <w:rPr>
                <w:b/>
                <w:bCs/>
                <w:sz w:val="22"/>
                <w:szCs w:val="22"/>
                <w:lang w:eastAsia="es-ES"/>
              </w:rPr>
              <w:t> </w:t>
            </w:r>
            <w:r w:rsidR="000645B6" w:rsidRPr="00BD7F00">
              <w:rPr>
                <w:b/>
                <w:bCs/>
                <w:sz w:val="22"/>
                <w:szCs w:val="22"/>
                <w:lang w:eastAsia="es-ES"/>
              </w:rPr>
              <w:t>0,37%</w:t>
            </w:r>
          </w:p>
        </w:tc>
      </w:tr>
      <w:tr w:rsidR="00BD7F00" w:rsidRPr="00BD7F00" w14:paraId="3B4BD436" w14:textId="77777777" w:rsidTr="00DC0F3F">
        <w:trPr>
          <w:trHeight w:val="315"/>
          <w:jc w:val="center"/>
        </w:trPr>
        <w:tc>
          <w:tcPr>
            <w:tcW w:w="6760" w:type="dxa"/>
            <w:gridSpan w:val="5"/>
            <w:tcBorders>
              <w:top w:val="single" w:sz="8" w:space="0" w:color="auto"/>
              <w:left w:val="single" w:sz="8" w:space="0" w:color="auto"/>
              <w:bottom w:val="single" w:sz="8" w:space="0" w:color="auto"/>
              <w:right w:val="single" w:sz="8" w:space="0" w:color="000000"/>
            </w:tcBorders>
            <w:shd w:val="clear" w:color="auto" w:fill="EAF1DD" w:themeFill="accent3" w:themeFillTint="33"/>
            <w:noWrap/>
            <w:vAlign w:val="center"/>
            <w:hideMark/>
          </w:tcPr>
          <w:p w14:paraId="09E1ECF3" w14:textId="77777777" w:rsidR="003C4E29" w:rsidRPr="00BD7F00" w:rsidRDefault="003C4E29" w:rsidP="00AA12E3">
            <w:pPr>
              <w:jc w:val="center"/>
              <w:rPr>
                <w:i/>
                <w:iCs/>
                <w:sz w:val="22"/>
                <w:szCs w:val="22"/>
                <w:lang w:eastAsia="es-ES"/>
              </w:rPr>
            </w:pPr>
            <w:r w:rsidRPr="00BD7F00">
              <w:rPr>
                <w:i/>
                <w:iCs/>
                <w:sz w:val="22"/>
                <w:szCs w:val="22"/>
                <w:lang w:eastAsia="es-ES"/>
              </w:rPr>
              <w:t>Animales menores de 12 meses</w:t>
            </w:r>
          </w:p>
        </w:tc>
      </w:tr>
      <w:tr w:rsidR="00BD7F00" w:rsidRPr="00BD7F00" w14:paraId="0B1CF19B" w14:textId="77777777" w:rsidTr="003C4E29">
        <w:trPr>
          <w:trHeight w:val="315"/>
          <w:jc w:val="center"/>
        </w:trPr>
        <w:tc>
          <w:tcPr>
            <w:tcW w:w="2820" w:type="dxa"/>
            <w:gridSpan w:val="2"/>
            <w:tcBorders>
              <w:top w:val="nil"/>
              <w:left w:val="single" w:sz="8" w:space="0" w:color="auto"/>
              <w:bottom w:val="single" w:sz="4" w:space="0" w:color="auto"/>
              <w:right w:val="single" w:sz="8" w:space="0" w:color="000000"/>
            </w:tcBorders>
            <w:noWrap/>
            <w:vAlign w:val="center"/>
            <w:hideMark/>
          </w:tcPr>
          <w:p w14:paraId="6718DC5A" w14:textId="77777777" w:rsidR="003C4E29" w:rsidRPr="00BD7F00" w:rsidRDefault="003C4E29" w:rsidP="00AA12E3">
            <w:pPr>
              <w:jc w:val="left"/>
              <w:rPr>
                <w:sz w:val="22"/>
                <w:szCs w:val="22"/>
                <w:lang w:eastAsia="es-ES"/>
              </w:rPr>
            </w:pPr>
            <w:r w:rsidRPr="00BD7F00">
              <w:rPr>
                <w:sz w:val="22"/>
                <w:szCs w:val="22"/>
                <w:lang w:eastAsia="es-ES"/>
              </w:rPr>
              <w:t>Destinados a sacrificio</w:t>
            </w:r>
          </w:p>
        </w:tc>
        <w:tc>
          <w:tcPr>
            <w:tcW w:w="1200" w:type="dxa"/>
            <w:tcBorders>
              <w:top w:val="nil"/>
              <w:left w:val="nil"/>
              <w:bottom w:val="single" w:sz="4" w:space="0" w:color="auto"/>
              <w:right w:val="single" w:sz="4" w:space="0" w:color="auto"/>
            </w:tcBorders>
            <w:noWrap/>
            <w:vAlign w:val="center"/>
            <w:hideMark/>
          </w:tcPr>
          <w:p w14:paraId="3FCA6680" w14:textId="77777777" w:rsidR="003C4E29" w:rsidRPr="00BD7F00" w:rsidRDefault="003C4E29" w:rsidP="00AA12E3">
            <w:pPr>
              <w:jc w:val="center"/>
              <w:rPr>
                <w:sz w:val="20"/>
                <w:szCs w:val="20"/>
                <w:lang w:eastAsia="es-ES"/>
              </w:rPr>
            </w:pPr>
            <w:r w:rsidRPr="00BD7F00">
              <w:rPr>
                <w:sz w:val="20"/>
                <w:szCs w:val="20"/>
                <w:lang w:eastAsia="es-ES"/>
              </w:rPr>
              <w:t>260.544</w:t>
            </w:r>
          </w:p>
        </w:tc>
        <w:tc>
          <w:tcPr>
            <w:tcW w:w="1240" w:type="dxa"/>
            <w:tcBorders>
              <w:top w:val="nil"/>
              <w:left w:val="nil"/>
              <w:bottom w:val="single" w:sz="4" w:space="0" w:color="auto"/>
              <w:right w:val="single" w:sz="4" w:space="0" w:color="auto"/>
            </w:tcBorders>
            <w:shd w:val="clear" w:color="FFFFFF" w:fill="auto"/>
            <w:vAlign w:val="center"/>
            <w:hideMark/>
          </w:tcPr>
          <w:p w14:paraId="52CB155D" w14:textId="77777777" w:rsidR="003C4E29" w:rsidRPr="00BD7F00" w:rsidRDefault="003C4E29" w:rsidP="00AA12E3">
            <w:pPr>
              <w:jc w:val="center"/>
              <w:rPr>
                <w:b/>
                <w:bCs/>
                <w:sz w:val="22"/>
                <w:szCs w:val="22"/>
                <w:lang w:eastAsia="es-ES"/>
              </w:rPr>
            </w:pPr>
            <w:r w:rsidRPr="00BD7F00">
              <w:rPr>
                <w:b/>
                <w:bCs/>
                <w:sz w:val="22"/>
                <w:szCs w:val="22"/>
                <w:lang w:eastAsia="es-ES"/>
              </w:rPr>
              <w:t>301.002</w:t>
            </w:r>
          </w:p>
        </w:tc>
        <w:tc>
          <w:tcPr>
            <w:tcW w:w="1500" w:type="dxa"/>
            <w:tcBorders>
              <w:top w:val="nil"/>
              <w:left w:val="nil"/>
              <w:bottom w:val="single" w:sz="4" w:space="0" w:color="auto"/>
              <w:right w:val="single" w:sz="8" w:space="0" w:color="auto"/>
            </w:tcBorders>
            <w:noWrap/>
            <w:vAlign w:val="center"/>
            <w:hideMark/>
          </w:tcPr>
          <w:p w14:paraId="53FF7AF5" w14:textId="77777777" w:rsidR="003C4E29" w:rsidRPr="00BD7F00" w:rsidRDefault="003C4E29" w:rsidP="00AA12E3">
            <w:pPr>
              <w:jc w:val="center"/>
              <w:rPr>
                <w:sz w:val="20"/>
                <w:szCs w:val="20"/>
                <w:lang w:eastAsia="es-ES"/>
              </w:rPr>
            </w:pPr>
            <w:r w:rsidRPr="00BD7F00">
              <w:rPr>
                <w:sz w:val="20"/>
                <w:szCs w:val="20"/>
                <w:lang w:eastAsia="es-ES"/>
              </w:rPr>
              <w:t>15,53%</w:t>
            </w:r>
          </w:p>
        </w:tc>
      </w:tr>
      <w:tr w:rsidR="00BD7F00" w:rsidRPr="00BD7F00" w14:paraId="71BD2E3F" w14:textId="77777777" w:rsidTr="003C4E29">
        <w:trPr>
          <w:trHeight w:val="315"/>
          <w:jc w:val="center"/>
        </w:trPr>
        <w:tc>
          <w:tcPr>
            <w:tcW w:w="1579" w:type="dxa"/>
            <w:vMerge w:val="restart"/>
            <w:tcBorders>
              <w:top w:val="nil"/>
              <w:left w:val="single" w:sz="8" w:space="0" w:color="auto"/>
              <w:bottom w:val="single" w:sz="4" w:space="0" w:color="auto"/>
              <w:right w:val="single" w:sz="4" w:space="0" w:color="auto"/>
            </w:tcBorders>
            <w:noWrap/>
            <w:vAlign w:val="center"/>
            <w:hideMark/>
          </w:tcPr>
          <w:p w14:paraId="706D90A9" w14:textId="77777777" w:rsidR="003C4E29" w:rsidRPr="00BD7F00" w:rsidRDefault="003C4E29" w:rsidP="00AA12E3">
            <w:pPr>
              <w:jc w:val="left"/>
              <w:rPr>
                <w:sz w:val="22"/>
                <w:szCs w:val="22"/>
                <w:lang w:eastAsia="es-ES"/>
              </w:rPr>
            </w:pPr>
            <w:r w:rsidRPr="00BD7F00">
              <w:rPr>
                <w:sz w:val="22"/>
                <w:szCs w:val="22"/>
                <w:lang w:eastAsia="es-ES"/>
              </w:rPr>
              <w:t>Otros</w:t>
            </w:r>
          </w:p>
        </w:tc>
        <w:tc>
          <w:tcPr>
            <w:tcW w:w="1241" w:type="dxa"/>
            <w:tcBorders>
              <w:top w:val="nil"/>
              <w:left w:val="nil"/>
              <w:bottom w:val="single" w:sz="4" w:space="0" w:color="auto"/>
              <w:right w:val="single" w:sz="8" w:space="0" w:color="auto"/>
            </w:tcBorders>
            <w:noWrap/>
            <w:vAlign w:val="center"/>
            <w:hideMark/>
          </w:tcPr>
          <w:p w14:paraId="36539CEE" w14:textId="77777777" w:rsidR="003C4E29" w:rsidRPr="00BD7F00" w:rsidRDefault="003C4E29" w:rsidP="00AA12E3">
            <w:pPr>
              <w:jc w:val="left"/>
              <w:rPr>
                <w:sz w:val="22"/>
                <w:szCs w:val="22"/>
                <w:lang w:eastAsia="es-ES"/>
              </w:rPr>
            </w:pPr>
            <w:r w:rsidRPr="00BD7F00">
              <w:rPr>
                <w:sz w:val="22"/>
                <w:szCs w:val="22"/>
                <w:lang w:eastAsia="es-ES"/>
              </w:rPr>
              <w:t>Machos</w:t>
            </w:r>
          </w:p>
        </w:tc>
        <w:tc>
          <w:tcPr>
            <w:tcW w:w="1200" w:type="dxa"/>
            <w:tcBorders>
              <w:top w:val="nil"/>
              <w:left w:val="nil"/>
              <w:bottom w:val="single" w:sz="4" w:space="0" w:color="auto"/>
              <w:right w:val="single" w:sz="4" w:space="0" w:color="auto"/>
            </w:tcBorders>
            <w:noWrap/>
            <w:vAlign w:val="center"/>
            <w:hideMark/>
          </w:tcPr>
          <w:p w14:paraId="40B821EA" w14:textId="77777777" w:rsidR="003C4E29" w:rsidRPr="00BD7F00" w:rsidRDefault="003C4E29" w:rsidP="00AA12E3">
            <w:pPr>
              <w:jc w:val="center"/>
              <w:rPr>
                <w:sz w:val="20"/>
                <w:szCs w:val="20"/>
                <w:lang w:eastAsia="es-ES"/>
              </w:rPr>
            </w:pPr>
            <w:r w:rsidRPr="00BD7F00">
              <w:rPr>
                <w:sz w:val="20"/>
                <w:szCs w:val="20"/>
                <w:lang w:eastAsia="es-ES"/>
              </w:rPr>
              <w:t>91.150</w:t>
            </w:r>
          </w:p>
        </w:tc>
        <w:tc>
          <w:tcPr>
            <w:tcW w:w="1240" w:type="dxa"/>
            <w:tcBorders>
              <w:top w:val="nil"/>
              <w:left w:val="nil"/>
              <w:bottom w:val="single" w:sz="4" w:space="0" w:color="auto"/>
              <w:right w:val="single" w:sz="4" w:space="0" w:color="auto"/>
            </w:tcBorders>
            <w:shd w:val="clear" w:color="FFFFFF" w:fill="auto"/>
            <w:vAlign w:val="center"/>
            <w:hideMark/>
          </w:tcPr>
          <w:p w14:paraId="72F9E479" w14:textId="77777777" w:rsidR="003C4E29" w:rsidRPr="00BD7F00" w:rsidRDefault="003C4E29" w:rsidP="00AA12E3">
            <w:pPr>
              <w:jc w:val="center"/>
              <w:rPr>
                <w:b/>
                <w:bCs/>
                <w:sz w:val="22"/>
                <w:szCs w:val="22"/>
                <w:lang w:eastAsia="es-ES"/>
              </w:rPr>
            </w:pPr>
            <w:r w:rsidRPr="00BD7F00">
              <w:rPr>
                <w:b/>
                <w:bCs/>
                <w:sz w:val="22"/>
                <w:szCs w:val="22"/>
                <w:lang w:eastAsia="es-ES"/>
              </w:rPr>
              <w:t>73.149</w:t>
            </w:r>
          </w:p>
        </w:tc>
        <w:tc>
          <w:tcPr>
            <w:tcW w:w="1500" w:type="dxa"/>
            <w:tcBorders>
              <w:top w:val="nil"/>
              <w:left w:val="nil"/>
              <w:bottom w:val="single" w:sz="4" w:space="0" w:color="auto"/>
              <w:right w:val="single" w:sz="8" w:space="0" w:color="auto"/>
            </w:tcBorders>
            <w:noWrap/>
            <w:vAlign w:val="center"/>
            <w:hideMark/>
          </w:tcPr>
          <w:p w14:paraId="77BEE752" w14:textId="77777777" w:rsidR="003C4E29" w:rsidRPr="00BD7F00" w:rsidRDefault="003C4E29" w:rsidP="00AA12E3">
            <w:pPr>
              <w:jc w:val="center"/>
              <w:rPr>
                <w:sz w:val="20"/>
                <w:szCs w:val="20"/>
                <w:lang w:eastAsia="es-ES"/>
              </w:rPr>
            </w:pPr>
            <w:r w:rsidRPr="00BD7F00">
              <w:rPr>
                <w:sz w:val="20"/>
                <w:szCs w:val="20"/>
                <w:lang w:eastAsia="es-ES"/>
              </w:rPr>
              <w:t>-19,75%</w:t>
            </w:r>
          </w:p>
        </w:tc>
      </w:tr>
      <w:tr w:rsidR="00BD7F00" w:rsidRPr="00BD7F00" w14:paraId="1B470F94" w14:textId="77777777" w:rsidTr="003C4E29">
        <w:trPr>
          <w:trHeight w:val="315"/>
          <w:jc w:val="center"/>
        </w:trPr>
        <w:tc>
          <w:tcPr>
            <w:tcW w:w="1579" w:type="dxa"/>
            <w:vMerge/>
            <w:tcBorders>
              <w:top w:val="nil"/>
              <w:left w:val="single" w:sz="8" w:space="0" w:color="auto"/>
              <w:bottom w:val="single" w:sz="4" w:space="0" w:color="auto"/>
              <w:right w:val="single" w:sz="4" w:space="0" w:color="auto"/>
            </w:tcBorders>
            <w:vAlign w:val="center"/>
            <w:hideMark/>
          </w:tcPr>
          <w:p w14:paraId="01A411AA" w14:textId="77777777" w:rsidR="003C4E29" w:rsidRPr="00BD7F00" w:rsidRDefault="003C4E29" w:rsidP="00AA12E3">
            <w:pPr>
              <w:jc w:val="left"/>
              <w:rPr>
                <w:sz w:val="22"/>
                <w:szCs w:val="22"/>
                <w:lang w:eastAsia="es-ES"/>
              </w:rPr>
            </w:pPr>
          </w:p>
        </w:tc>
        <w:tc>
          <w:tcPr>
            <w:tcW w:w="1241" w:type="dxa"/>
            <w:tcBorders>
              <w:top w:val="nil"/>
              <w:left w:val="nil"/>
              <w:bottom w:val="nil"/>
              <w:right w:val="single" w:sz="8" w:space="0" w:color="auto"/>
            </w:tcBorders>
            <w:noWrap/>
            <w:vAlign w:val="center"/>
            <w:hideMark/>
          </w:tcPr>
          <w:p w14:paraId="0E465418" w14:textId="77777777" w:rsidR="003C4E29" w:rsidRPr="00BD7F00" w:rsidRDefault="003C4E29" w:rsidP="00AA12E3">
            <w:pPr>
              <w:jc w:val="left"/>
              <w:rPr>
                <w:sz w:val="22"/>
                <w:szCs w:val="22"/>
                <w:lang w:eastAsia="es-ES"/>
              </w:rPr>
            </w:pPr>
            <w:r w:rsidRPr="00BD7F00">
              <w:rPr>
                <w:sz w:val="22"/>
                <w:szCs w:val="22"/>
                <w:lang w:eastAsia="es-ES"/>
              </w:rPr>
              <w:t>Hembras</w:t>
            </w:r>
          </w:p>
        </w:tc>
        <w:tc>
          <w:tcPr>
            <w:tcW w:w="1200" w:type="dxa"/>
            <w:tcBorders>
              <w:top w:val="nil"/>
              <w:left w:val="nil"/>
              <w:bottom w:val="nil"/>
              <w:right w:val="single" w:sz="4" w:space="0" w:color="auto"/>
            </w:tcBorders>
            <w:noWrap/>
            <w:vAlign w:val="center"/>
            <w:hideMark/>
          </w:tcPr>
          <w:p w14:paraId="3B14CC13" w14:textId="77777777" w:rsidR="003C4E29" w:rsidRPr="00BD7F00" w:rsidRDefault="003C4E29" w:rsidP="00AA12E3">
            <w:pPr>
              <w:jc w:val="center"/>
              <w:rPr>
                <w:sz w:val="20"/>
                <w:szCs w:val="20"/>
                <w:lang w:eastAsia="es-ES"/>
              </w:rPr>
            </w:pPr>
            <w:r w:rsidRPr="00BD7F00">
              <w:rPr>
                <w:sz w:val="20"/>
                <w:szCs w:val="20"/>
                <w:lang w:eastAsia="es-ES"/>
              </w:rPr>
              <w:t>137.120</w:t>
            </w:r>
          </w:p>
        </w:tc>
        <w:tc>
          <w:tcPr>
            <w:tcW w:w="1240" w:type="dxa"/>
            <w:tcBorders>
              <w:top w:val="nil"/>
              <w:left w:val="nil"/>
              <w:bottom w:val="nil"/>
              <w:right w:val="single" w:sz="4" w:space="0" w:color="auto"/>
            </w:tcBorders>
            <w:shd w:val="clear" w:color="FFFFFF" w:fill="auto"/>
            <w:vAlign w:val="center"/>
            <w:hideMark/>
          </w:tcPr>
          <w:p w14:paraId="27E5D274" w14:textId="77777777" w:rsidR="003C4E29" w:rsidRPr="00BD7F00" w:rsidRDefault="003C4E29" w:rsidP="00AA12E3">
            <w:pPr>
              <w:jc w:val="center"/>
              <w:rPr>
                <w:b/>
                <w:bCs/>
                <w:sz w:val="22"/>
                <w:szCs w:val="22"/>
                <w:lang w:eastAsia="es-ES"/>
              </w:rPr>
            </w:pPr>
            <w:r w:rsidRPr="00BD7F00">
              <w:rPr>
                <w:b/>
                <w:bCs/>
                <w:sz w:val="22"/>
                <w:szCs w:val="22"/>
                <w:lang w:eastAsia="es-ES"/>
              </w:rPr>
              <w:t>122.829</w:t>
            </w:r>
          </w:p>
        </w:tc>
        <w:tc>
          <w:tcPr>
            <w:tcW w:w="1500" w:type="dxa"/>
            <w:tcBorders>
              <w:top w:val="nil"/>
              <w:left w:val="nil"/>
              <w:bottom w:val="nil"/>
              <w:right w:val="single" w:sz="8" w:space="0" w:color="auto"/>
            </w:tcBorders>
            <w:noWrap/>
            <w:vAlign w:val="center"/>
            <w:hideMark/>
          </w:tcPr>
          <w:p w14:paraId="36C76A55" w14:textId="77777777" w:rsidR="003C4E29" w:rsidRPr="00BD7F00" w:rsidRDefault="003C4E29" w:rsidP="00AA12E3">
            <w:pPr>
              <w:jc w:val="center"/>
              <w:rPr>
                <w:sz w:val="20"/>
                <w:szCs w:val="20"/>
                <w:lang w:eastAsia="es-ES"/>
              </w:rPr>
            </w:pPr>
            <w:r w:rsidRPr="00BD7F00">
              <w:rPr>
                <w:sz w:val="20"/>
                <w:szCs w:val="20"/>
                <w:lang w:eastAsia="es-ES"/>
              </w:rPr>
              <w:t>-10,42%</w:t>
            </w:r>
          </w:p>
        </w:tc>
      </w:tr>
      <w:tr w:rsidR="00BD7F00" w:rsidRPr="00BD7F00" w14:paraId="39A056AF" w14:textId="77777777" w:rsidTr="00DC0F3F">
        <w:trPr>
          <w:trHeight w:val="315"/>
          <w:jc w:val="center"/>
        </w:trPr>
        <w:tc>
          <w:tcPr>
            <w:tcW w:w="6760" w:type="dxa"/>
            <w:gridSpan w:val="5"/>
            <w:tcBorders>
              <w:top w:val="single" w:sz="8" w:space="0" w:color="auto"/>
              <w:left w:val="single" w:sz="8" w:space="0" w:color="auto"/>
              <w:bottom w:val="single" w:sz="8" w:space="0" w:color="auto"/>
              <w:right w:val="single" w:sz="8" w:space="0" w:color="000000"/>
            </w:tcBorders>
            <w:shd w:val="clear" w:color="auto" w:fill="EAF1DD" w:themeFill="accent3" w:themeFillTint="33"/>
            <w:noWrap/>
            <w:vAlign w:val="center"/>
            <w:hideMark/>
          </w:tcPr>
          <w:p w14:paraId="102D6C4C" w14:textId="77777777" w:rsidR="003C4E29" w:rsidRPr="00BD7F00" w:rsidRDefault="003C4E29" w:rsidP="00AA12E3">
            <w:pPr>
              <w:jc w:val="center"/>
              <w:rPr>
                <w:i/>
                <w:iCs/>
                <w:sz w:val="22"/>
                <w:szCs w:val="22"/>
                <w:lang w:eastAsia="es-ES"/>
              </w:rPr>
            </w:pPr>
            <w:r w:rsidRPr="00BD7F00">
              <w:rPr>
                <w:i/>
                <w:iCs/>
                <w:sz w:val="22"/>
                <w:szCs w:val="22"/>
                <w:lang w:eastAsia="es-ES"/>
              </w:rPr>
              <w:t>Animales de 12 meses a menos de 24 meses</w:t>
            </w:r>
          </w:p>
        </w:tc>
      </w:tr>
      <w:tr w:rsidR="00BD7F00" w:rsidRPr="00BD7F00" w14:paraId="15ED93E2" w14:textId="77777777" w:rsidTr="003C4E29">
        <w:trPr>
          <w:trHeight w:val="300"/>
          <w:jc w:val="center"/>
        </w:trPr>
        <w:tc>
          <w:tcPr>
            <w:tcW w:w="2820" w:type="dxa"/>
            <w:gridSpan w:val="2"/>
            <w:tcBorders>
              <w:top w:val="nil"/>
              <w:left w:val="single" w:sz="8" w:space="0" w:color="auto"/>
              <w:bottom w:val="single" w:sz="4" w:space="0" w:color="auto"/>
              <w:right w:val="single" w:sz="8" w:space="0" w:color="000000"/>
            </w:tcBorders>
            <w:noWrap/>
            <w:vAlign w:val="center"/>
            <w:hideMark/>
          </w:tcPr>
          <w:p w14:paraId="572A3E75" w14:textId="77777777" w:rsidR="003C4E29" w:rsidRPr="00BD7F00" w:rsidRDefault="003C4E29" w:rsidP="00AA12E3">
            <w:pPr>
              <w:jc w:val="left"/>
              <w:rPr>
                <w:sz w:val="22"/>
                <w:szCs w:val="22"/>
                <w:lang w:eastAsia="es-ES"/>
              </w:rPr>
            </w:pPr>
            <w:r w:rsidRPr="00BD7F00">
              <w:rPr>
                <w:sz w:val="22"/>
                <w:szCs w:val="22"/>
                <w:lang w:eastAsia="es-ES"/>
              </w:rPr>
              <w:t>Machos</w:t>
            </w:r>
          </w:p>
        </w:tc>
        <w:tc>
          <w:tcPr>
            <w:tcW w:w="1200" w:type="dxa"/>
            <w:tcBorders>
              <w:top w:val="nil"/>
              <w:left w:val="nil"/>
              <w:bottom w:val="single" w:sz="4" w:space="0" w:color="auto"/>
              <w:right w:val="single" w:sz="4" w:space="0" w:color="auto"/>
            </w:tcBorders>
            <w:noWrap/>
            <w:vAlign w:val="center"/>
            <w:hideMark/>
          </w:tcPr>
          <w:p w14:paraId="0AAAE1E7" w14:textId="77777777" w:rsidR="003C4E29" w:rsidRPr="00BD7F00" w:rsidRDefault="003C4E29" w:rsidP="00AA12E3">
            <w:pPr>
              <w:jc w:val="center"/>
              <w:rPr>
                <w:sz w:val="20"/>
                <w:szCs w:val="20"/>
                <w:lang w:eastAsia="es-ES"/>
              </w:rPr>
            </w:pPr>
            <w:r w:rsidRPr="00BD7F00">
              <w:rPr>
                <w:sz w:val="20"/>
                <w:szCs w:val="20"/>
                <w:lang w:eastAsia="es-ES"/>
              </w:rPr>
              <w:t>71.389</w:t>
            </w:r>
          </w:p>
        </w:tc>
        <w:tc>
          <w:tcPr>
            <w:tcW w:w="1240" w:type="dxa"/>
            <w:tcBorders>
              <w:top w:val="nil"/>
              <w:left w:val="nil"/>
              <w:bottom w:val="single" w:sz="4" w:space="0" w:color="auto"/>
              <w:right w:val="single" w:sz="4" w:space="0" w:color="auto"/>
            </w:tcBorders>
            <w:shd w:val="clear" w:color="FFFFFF" w:fill="auto"/>
            <w:vAlign w:val="center"/>
            <w:hideMark/>
          </w:tcPr>
          <w:p w14:paraId="58A914C3" w14:textId="77777777" w:rsidR="003C4E29" w:rsidRPr="00BD7F00" w:rsidRDefault="003C4E29" w:rsidP="00AA12E3">
            <w:pPr>
              <w:jc w:val="center"/>
              <w:rPr>
                <w:b/>
                <w:bCs/>
                <w:sz w:val="22"/>
                <w:szCs w:val="22"/>
                <w:lang w:eastAsia="es-ES"/>
              </w:rPr>
            </w:pPr>
            <w:r w:rsidRPr="00BD7F00">
              <w:rPr>
                <w:b/>
                <w:bCs/>
                <w:sz w:val="22"/>
                <w:szCs w:val="22"/>
                <w:lang w:eastAsia="es-ES"/>
              </w:rPr>
              <w:t>77.833</w:t>
            </w:r>
          </w:p>
        </w:tc>
        <w:tc>
          <w:tcPr>
            <w:tcW w:w="1500" w:type="dxa"/>
            <w:tcBorders>
              <w:top w:val="nil"/>
              <w:left w:val="nil"/>
              <w:bottom w:val="single" w:sz="4" w:space="0" w:color="auto"/>
              <w:right w:val="single" w:sz="8" w:space="0" w:color="auto"/>
            </w:tcBorders>
            <w:noWrap/>
            <w:vAlign w:val="center"/>
            <w:hideMark/>
          </w:tcPr>
          <w:p w14:paraId="698E5F5E" w14:textId="77777777" w:rsidR="003C4E29" w:rsidRPr="00BD7F00" w:rsidRDefault="003C4E29" w:rsidP="00AA12E3">
            <w:pPr>
              <w:jc w:val="center"/>
              <w:rPr>
                <w:b/>
                <w:bCs/>
                <w:sz w:val="20"/>
                <w:szCs w:val="20"/>
                <w:lang w:eastAsia="es-ES"/>
              </w:rPr>
            </w:pPr>
            <w:r w:rsidRPr="00BD7F00">
              <w:rPr>
                <w:b/>
                <w:bCs/>
                <w:sz w:val="20"/>
                <w:szCs w:val="20"/>
                <w:lang w:eastAsia="es-ES"/>
              </w:rPr>
              <w:t>9,03%</w:t>
            </w:r>
          </w:p>
        </w:tc>
      </w:tr>
      <w:tr w:rsidR="00BD7F00" w:rsidRPr="00BD7F00" w14:paraId="277756C3" w14:textId="77777777" w:rsidTr="003C4E29">
        <w:trPr>
          <w:trHeight w:val="300"/>
          <w:jc w:val="center"/>
        </w:trPr>
        <w:tc>
          <w:tcPr>
            <w:tcW w:w="1579" w:type="dxa"/>
            <w:vMerge w:val="restart"/>
            <w:tcBorders>
              <w:top w:val="nil"/>
              <w:left w:val="single" w:sz="8" w:space="0" w:color="auto"/>
              <w:bottom w:val="single" w:sz="4" w:space="0" w:color="auto"/>
              <w:right w:val="single" w:sz="4" w:space="0" w:color="auto"/>
            </w:tcBorders>
            <w:noWrap/>
            <w:vAlign w:val="center"/>
            <w:hideMark/>
          </w:tcPr>
          <w:p w14:paraId="564F0CCF" w14:textId="77777777" w:rsidR="003C4E29" w:rsidRPr="00BD7F00" w:rsidRDefault="003C4E29" w:rsidP="00AA12E3">
            <w:pPr>
              <w:jc w:val="left"/>
              <w:rPr>
                <w:sz w:val="22"/>
                <w:szCs w:val="22"/>
                <w:lang w:eastAsia="es-ES"/>
              </w:rPr>
            </w:pPr>
            <w:r w:rsidRPr="00BD7F00">
              <w:rPr>
                <w:sz w:val="22"/>
                <w:szCs w:val="22"/>
                <w:lang w:eastAsia="es-ES"/>
              </w:rPr>
              <w:t>Hembras para</w:t>
            </w:r>
          </w:p>
        </w:tc>
        <w:tc>
          <w:tcPr>
            <w:tcW w:w="1241" w:type="dxa"/>
            <w:tcBorders>
              <w:top w:val="nil"/>
              <w:left w:val="nil"/>
              <w:bottom w:val="single" w:sz="4" w:space="0" w:color="auto"/>
              <w:right w:val="single" w:sz="8" w:space="0" w:color="auto"/>
            </w:tcBorders>
            <w:noWrap/>
            <w:vAlign w:val="center"/>
            <w:hideMark/>
          </w:tcPr>
          <w:p w14:paraId="31AB3485" w14:textId="77777777" w:rsidR="003C4E29" w:rsidRPr="00BD7F00" w:rsidRDefault="003C4E29" w:rsidP="00AA12E3">
            <w:pPr>
              <w:jc w:val="left"/>
              <w:rPr>
                <w:sz w:val="22"/>
                <w:szCs w:val="22"/>
                <w:lang w:eastAsia="es-ES"/>
              </w:rPr>
            </w:pPr>
            <w:r w:rsidRPr="00BD7F00">
              <w:rPr>
                <w:sz w:val="22"/>
                <w:szCs w:val="22"/>
                <w:lang w:eastAsia="es-ES"/>
              </w:rPr>
              <w:t>Sacrificio</w:t>
            </w:r>
          </w:p>
        </w:tc>
        <w:tc>
          <w:tcPr>
            <w:tcW w:w="1200" w:type="dxa"/>
            <w:tcBorders>
              <w:top w:val="nil"/>
              <w:left w:val="nil"/>
              <w:bottom w:val="single" w:sz="4" w:space="0" w:color="auto"/>
              <w:right w:val="single" w:sz="4" w:space="0" w:color="auto"/>
            </w:tcBorders>
            <w:noWrap/>
            <w:vAlign w:val="center"/>
            <w:hideMark/>
          </w:tcPr>
          <w:p w14:paraId="100AAB8F" w14:textId="77777777" w:rsidR="003C4E29" w:rsidRPr="00BD7F00" w:rsidRDefault="003C4E29" w:rsidP="00AA12E3">
            <w:pPr>
              <w:jc w:val="center"/>
              <w:rPr>
                <w:sz w:val="20"/>
                <w:szCs w:val="20"/>
                <w:lang w:eastAsia="es-ES"/>
              </w:rPr>
            </w:pPr>
            <w:r w:rsidRPr="00BD7F00">
              <w:rPr>
                <w:sz w:val="20"/>
                <w:szCs w:val="20"/>
                <w:lang w:eastAsia="es-ES"/>
              </w:rPr>
              <w:t>49.998</w:t>
            </w:r>
          </w:p>
        </w:tc>
        <w:tc>
          <w:tcPr>
            <w:tcW w:w="1240" w:type="dxa"/>
            <w:tcBorders>
              <w:top w:val="nil"/>
              <w:left w:val="nil"/>
              <w:bottom w:val="single" w:sz="4" w:space="0" w:color="auto"/>
              <w:right w:val="single" w:sz="4" w:space="0" w:color="auto"/>
            </w:tcBorders>
            <w:shd w:val="clear" w:color="FFFFFF" w:fill="auto"/>
            <w:vAlign w:val="center"/>
            <w:hideMark/>
          </w:tcPr>
          <w:p w14:paraId="04644D3E" w14:textId="77777777" w:rsidR="003C4E29" w:rsidRPr="00BD7F00" w:rsidRDefault="003C4E29" w:rsidP="00AA12E3">
            <w:pPr>
              <w:jc w:val="center"/>
              <w:rPr>
                <w:b/>
                <w:bCs/>
                <w:sz w:val="22"/>
                <w:szCs w:val="22"/>
                <w:lang w:eastAsia="es-ES"/>
              </w:rPr>
            </w:pPr>
            <w:r w:rsidRPr="00BD7F00">
              <w:rPr>
                <w:b/>
                <w:bCs/>
                <w:sz w:val="22"/>
                <w:szCs w:val="22"/>
                <w:lang w:eastAsia="es-ES"/>
              </w:rPr>
              <w:t>49.185</w:t>
            </w:r>
          </w:p>
        </w:tc>
        <w:tc>
          <w:tcPr>
            <w:tcW w:w="1500" w:type="dxa"/>
            <w:tcBorders>
              <w:top w:val="nil"/>
              <w:left w:val="nil"/>
              <w:bottom w:val="single" w:sz="4" w:space="0" w:color="auto"/>
              <w:right w:val="single" w:sz="8" w:space="0" w:color="auto"/>
            </w:tcBorders>
            <w:noWrap/>
            <w:vAlign w:val="center"/>
            <w:hideMark/>
          </w:tcPr>
          <w:p w14:paraId="16F3F128" w14:textId="77777777" w:rsidR="003C4E29" w:rsidRPr="00BD7F00" w:rsidRDefault="003C4E29" w:rsidP="00AA12E3">
            <w:pPr>
              <w:jc w:val="center"/>
              <w:rPr>
                <w:b/>
                <w:bCs/>
                <w:sz w:val="20"/>
                <w:szCs w:val="20"/>
                <w:lang w:eastAsia="es-ES"/>
              </w:rPr>
            </w:pPr>
            <w:r w:rsidRPr="00BD7F00">
              <w:rPr>
                <w:b/>
                <w:bCs/>
                <w:sz w:val="20"/>
                <w:szCs w:val="20"/>
                <w:lang w:eastAsia="es-ES"/>
              </w:rPr>
              <w:t>-1,63%</w:t>
            </w:r>
          </w:p>
        </w:tc>
      </w:tr>
      <w:tr w:rsidR="00BD7F00" w:rsidRPr="00BD7F00" w14:paraId="14AC2A4C" w14:textId="77777777" w:rsidTr="003C4E29">
        <w:trPr>
          <w:trHeight w:val="315"/>
          <w:jc w:val="center"/>
        </w:trPr>
        <w:tc>
          <w:tcPr>
            <w:tcW w:w="1579" w:type="dxa"/>
            <w:vMerge/>
            <w:tcBorders>
              <w:top w:val="nil"/>
              <w:left w:val="single" w:sz="8" w:space="0" w:color="auto"/>
              <w:bottom w:val="single" w:sz="4" w:space="0" w:color="auto"/>
              <w:right w:val="single" w:sz="4" w:space="0" w:color="auto"/>
            </w:tcBorders>
            <w:vAlign w:val="center"/>
            <w:hideMark/>
          </w:tcPr>
          <w:p w14:paraId="28483867" w14:textId="77777777" w:rsidR="003C4E29" w:rsidRPr="00BD7F00" w:rsidRDefault="003C4E29" w:rsidP="00AA12E3">
            <w:pPr>
              <w:jc w:val="left"/>
              <w:rPr>
                <w:sz w:val="22"/>
                <w:szCs w:val="22"/>
                <w:lang w:eastAsia="es-ES"/>
              </w:rPr>
            </w:pPr>
          </w:p>
        </w:tc>
        <w:tc>
          <w:tcPr>
            <w:tcW w:w="1241" w:type="dxa"/>
            <w:tcBorders>
              <w:top w:val="nil"/>
              <w:left w:val="nil"/>
              <w:bottom w:val="nil"/>
              <w:right w:val="single" w:sz="8" w:space="0" w:color="auto"/>
            </w:tcBorders>
            <w:noWrap/>
            <w:vAlign w:val="center"/>
            <w:hideMark/>
          </w:tcPr>
          <w:p w14:paraId="75A89EC8" w14:textId="77777777" w:rsidR="003C4E29" w:rsidRPr="00BD7F00" w:rsidRDefault="003C4E29" w:rsidP="00AA12E3">
            <w:pPr>
              <w:jc w:val="left"/>
              <w:rPr>
                <w:sz w:val="22"/>
                <w:szCs w:val="22"/>
                <w:lang w:eastAsia="es-ES"/>
              </w:rPr>
            </w:pPr>
            <w:r w:rsidRPr="00BD7F00">
              <w:rPr>
                <w:sz w:val="22"/>
                <w:szCs w:val="22"/>
                <w:lang w:eastAsia="es-ES"/>
              </w:rPr>
              <w:t>Reposición</w:t>
            </w:r>
          </w:p>
        </w:tc>
        <w:tc>
          <w:tcPr>
            <w:tcW w:w="1200" w:type="dxa"/>
            <w:tcBorders>
              <w:top w:val="nil"/>
              <w:left w:val="nil"/>
              <w:bottom w:val="nil"/>
              <w:right w:val="single" w:sz="4" w:space="0" w:color="auto"/>
            </w:tcBorders>
            <w:noWrap/>
            <w:vAlign w:val="center"/>
            <w:hideMark/>
          </w:tcPr>
          <w:p w14:paraId="60E056EA" w14:textId="77777777" w:rsidR="003C4E29" w:rsidRPr="00BD7F00" w:rsidRDefault="003C4E29" w:rsidP="00AA12E3">
            <w:pPr>
              <w:jc w:val="center"/>
              <w:rPr>
                <w:sz w:val="20"/>
                <w:szCs w:val="20"/>
                <w:lang w:eastAsia="es-ES"/>
              </w:rPr>
            </w:pPr>
            <w:r w:rsidRPr="00BD7F00">
              <w:rPr>
                <w:sz w:val="20"/>
                <w:szCs w:val="20"/>
                <w:lang w:eastAsia="es-ES"/>
              </w:rPr>
              <w:t>80.965</w:t>
            </w:r>
          </w:p>
        </w:tc>
        <w:tc>
          <w:tcPr>
            <w:tcW w:w="1240" w:type="dxa"/>
            <w:tcBorders>
              <w:top w:val="nil"/>
              <w:left w:val="nil"/>
              <w:bottom w:val="nil"/>
              <w:right w:val="single" w:sz="4" w:space="0" w:color="auto"/>
            </w:tcBorders>
            <w:shd w:val="clear" w:color="FFFFFF" w:fill="auto"/>
            <w:vAlign w:val="center"/>
            <w:hideMark/>
          </w:tcPr>
          <w:p w14:paraId="19733D61" w14:textId="77777777" w:rsidR="003C4E29" w:rsidRPr="00BD7F00" w:rsidRDefault="003C4E29" w:rsidP="00AA12E3">
            <w:pPr>
              <w:jc w:val="center"/>
              <w:rPr>
                <w:b/>
                <w:bCs/>
                <w:sz w:val="22"/>
                <w:szCs w:val="22"/>
                <w:lang w:eastAsia="es-ES"/>
              </w:rPr>
            </w:pPr>
            <w:r w:rsidRPr="00BD7F00">
              <w:rPr>
                <w:b/>
                <w:bCs/>
                <w:sz w:val="22"/>
                <w:szCs w:val="22"/>
                <w:lang w:eastAsia="es-ES"/>
              </w:rPr>
              <w:t>82.987</w:t>
            </w:r>
          </w:p>
        </w:tc>
        <w:tc>
          <w:tcPr>
            <w:tcW w:w="1500" w:type="dxa"/>
            <w:tcBorders>
              <w:top w:val="nil"/>
              <w:left w:val="nil"/>
              <w:bottom w:val="nil"/>
              <w:right w:val="single" w:sz="8" w:space="0" w:color="auto"/>
            </w:tcBorders>
            <w:noWrap/>
            <w:vAlign w:val="center"/>
            <w:hideMark/>
          </w:tcPr>
          <w:p w14:paraId="75067B11" w14:textId="77777777" w:rsidR="003C4E29" w:rsidRPr="00BD7F00" w:rsidRDefault="003C4E29" w:rsidP="00AA12E3">
            <w:pPr>
              <w:jc w:val="center"/>
              <w:rPr>
                <w:b/>
                <w:bCs/>
                <w:sz w:val="20"/>
                <w:szCs w:val="20"/>
                <w:lang w:eastAsia="es-ES"/>
              </w:rPr>
            </w:pPr>
            <w:r w:rsidRPr="00BD7F00">
              <w:rPr>
                <w:b/>
                <w:bCs/>
                <w:sz w:val="20"/>
                <w:szCs w:val="20"/>
                <w:lang w:eastAsia="es-ES"/>
              </w:rPr>
              <w:t>2,50%</w:t>
            </w:r>
          </w:p>
        </w:tc>
      </w:tr>
      <w:tr w:rsidR="00BD7F00" w:rsidRPr="00BD7F00" w14:paraId="349159D6" w14:textId="77777777" w:rsidTr="00DC0F3F">
        <w:trPr>
          <w:trHeight w:val="315"/>
          <w:jc w:val="center"/>
        </w:trPr>
        <w:tc>
          <w:tcPr>
            <w:tcW w:w="6760" w:type="dxa"/>
            <w:gridSpan w:val="5"/>
            <w:tcBorders>
              <w:top w:val="single" w:sz="8" w:space="0" w:color="auto"/>
              <w:left w:val="single" w:sz="8" w:space="0" w:color="auto"/>
              <w:bottom w:val="single" w:sz="8" w:space="0" w:color="auto"/>
              <w:right w:val="single" w:sz="8" w:space="0" w:color="000000"/>
            </w:tcBorders>
            <w:shd w:val="clear" w:color="auto" w:fill="EAF1DD" w:themeFill="accent3" w:themeFillTint="33"/>
            <w:noWrap/>
            <w:vAlign w:val="center"/>
            <w:hideMark/>
          </w:tcPr>
          <w:p w14:paraId="2BDF6779" w14:textId="77777777" w:rsidR="003C4E29" w:rsidRPr="00BD7F00" w:rsidRDefault="003C4E29" w:rsidP="00AA12E3">
            <w:pPr>
              <w:jc w:val="center"/>
              <w:rPr>
                <w:i/>
                <w:iCs/>
                <w:sz w:val="22"/>
                <w:szCs w:val="22"/>
                <w:lang w:eastAsia="es-ES"/>
              </w:rPr>
            </w:pPr>
            <w:r w:rsidRPr="00BD7F00">
              <w:rPr>
                <w:i/>
                <w:iCs/>
                <w:sz w:val="22"/>
                <w:szCs w:val="22"/>
                <w:lang w:eastAsia="es-ES"/>
              </w:rPr>
              <w:t>Animales de dos o más años</w:t>
            </w:r>
          </w:p>
        </w:tc>
      </w:tr>
      <w:tr w:rsidR="00BD7F00" w:rsidRPr="00BD7F00" w14:paraId="0D02B90E" w14:textId="77777777" w:rsidTr="003C4E29">
        <w:trPr>
          <w:trHeight w:val="300"/>
          <w:jc w:val="center"/>
        </w:trPr>
        <w:tc>
          <w:tcPr>
            <w:tcW w:w="2820" w:type="dxa"/>
            <w:gridSpan w:val="2"/>
            <w:tcBorders>
              <w:top w:val="nil"/>
              <w:left w:val="single" w:sz="8" w:space="0" w:color="auto"/>
              <w:bottom w:val="single" w:sz="4" w:space="0" w:color="auto"/>
              <w:right w:val="single" w:sz="8" w:space="0" w:color="000000"/>
            </w:tcBorders>
            <w:noWrap/>
            <w:vAlign w:val="center"/>
            <w:hideMark/>
          </w:tcPr>
          <w:p w14:paraId="47302828" w14:textId="77777777" w:rsidR="003C4E29" w:rsidRPr="00BD7F00" w:rsidRDefault="003C4E29" w:rsidP="00AA12E3">
            <w:pPr>
              <w:jc w:val="left"/>
              <w:rPr>
                <w:sz w:val="22"/>
                <w:szCs w:val="22"/>
                <w:lang w:eastAsia="es-ES"/>
              </w:rPr>
            </w:pPr>
            <w:r w:rsidRPr="00BD7F00">
              <w:rPr>
                <w:sz w:val="22"/>
                <w:szCs w:val="22"/>
                <w:lang w:eastAsia="es-ES"/>
              </w:rPr>
              <w:t>Machos</w:t>
            </w:r>
          </w:p>
        </w:tc>
        <w:tc>
          <w:tcPr>
            <w:tcW w:w="1200" w:type="dxa"/>
            <w:tcBorders>
              <w:top w:val="nil"/>
              <w:left w:val="nil"/>
              <w:bottom w:val="single" w:sz="4" w:space="0" w:color="auto"/>
              <w:right w:val="single" w:sz="4" w:space="0" w:color="auto"/>
            </w:tcBorders>
            <w:noWrap/>
            <w:vAlign w:val="center"/>
            <w:hideMark/>
          </w:tcPr>
          <w:p w14:paraId="1D814FF7" w14:textId="77777777" w:rsidR="003C4E29" w:rsidRPr="00BD7F00" w:rsidRDefault="003C4E29" w:rsidP="00AA12E3">
            <w:pPr>
              <w:jc w:val="center"/>
              <w:rPr>
                <w:sz w:val="20"/>
                <w:szCs w:val="20"/>
                <w:lang w:eastAsia="es-ES"/>
              </w:rPr>
            </w:pPr>
            <w:r w:rsidRPr="00BD7F00">
              <w:rPr>
                <w:sz w:val="20"/>
                <w:szCs w:val="20"/>
                <w:lang w:eastAsia="es-ES"/>
              </w:rPr>
              <w:t>35.781</w:t>
            </w:r>
          </w:p>
        </w:tc>
        <w:tc>
          <w:tcPr>
            <w:tcW w:w="1240" w:type="dxa"/>
            <w:tcBorders>
              <w:top w:val="nil"/>
              <w:left w:val="nil"/>
              <w:bottom w:val="single" w:sz="4" w:space="0" w:color="auto"/>
              <w:right w:val="single" w:sz="4" w:space="0" w:color="auto"/>
            </w:tcBorders>
            <w:shd w:val="clear" w:color="FFFFFF" w:fill="auto"/>
            <w:vAlign w:val="center"/>
            <w:hideMark/>
          </w:tcPr>
          <w:p w14:paraId="04E56A83" w14:textId="77777777" w:rsidR="003C4E29" w:rsidRPr="00BD7F00" w:rsidRDefault="003C4E29" w:rsidP="00AA12E3">
            <w:pPr>
              <w:jc w:val="center"/>
              <w:rPr>
                <w:b/>
                <w:bCs/>
                <w:sz w:val="22"/>
                <w:szCs w:val="22"/>
                <w:lang w:eastAsia="es-ES"/>
              </w:rPr>
            </w:pPr>
            <w:r w:rsidRPr="00BD7F00">
              <w:rPr>
                <w:b/>
                <w:bCs/>
                <w:sz w:val="22"/>
                <w:szCs w:val="22"/>
                <w:lang w:eastAsia="es-ES"/>
              </w:rPr>
              <w:t>34.843</w:t>
            </w:r>
          </w:p>
        </w:tc>
        <w:tc>
          <w:tcPr>
            <w:tcW w:w="1500" w:type="dxa"/>
            <w:tcBorders>
              <w:top w:val="nil"/>
              <w:left w:val="nil"/>
              <w:bottom w:val="single" w:sz="4" w:space="0" w:color="auto"/>
              <w:right w:val="single" w:sz="8" w:space="0" w:color="auto"/>
            </w:tcBorders>
            <w:noWrap/>
            <w:vAlign w:val="center"/>
            <w:hideMark/>
          </w:tcPr>
          <w:p w14:paraId="7033C468" w14:textId="77777777" w:rsidR="003C4E29" w:rsidRPr="00BD7F00" w:rsidRDefault="003C4E29" w:rsidP="00AA12E3">
            <w:pPr>
              <w:jc w:val="center"/>
              <w:rPr>
                <w:sz w:val="20"/>
                <w:szCs w:val="20"/>
                <w:lang w:eastAsia="es-ES"/>
              </w:rPr>
            </w:pPr>
            <w:r w:rsidRPr="00BD7F00">
              <w:rPr>
                <w:sz w:val="20"/>
                <w:szCs w:val="20"/>
                <w:lang w:eastAsia="es-ES"/>
              </w:rPr>
              <w:t>-2,62%</w:t>
            </w:r>
          </w:p>
        </w:tc>
      </w:tr>
      <w:tr w:rsidR="00BD7F00" w:rsidRPr="00BD7F00" w14:paraId="153621DB" w14:textId="77777777" w:rsidTr="003C4E29">
        <w:trPr>
          <w:trHeight w:val="300"/>
          <w:jc w:val="center"/>
        </w:trPr>
        <w:tc>
          <w:tcPr>
            <w:tcW w:w="1579" w:type="dxa"/>
            <w:vMerge w:val="restart"/>
            <w:tcBorders>
              <w:top w:val="nil"/>
              <w:left w:val="single" w:sz="8" w:space="0" w:color="auto"/>
              <w:bottom w:val="single" w:sz="4" w:space="0" w:color="auto"/>
              <w:right w:val="single" w:sz="4" w:space="0" w:color="auto"/>
            </w:tcBorders>
            <w:noWrap/>
            <w:vAlign w:val="center"/>
            <w:hideMark/>
          </w:tcPr>
          <w:p w14:paraId="3C81F786" w14:textId="77777777" w:rsidR="003C4E29" w:rsidRPr="00BD7F00" w:rsidRDefault="003C4E29" w:rsidP="00AA12E3">
            <w:pPr>
              <w:jc w:val="left"/>
              <w:rPr>
                <w:sz w:val="22"/>
                <w:szCs w:val="22"/>
                <w:lang w:eastAsia="es-ES"/>
              </w:rPr>
            </w:pPr>
            <w:r w:rsidRPr="00BD7F00">
              <w:rPr>
                <w:sz w:val="22"/>
                <w:szCs w:val="22"/>
                <w:lang w:eastAsia="es-ES"/>
              </w:rPr>
              <w:t>Novillas</w:t>
            </w:r>
          </w:p>
        </w:tc>
        <w:tc>
          <w:tcPr>
            <w:tcW w:w="1241" w:type="dxa"/>
            <w:tcBorders>
              <w:top w:val="nil"/>
              <w:left w:val="nil"/>
              <w:bottom w:val="single" w:sz="4" w:space="0" w:color="auto"/>
              <w:right w:val="single" w:sz="8" w:space="0" w:color="auto"/>
            </w:tcBorders>
            <w:noWrap/>
            <w:vAlign w:val="center"/>
            <w:hideMark/>
          </w:tcPr>
          <w:p w14:paraId="61019450" w14:textId="77777777" w:rsidR="003C4E29" w:rsidRPr="00BD7F00" w:rsidRDefault="003C4E29" w:rsidP="00AA12E3">
            <w:pPr>
              <w:jc w:val="left"/>
              <w:rPr>
                <w:sz w:val="22"/>
                <w:szCs w:val="22"/>
                <w:lang w:eastAsia="es-ES"/>
              </w:rPr>
            </w:pPr>
            <w:r w:rsidRPr="00BD7F00">
              <w:rPr>
                <w:sz w:val="22"/>
                <w:szCs w:val="22"/>
                <w:lang w:eastAsia="es-ES"/>
              </w:rPr>
              <w:t>Sacrificio</w:t>
            </w:r>
          </w:p>
        </w:tc>
        <w:tc>
          <w:tcPr>
            <w:tcW w:w="1200" w:type="dxa"/>
            <w:tcBorders>
              <w:top w:val="nil"/>
              <w:left w:val="nil"/>
              <w:bottom w:val="single" w:sz="4" w:space="0" w:color="auto"/>
              <w:right w:val="single" w:sz="4" w:space="0" w:color="auto"/>
            </w:tcBorders>
            <w:noWrap/>
            <w:vAlign w:val="center"/>
            <w:hideMark/>
          </w:tcPr>
          <w:p w14:paraId="14A3A997" w14:textId="77777777" w:rsidR="003C4E29" w:rsidRPr="00BD7F00" w:rsidRDefault="003C4E29" w:rsidP="00AA12E3">
            <w:pPr>
              <w:jc w:val="center"/>
              <w:rPr>
                <w:sz w:val="20"/>
                <w:szCs w:val="20"/>
                <w:lang w:eastAsia="es-ES"/>
              </w:rPr>
            </w:pPr>
            <w:r w:rsidRPr="00BD7F00">
              <w:rPr>
                <w:sz w:val="20"/>
                <w:szCs w:val="20"/>
                <w:lang w:eastAsia="es-ES"/>
              </w:rPr>
              <w:t>2.459</w:t>
            </w:r>
          </w:p>
        </w:tc>
        <w:tc>
          <w:tcPr>
            <w:tcW w:w="1240" w:type="dxa"/>
            <w:tcBorders>
              <w:top w:val="nil"/>
              <w:left w:val="nil"/>
              <w:bottom w:val="single" w:sz="4" w:space="0" w:color="auto"/>
              <w:right w:val="single" w:sz="4" w:space="0" w:color="auto"/>
            </w:tcBorders>
            <w:shd w:val="clear" w:color="FFFFFF" w:fill="auto"/>
            <w:vAlign w:val="center"/>
            <w:hideMark/>
          </w:tcPr>
          <w:p w14:paraId="65ADC83D" w14:textId="77777777" w:rsidR="003C4E29" w:rsidRPr="00BD7F00" w:rsidRDefault="003C4E29" w:rsidP="00AA12E3">
            <w:pPr>
              <w:jc w:val="center"/>
              <w:rPr>
                <w:b/>
                <w:bCs/>
                <w:sz w:val="22"/>
                <w:szCs w:val="22"/>
                <w:lang w:eastAsia="es-ES"/>
              </w:rPr>
            </w:pPr>
            <w:r w:rsidRPr="00BD7F00">
              <w:rPr>
                <w:b/>
                <w:bCs/>
                <w:sz w:val="22"/>
                <w:szCs w:val="22"/>
                <w:lang w:eastAsia="es-ES"/>
              </w:rPr>
              <w:t>2.321</w:t>
            </w:r>
          </w:p>
        </w:tc>
        <w:tc>
          <w:tcPr>
            <w:tcW w:w="1500" w:type="dxa"/>
            <w:tcBorders>
              <w:top w:val="nil"/>
              <w:left w:val="nil"/>
              <w:bottom w:val="single" w:sz="4" w:space="0" w:color="auto"/>
              <w:right w:val="single" w:sz="8" w:space="0" w:color="auto"/>
            </w:tcBorders>
            <w:noWrap/>
            <w:vAlign w:val="center"/>
            <w:hideMark/>
          </w:tcPr>
          <w:p w14:paraId="56E7C9D0" w14:textId="77777777" w:rsidR="003C4E29" w:rsidRPr="00BD7F00" w:rsidRDefault="003C4E29" w:rsidP="00AA12E3">
            <w:pPr>
              <w:jc w:val="center"/>
              <w:rPr>
                <w:sz w:val="20"/>
                <w:szCs w:val="20"/>
                <w:lang w:eastAsia="es-ES"/>
              </w:rPr>
            </w:pPr>
            <w:r w:rsidRPr="00BD7F00">
              <w:rPr>
                <w:sz w:val="20"/>
                <w:szCs w:val="20"/>
                <w:lang w:eastAsia="es-ES"/>
              </w:rPr>
              <w:t>-5,61%</w:t>
            </w:r>
          </w:p>
        </w:tc>
      </w:tr>
      <w:tr w:rsidR="00BD7F00" w:rsidRPr="00BD7F00" w14:paraId="0CB6168B" w14:textId="77777777" w:rsidTr="003C4E29">
        <w:trPr>
          <w:trHeight w:val="300"/>
          <w:jc w:val="center"/>
        </w:trPr>
        <w:tc>
          <w:tcPr>
            <w:tcW w:w="1579" w:type="dxa"/>
            <w:vMerge/>
            <w:tcBorders>
              <w:top w:val="nil"/>
              <w:left w:val="single" w:sz="8" w:space="0" w:color="auto"/>
              <w:bottom w:val="single" w:sz="4" w:space="0" w:color="auto"/>
              <w:right w:val="single" w:sz="4" w:space="0" w:color="auto"/>
            </w:tcBorders>
            <w:vAlign w:val="center"/>
            <w:hideMark/>
          </w:tcPr>
          <w:p w14:paraId="58BD9A9C" w14:textId="77777777" w:rsidR="003C4E29" w:rsidRPr="00BD7F00" w:rsidRDefault="003C4E29" w:rsidP="00AA12E3">
            <w:pPr>
              <w:jc w:val="left"/>
              <w:rPr>
                <w:sz w:val="22"/>
                <w:szCs w:val="22"/>
                <w:lang w:eastAsia="es-ES"/>
              </w:rPr>
            </w:pPr>
          </w:p>
        </w:tc>
        <w:tc>
          <w:tcPr>
            <w:tcW w:w="1241" w:type="dxa"/>
            <w:tcBorders>
              <w:top w:val="nil"/>
              <w:left w:val="nil"/>
              <w:bottom w:val="single" w:sz="4" w:space="0" w:color="auto"/>
              <w:right w:val="single" w:sz="8" w:space="0" w:color="auto"/>
            </w:tcBorders>
            <w:noWrap/>
            <w:vAlign w:val="center"/>
            <w:hideMark/>
          </w:tcPr>
          <w:p w14:paraId="7CE13A85" w14:textId="77777777" w:rsidR="003C4E29" w:rsidRPr="00BD7F00" w:rsidRDefault="003C4E29" w:rsidP="00AA12E3">
            <w:pPr>
              <w:jc w:val="left"/>
              <w:rPr>
                <w:sz w:val="22"/>
                <w:szCs w:val="22"/>
                <w:lang w:eastAsia="es-ES"/>
              </w:rPr>
            </w:pPr>
            <w:r w:rsidRPr="00BD7F00">
              <w:rPr>
                <w:sz w:val="22"/>
                <w:szCs w:val="22"/>
                <w:lang w:eastAsia="es-ES"/>
              </w:rPr>
              <w:t>Resto</w:t>
            </w:r>
          </w:p>
        </w:tc>
        <w:tc>
          <w:tcPr>
            <w:tcW w:w="1200" w:type="dxa"/>
            <w:tcBorders>
              <w:top w:val="nil"/>
              <w:left w:val="nil"/>
              <w:bottom w:val="single" w:sz="4" w:space="0" w:color="auto"/>
              <w:right w:val="single" w:sz="4" w:space="0" w:color="auto"/>
            </w:tcBorders>
            <w:noWrap/>
            <w:vAlign w:val="center"/>
            <w:hideMark/>
          </w:tcPr>
          <w:p w14:paraId="678EF713" w14:textId="77777777" w:rsidR="003C4E29" w:rsidRPr="00BD7F00" w:rsidRDefault="003C4E29" w:rsidP="00AA12E3">
            <w:pPr>
              <w:jc w:val="center"/>
              <w:rPr>
                <w:sz w:val="20"/>
                <w:szCs w:val="20"/>
                <w:lang w:eastAsia="es-ES"/>
              </w:rPr>
            </w:pPr>
            <w:r w:rsidRPr="00BD7F00">
              <w:rPr>
                <w:sz w:val="20"/>
                <w:szCs w:val="20"/>
                <w:lang w:eastAsia="es-ES"/>
              </w:rPr>
              <w:t>32.522</w:t>
            </w:r>
          </w:p>
        </w:tc>
        <w:tc>
          <w:tcPr>
            <w:tcW w:w="1240" w:type="dxa"/>
            <w:tcBorders>
              <w:top w:val="nil"/>
              <w:left w:val="nil"/>
              <w:bottom w:val="single" w:sz="4" w:space="0" w:color="auto"/>
              <w:right w:val="single" w:sz="4" w:space="0" w:color="auto"/>
            </w:tcBorders>
            <w:shd w:val="clear" w:color="FFFFFF" w:fill="auto"/>
            <w:vAlign w:val="center"/>
            <w:hideMark/>
          </w:tcPr>
          <w:p w14:paraId="72A9905B" w14:textId="77777777" w:rsidR="003C4E29" w:rsidRPr="00BD7F00" w:rsidRDefault="003C4E29" w:rsidP="00AA12E3">
            <w:pPr>
              <w:jc w:val="center"/>
              <w:rPr>
                <w:b/>
                <w:bCs/>
                <w:sz w:val="22"/>
                <w:szCs w:val="22"/>
                <w:lang w:eastAsia="es-ES"/>
              </w:rPr>
            </w:pPr>
            <w:r w:rsidRPr="00BD7F00">
              <w:rPr>
                <w:b/>
                <w:bCs/>
                <w:sz w:val="22"/>
                <w:szCs w:val="22"/>
                <w:lang w:eastAsia="es-ES"/>
              </w:rPr>
              <w:t>29.495</w:t>
            </w:r>
          </w:p>
        </w:tc>
        <w:tc>
          <w:tcPr>
            <w:tcW w:w="1500" w:type="dxa"/>
            <w:tcBorders>
              <w:top w:val="nil"/>
              <w:left w:val="nil"/>
              <w:bottom w:val="single" w:sz="4" w:space="0" w:color="auto"/>
              <w:right w:val="single" w:sz="8" w:space="0" w:color="auto"/>
            </w:tcBorders>
            <w:noWrap/>
            <w:vAlign w:val="center"/>
            <w:hideMark/>
          </w:tcPr>
          <w:p w14:paraId="6E13E7F2" w14:textId="77777777" w:rsidR="003C4E29" w:rsidRPr="00BD7F00" w:rsidRDefault="003C4E29" w:rsidP="00AA12E3">
            <w:pPr>
              <w:jc w:val="center"/>
              <w:rPr>
                <w:sz w:val="20"/>
                <w:szCs w:val="20"/>
                <w:lang w:eastAsia="es-ES"/>
              </w:rPr>
            </w:pPr>
            <w:r w:rsidRPr="00BD7F00">
              <w:rPr>
                <w:sz w:val="20"/>
                <w:szCs w:val="20"/>
                <w:lang w:eastAsia="es-ES"/>
              </w:rPr>
              <w:t>-9,31%</w:t>
            </w:r>
          </w:p>
        </w:tc>
      </w:tr>
      <w:tr w:rsidR="00BD7F00" w:rsidRPr="00BD7F00" w14:paraId="684C126B" w14:textId="77777777" w:rsidTr="003C4E29">
        <w:trPr>
          <w:trHeight w:val="300"/>
          <w:jc w:val="center"/>
        </w:trPr>
        <w:tc>
          <w:tcPr>
            <w:tcW w:w="1579" w:type="dxa"/>
            <w:vMerge w:val="restart"/>
            <w:tcBorders>
              <w:top w:val="nil"/>
              <w:left w:val="single" w:sz="8" w:space="0" w:color="auto"/>
              <w:bottom w:val="single" w:sz="8" w:space="0" w:color="000000"/>
              <w:right w:val="single" w:sz="4" w:space="0" w:color="auto"/>
            </w:tcBorders>
            <w:noWrap/>
            <w:vAlign w:val="center"/>
            <w:hideMark/>
          </w:tcPr>
          <w:p w14:paraId="408B8E10" w14:textId="77777777" w:rsidR="003C4E29" w:rsidRPr="00BD7F00" w:rsidRDefault="003C4E29" w:rsidP="00AA12E3">
            <w:pPr>
              <w:jc w:val="left"/>
              <w:rPr>
                <w:sz w:val="22"/>
                <w:szCs w:val="22"/>
                <w:lang w:eastAsia="es-ES"/>
              </w:rPr>
            </w:pPr>
            <w:r w:rsidRPr="00BD7F00">
              <w:rPr>
                <w:sz w:val="22"/>
                <w:szCs w:val="22"/>
                <w:lang w:eastAsia="es-ES"/>
              </w:rPr>
              <w:t>Vacas</w:t>
            </w:r>
          </w:p>
        </w:tc>
        <w:tc>
          <w:tcPr>
            <w:tcW w:w="1241" w:type="dxa"/>
            <w:tcBorders>
              <w:top w:val="nil"/>
              <w:left w:val="nil"/>
              <w:bottom w:val="single" w:sz="4" w:space="0" w:color="auto"/>
              <w:right w:val="single" w:sz="8" w:space="0" w:color="auto"/>
            </w:tcBorders>
            <w:noWrap/>
            <w:vAlign w:val="center"/>
            <w:hideMark/>
          </w:tcPr>
          <w:p w14:paraId="44D5E529" w14:textId="77777777" w:rsidR="003C4E29" w:rsidRPr="00BD7F00" w:rsidRDefault="003C4E29" w:rsidP="00AA12E3">
            <w:pPr>
              <w:jc w:val="left"/>
              <w:rPr>
                <w:sz w:val="22"/>
                <w:szCs w:val="22"/>
                <w:lang w:eastAsia="es-ES"/>
              </w:rPr>
            </w:pPr>
            <w:r w:rsidRPr="00BD7F00">
              <w:rPr>
                <w:sz w:val="22"/>
                <w:szCs w:val="22"/>
                <w:lang w:eastAsia="es-ES"/>
              </w:rPr>
              <w:t>Lecheras</w:t>
            </w:r>
          </w:p>
        </w:tc>
        <w:tc>
          <w:tcPr>
            <w:tcW w:w="1200" w:type="dxa"/>
            <w:tcBorders>
              <w:top w:val="nil"/>
              <w:left w:val="nil"/>
              <w:bottom w:val="single" w:sz="4" w:space="0" w:color="auto"/>
              <w:right w:val="single" w:sz="4" w:space="0" w:color="auto"/>
            </w:tcBorders>
            <w:noWrap/>
            <w:vAlign w:val="center"/>
            <w:hideMark/>
          </w:tcPr>
          <w:p w14:paraId="5CC53E91" w14:textId="77777777" w:rsidR="003C4E29" w:rsidRPr="00BD7F00" w:rsidRDefault="003C4E29" w:rsidP="00AA12E3">
            <w:pPr>
              <w:jc w:val="center"/>
              <w:rPr>
                <w:sz w:val="20"/>
                <w:szCs w:val="20"/>
                <w:lang w:eastAsia="es-ES"/>
              </w:rPr>
            </w:pPr>
            <w:r w:rsidRPr="00BD7F00">
              <w:rPr>
                <w:sz w:val="20"/>
                <w:szCs w:val="20"/>
                <w:lang w:eastAsia="es-ES"/>
              </w:rPr>
              <w:t>88.987</w:t>
            </w:r>
          </w:p>
        </w:tc>
        <w:tc>
          <w:tcPr>
            <w:tcW w:w="1240" w:type="dxa"/>
            <w:tcBorders>
              <w:top w:val="nil"/>
              <w:left w:val="nil"/>
              <w:bottom w:val="single" w:sz="4" w:space="0" w:color="auto"/>
              <w:right w:val="single" w:sz="4" w:space="0" w:color="auto"/>
            </w:tcBorders>
            <w:shd w:val="clear" w:color="FFFFFF" w:fill="auto"/>
            <w:vAlign w:val="center"/>
            <w:hideMark/>
          </w:tcPr>
          <w:p w14:paraId="15FE375D" w14:textId="77777777" w:rsidR="003C4E29" w:rsidRPr="00BD7F00" w:rsidRDefault="003C4E29" w:rsidP="00AA12E3">
            <w:pPr>
              <w:jc w:val="center"/>
              <w:rPr>
                <w:b/>
                <w:bCs/>
                <w:sz w:val="22"/>
                <w:szCs w:val="22"/>
                <w:lang w:eastAsia="es-ES"/>
              </w:rPr>
            </w:pPr>
            <w:r w:rsidRPr="00BD7F00">
              <w:rPr>
                <w:b/>
                <w:bCs/>
                <w:sz w:val="22"/>
                <w:szCs w:val="22"/>
                <w:lang w:eastAsia="es-ES"/>
              </w:rPr>
              <w:t>86.640</w:t>
            </w:r>
          </w:p>
        </w:tc>
        <w:tc>
          <w:tcPr>
            <w:tcW w:w="1500" w:type="dxa"/>
            <w:tcBorders>
              <w:top w:val="nil"/>
              <w:left w:val="nil"/>
              <w:bottom w:val="single" w:sz="4" w:space="0" w:color="auto"/>
              <w:right w:val="single" w:sz="8" w:space="0" w:color="auto"/>
            </w:tcBorders>
            <w:noWrap/>
            <w:vAlign w:val="center"/>
            <w:hideMark/>
          </w:tcPr>
          <w:p w14:paraId="549EB9D5" w14:textId="77777777" w:rsidR="003C4E29" w:rsidRPr="00BD7F00" w:rsidRDefault="003C4E29" w:rsidP="00AA12E3">
            <w:pPr>
              <w:jc w:val="center"/>
              <w:rPr>
                <w:sz w:val="20"/>
                <w:szCs w:val="20"/>
                <w:lang w:eastAsia="es-ES"/>
              </w:rPr>
            </w:pPr>
            <w:r w:rsidRPr="00BD7F00">
              <w:rPr>
                <w:sz w:val="20"/>
                <w:szCs w:val="20"/>
                <w:lang w:eastAsia="es-ES"/>
              </w:rPr>
              <w:t>-2,64%</w:t>
            </w:r>
          </w:p>
        </w:tc>
      </w:tr>
      <w:tr w:rsidR="003C4E29" w:rsidRPr="00BD7F00" w14:paraId="00D2699C" w14:textId="77777777" w:rsidTr="003C4E29">
        <w:trPr>
          <w:trHeight w:val="315"/>
          <w:jc w:val="center"/>
        </w:trPr>
        <w:tc>
          <w:tcPr>
            <w:tcW w:w="1579" w:type="dxa"/>
            <w:vMerge/>
            <w:tcBorders>
              <w:top w:val="nil"/>
              <w:left w:val="single" w:sz="8" w:space="0" w:color="auto"/>
              <w:bottom w:val="single" w:sz="8" w:space="0" w:color="000000"/>
              <w:right w:val="single" w:sz="4" w:space="0" w:color="auto"/>
            </w:tcBorders>
            <w:vAlign w:val="center"/>
            <w:hideMark/>
          </w:tcPr>
          <w:p w14:paraId="496B7E3E" w14:textId="77777777" w:rsidR="003C4E29" w:rsidRPr="00BD7F00" w:rsidRDefault="003C4E29" w:rsidP="00AA12E3">
            <w:pPr>
              <w:jc w:val="left"/>
              <w:rPr>
                <w:sz w:val="22"/>
                <w:szCs w:val="22"/>
                <w:lang w:eastAsia="es-ES"/>
              </w:rPr>
            </w:pPr>
          </w:p>
        </w:tc>
        <w:tc>
          <w:tcPr>
            <w:tcW w:w="1241" w:type="dxa"/>
            <w:tcBorders>
              <w:top w:val="nil"/>
              <w:left w:val="nil"/>
              <w:bottom w:val="single" w:sz="8" w:space="0" w:color="auto"/>
              <w:right w:val="single" w:sz="8" w:space="0" w:color="auto"/>
            </w:tcBorders>
            <w:noWrap/>
            <w:vAlign w:val="center"/>
            <w:hideMark/>
          </w:tcPr>
          <w:p w14:paraId="3BD6F587" w14:textId="77777777" w:rsidR="003C4E29" w:rsidRPr="00BD7F00" w:rsidRDefault="003C4E29" w:rsidP="00AA12E3">
            <w:pPr>
              <w:jc w:val="left"/>
              <w:rPr>
                <w:sz w:val="22"/>
                <w:szCs w:val="22"/>
                <w:lang w:eastAsia="es-ES"/>
              </w:rPr>
            </w:pPr>
            <w:r w:rsidRPr="00BD7F00">
              <w:rPr>
                <w:sz w:val="22"/>
                <w:szCs w:val="22"/>
                <w:lang w:eastAsia="es-ES"/>
              </w:rPr>
              <w:t>Resto</w:t>
            </w:r>
          </w:p>
        </w:tc>
        <w:tc>
          <w:tcPr>
            <w:tcW w:w="1200" w:type="dxa"/>
            <w:tcBorders>
              <w:top w:val="nil"/>
              <w:left w:val="nil"/>
              <w:bottom w:val="single" w:sz="8" w:space="0" w:color="auto"/>
              <w:right w:val="single" w:sz="4" w:space="0" w:color="auto"/>
            </w:tcBorders>
            <w:noWrap/>
            <w:vAlign w:val="center"/>
            <w:hideMark/>
          </w:tcPr>
          <w:p w14:paraId="40961030" w14:textId="77777777" w:rsidR="003C4E29" w:rsidRPr="00BD7F00" w:rsidRDefault="003C4E29" w:rsidP="00AA12E3">
            <w:pPr>
              <w:jc w:val="center"/>
              <w:rPr>
                <w:sz w:val="20"/>
                <w:szCs w:val="20"/>
                <w:lang w:eastAsia="es-ES"/>
              </w:rPr>
            </w:pPr>
            <w:r w:rsidRPr="00BD7F00">
              <w:rPr>
                <w:sz w:val="20"/>
                <w:szCs w:val="20"/>
                <w:lang w:eastAsia="es-ES"/>
              </w:rPr>
              <w:t>550.331</w:t>
            </w:r>
          </w:p>
        </w:tc>
        <w:tc>
          <w:tcPr>
            <w:tcW w:w="1240" w:type="dxa"/>
            <w:tcBorders>
              <w:top w:val="nil"/>
              <w:left w:val="nil"/>
              <w:bottom w:val="single" w:sz="8" w:space="0" w:color="auto"/>
              <w:right w:val="single" w:sz="4" w:space="0" w:color="auto"/>
            </w:tcBorders>
            <w:shd w:val="clear" w:color="FFFFFF" w:fill="auto"/>
            <w:vAlign w:val="center"/>
            <w:hideMark/>
          </w:tcPr>
          <w:p w14:paraId="57F7DA9A" w14:textId="77777777" w:rsidR="003C4E29" w:rsidRPr="00BD7F00" w:rsidRDefault="003C4E29" w:rsidP="00AA12E3">
            <w:pPr>
              <w:jc w:val="center"/>
              <w:rPr>
                <w:b/>
                <w:bCs/>
                <w:sz w:val="22"/>
                <w:szCs w:val="22"/>
                <w:lang w:eastAsia="es-ES"/>
              </w:rPr>
            </w:pPr>
            <w:r w:rsidRPr="00BD7F00">
              <w:rPr>
                <w:b/>
                <w:bCs/>
                <w:sz w:val="22"/>
                <w:szCs w:val="22"/>
                <w:lang w:eastAsia="es-ES"/>
              </w:rPr>
              <w:t>546.105</w:t>
            </w:r>
          </w:p>
        </w:tc>
        <w:tc>
          <w:tcPr>
            <w:tcW w:w="1500" w:type="dxa"/>
            <w:tcBorders>
              <w:top w:val="nil"/>
              <w:left w:val="nil"/>
              <w:bottom w:val="single" w:sz="8" w:space="0" w:color="auto"/>
              <w:right w:val="single" w:sz="8" w:space="0" w:color="auto"/>
            </w:tcBorders>
            <w:noWrap/>
            <w:vAlign w:val="center"/>
            <w:hideMark/>
          </w:tcPr>
          <w:p w14:paraId="5A8A25A1" w14:textId="77777777" w:rsidR="003C4E29" w:rsidRPr="00BD7F00" w:rsidRDefault="003C4E29" w:rsidP="00AA12E3">
            <w:pPr>
              <w:jc w:val="center"/>
              <w:rPr>
                <w:sz w:val="20"/>
                <w:szCs w:val="20"/>
                <w:lang w:eastAsia="es-ES"/>
              </w:rPr>
            </w:pPr>
            <w:r w:rsidRPr="00BD7F00">
              <w:rPr>
                <w:sz w:val="20"/>
                <w:szCs w:val="20"/>
                <w:lang w:eastAsia="es-ES"/>
              </w:rPr>
              <w:t>-0,77%</w:t>
            </w:r>
          </w:p>
        </w:tc>
      </w:tr>
    </w:tbl>
    <w:p w14:paraId="08F3CA84" w14:textId="77777777" w:rsidR="00F125FD" w:rsidRPr="00BD7F00" w:rsidRDefault="00F125FD" w:rsidP="00AA12E3"/>
    <w:p w14:paraId="577D9059" w14:textId="3757E3A1" w:rsidR="008254CB" w:rsidRPr="00AB4B50" w:rsidRDefault="003C4E29" w:rsidP="00AA12E3">
      <w:pPr>
        <w:jc w:val="center"/>
        <w:rPr>
          <w:sz w:val="16"/>
          <w:szCs w:val="16"/>
        </w:rPr>
      </w:pPr>
      <w:r w:rsidRPr="00BD7F00">
        <w:rPr>
          <w:sz w:val="16"/>
          <w:szCs w:val="16"/>
        </w:rPr>
        <w:t xml:space="preserve">   </w:t>
      </w:r>
      <w:r w:rsidR="00F125FD" w:rsidRPr="00BD7F00">
        <w:rPr>
          <w:sz w:val="16"/>
          <w:szCs w:val="16"/>
        </w:rPr>
        <w:t>Fuente: Elaboración propia a partir de las encuestas ganaderas del Ministerio de Agricultura, Pesca y Alimentación</w:t>
      </w:r>
    </w:p>
    <w:p w14:paraId="5D37632E" w14:textId="77777777" w:rsidR="00D61A96" w:rsidRDefault="00D61A96" w:rsidP="00AA12E3"/>
    <w:p w14:paraId="160C67DB" w14:textId="77777777" w:rsidR="00B01FD9" w:rsidRDefault="00B01FD9" w:rsidP="00AA12E3"/>
    <w:p w14:paraId="049642C6" w14:textId="3861ABE6" w:rsidR="002F5B48" w:rsidRPr="00BD7F00" w:rsidRDefault="00F125FD" w:rsidP="00AA12E3">
      <w:r w:rsidRPr="00BD7F00">
        <w:t xml:space="preserve">En </w:t>
      </w:r>
      <w:r w:rsidRPr="00BD7F00">
        <w:rPr>
          <w:b/>
        </w:rPr>
        <w:t>ganado ovino</w:t>
      </w:r>
      <w:r w:rsidRPr="00BD7F00">
        <w:t>, la última encuesta publicada es de noviembre de 202</w:t>
      </w:r>
      <w:r w:rsidR="005413CD" w:rsidRPr="00BD7F00">
        <w:t>4</w:t>
      </w:r>
      <w:r w:rsidRPr="00BD7F00">
        <w:t>.</w:t>
      </w:r>
    </w:p>
    <w:p w14:paraId="1B2AE6A1" w14:textId="6B62B07B" w:rsidR="002F5B48" w:rsidRPr="00BD7F00" w:rsidRDefault="00F125FD" w:rsidP="00AA12E3">
      <w:r w:rsidRPr="00BD7F00">
        <w:t xml:space="preserve">El censo total en Castilla y León fue de </w:t>
      </w:r>
      <w:r w:rsidR="002F5B48" w:rsidRPr="00BD7F00">
        <w:rPr>
          <w:lang w:eastAsia="es-ES"/>
        </w:rPr>
        <w:t>2.120.820</w:t>
      </w:r>
      <w:r w:rsidR="002F5B48" w:rsidRPr="00BD7F00">
        <w:rPr>
          <w:sz w:val="20"/>
          <w:szCs w:val="20"/>
          <w:lang w:eastAsia="es-ES"/>
        </w:rPr>
        <w:t xml:space="preserve"> </w:t>
      </w:r>
      <w:r w:rsidRPr="00BD7F00">
        <w:t xml:space="preserve">cabezas, </w:t>
      </w:r>
      <w:r w:rsidR="002F5B48" w:rsidRPr="00BD7F00">
        <w:t xml:space="preserve">26.712 </w:t>
      </w:r>
      <w:r w:rsidRPr="00BD7F00">
        <w:t>menos</w:t>
      </w:r>
      <w:r w:rsidR="00991241" w:rsidRPr="00BD7F00">
        <w:t xml:space="preserve"> respecto al año anterior</w:t>
      </w:r>
      <w:r w:rsidR="002F5B48" w:rsidRPr="00BD7F00">
        <w:t>, lo que supone un descenso del -1,24%</w:t>
      </w:r>
      <w:r w:rsidR="00991241" w:rsidRPr="00BD7F00">
        <w:t>.</w:t>
      </w:r>
    </w:p>
    <w:p w14:paraId="11A68C96" w14:textId="77777777" w:rsidR="00236179" w:rsidRDefault="00F125FD" w:rsidP="00AA12E3">
      <w:r w:rsidRPr="00BD7F00">
        <w:t>Castilla y León, con el 15,7</w:t>
      </w:r>
      <w:r w:rsidR="002F5B48" w:rsidRPr="00BD7F00">
        <w:t>4</w:t>
      </w:r>
      <w:r w:rsidRPr="00BD7F00">
        <w:t xml:space="preserve">% del censo nacional, es la tercera comunidad de mayor número de España, solo por detrás de Extremadura y Castilla la Mancha. </w:t>
      </w:r>
    </w:p>
    <w:p w14:paraId="40DA0974" w14:textId="378974CE" w:rsidR="00A2499D" w:rsidRPr="00BD7F00" w:rsidRDefault="00F125FD" w:rsidP="00AA12E3">
      <w:r w:rsidRPr="00BD7F00">
        <w:t xml:space="preserve">En ovino de ordeño, con </w:t>
      </w:r>
      <w:r w:rsidR="00991241" w:rsidRPr="00BD7F00">
        <w:t xml:space="preserve">765.100 </w:t>
      </w:r>
      <w:r w:rsidRPr="00BD7F00">
        <w:t>animales en total,</w:t>
      </w:r>
      <w:r w:rsidR="00236179">
        <w:t xml:space="preserve"> </w:t>
      </w:r>
      <w:r w:rsidR="00991241" w:rsidRPr="00BD7F00">
        <w:t xml:space="preserve">un tercio </w:t>
      </w:r>
      <w:r w:rsidR="00236179">
        <w:t>en Zamora</w:t>
      </w:r>
      <w:r w:rsidRPr="00BD7F00">
        <w:t>, representamos un porcentaje m</w:t>
      </w:r>
      <w:r w:rsidR="00C51987" w:rsidRPr="00BD7F00">
        <w:t>ás elevado sobre censo nacional</w:t>
      </w:r>
      <w:r w:rsidRPr="00BD7F00">
        <w:t xml:space="preserve">, </w:t>
      </w:r>
      <w:r w:rsidR="00C51987" w:rsidRPr="00BD7F00">
        <w:t xml:space="preserve">con </w:t>
      </w:r>
      <w:r w:rsidRPr="00BD7F00">
        <w:t xml:space="preserve">un </w:t>
      </w:r>
      <w:r w:rsidR="00C51987" w:rsidRPr="00BD7F00">
        <w:t>41,23%</w:t>
      </w:r>
      <w:r w:rsidRPr="00BD7F00">
        <w:t>,</w:t>
      </w:r>
      <w:r w:rsidR="00C51987" w:rsidRPr="00BD7F00">
        <w:t xml:space="preserve"> </w:t>
      </w:r>
      <w:r w:rsidRPr="00BD7F00">
        <w:t xml:space="preserve">siendo la segunda comunidad autónoma más </w:t>
      </w:r>
      <w:r w:rsidR="00C51987" w:rsidRPr="00BD7F00">
        <w:t>relevante</w:t>
      </w:r>
      <w:r w:rsidR="008E3AA9">
        <w:t xml:space="preserve"> después de </w:t>
      </w:r>
      <w:r w:rsidRPr="00BD7F00">
        <w:t>Castilla</w:t>
      </w:r>
      <w:r w:rsidR="00C51987" w:rsidRPr="00BD7F00">
        <w:t>-L</w:t>
      </w:r>
      <w:r w:rsidRPr="00BD7F00">
        <w:t>a Mancha</w:t>
      </w:r>
      <w:r w:rsidR="008E3AA9">
        <w:t>,</w:t>
      </w:r>
      <w:r w:rsidRPr="00BD7F00">
        <w:t xml:space="preserve"> </w:t>
      </w:r>
      <w:r w:rsidR="00C10B5E">
        <w:t>que cuenta con</w:t>
      </w:r>
      <w:r w:rsidRPr="00BD7F00">
        <w:t xml:space="preserve"> un censo de</w:t>
      </w:r>
      <w:r w:rsidR="00C51987" w:rsidRPr="00BD7F00">
        <w:t xml:space="preserve"> 802.249.</w:t>
      </w:r>
      <w:r w:rsidRPr="00BD7F00">
        <w:t xml:space="preserve"> </w:t>
      </w:r>
    </w:p>
    <w:p w14:paraId="17185B44" w14:textId="77777777" w:rsidR="009A63CB" w:rsidRPr="00BD7F00" w:rsidRDefault="009A63CB" w:rsidP="00AA12E3">
      <w:pPr>
        <w:rPr>
          <w:b/>
          <w:bCs/>
        </w:rPr>
      </w:pPr>
    </w:p>
    <w:p w14:paraId="55683FD9" w14:textId="77777777" w:rsidR="00A2499D" w:rsidRPr="00BD7F00" w:rsidRDefault="00A2499D" w:rsidP="00AA12E3">
      <w:pPr>
        <w:rPr>
          <w:b/>
          <w:bCs/>
          <w:sz w:val="20"/>
          <w:szCs w:val="20"/>
          <w:lang w:eastAsia="es-ES"/>
        </w:rPr>
      </w:pPr>
    </w:p>
    <w:tbl>
      <w:tblPr>
        <w:tblpPr w:leftFromText="141" w:rightFromText="141" w:vertAnchor="text" w:horzAnchor="margin" w:tblpY="24"/>
        <w:tblW w:w="8222" w:type="dxa"/>
        <w:tblCellMar>
          <w:left w:w="70" w:type="dxa"/>
          <w:right w:w="70" w:type="dxa"/>
        </w:tblCellMar>
        <w:tblLook w:val="04A0" w:firstRow="1" w:lastRow="0" w:firstColumn="1" w:lastColumn="0" w:noHBand="0" w:noVBand="1"/>
      </w:tblPr>
      <w:tblGrid>
        <w:gridCol w:w="1418"/>
        <w:gridCol w:w="1276"/>
        <w:gridCol w:w="1275"/>
        <w:gridCol w:w="908"/>
        <w:gridCol w:w="9"/>
        <w:gridCol w:w="1110"/>
        <w:gridCol w:w="9"/>
        <w:gridCol w:w="1205"/>
        <w:gridCol w:w="9"/>
        <w:gridCol w:w="1131"/>
      </w:tblGrid>
      <w:tr w:rsidR="00BD7F00" w:rsidRPr="00BD7F00" w14:paraId="68C5641D" w14:textId="77777777" w:rsidTr="00A2499D">
        <w:trPr>
          <w:trHeight w:val="249"/>
        </w:trPr>
        <w:tc>
          <w:tcPr>
            <w:tcW w:w="4886" w:type="dxa"/>
            <w:gridSpan w:val="5"/>
            <w:tcBorders>
              <w:top w:val="nil"/>
              <w:left w:val="nil"/>
              <w:bottom w:val="nil"/>
              <w:right w:val="nil"/>
            </w:tcBorders>
            <w:noWrap/>
            <w:vAlign w:val="center"/>
            <w:hideMark/>
          </w:tcPr>
          <w:p w14:paraId="5C98B223" w14:textId="77777777" w:rsidR="005A6506" w:rsidRPr="00BD7F00" w:rsidRDefault="005A6506" w:rsidP="00AA12E3">
            <w:pPr>
              <w:jc w:val="left"/>
              <w:rPr>
                <w:rFonts w:ascii="Times New Roman" w:hAnsi="Times New Roman" w:cs="Times New Roman"/>
                <w:sz w:val="20"/>
                <w:szCs w:val="20"/>
                <w:lang w:eastAsia="es-ES"/>
              </w:rPr>
            </w:pPr>
          </w:p>
        </w:tc>
        <w:tc>
          <w:tcPr>
            <w:tcW w:w="1119" w:type="dxa"/>
            <w:gridSpan w:val="2"/>
            <w:tcBorders>
              <w:top w:val="single" w:sz="4" w:space="0" w:color="auto"/>
              <w:left w:val="single" w:sz="4" w:space="0" w:color="auto"/>
              <w:bottom w:val="single" w:sz="4" w:space="0" w:color="auto"/>
              <w:right w:val="single" w:sz="4" w:space="0" w:color="auto"/>
            </w:tcBorders>
            <w:noWrap/>
            <w:vAlign w:val="center"/>
            <w:hideMark/>
          </w:tcPr>
          <w:p w14:paraId="68F6C0FA" w14:textId="77777777" w:rsidR="005A6506" w:rsidRPr="00BD7F00" w:rsidRDefault="005A6506" w:rsidP="00AA12E3">
            <w:pPr>
              <w:jc w:val="center"/>
              <w:rPr>
                <w:b/>
                <w:bCs/>
                <w:sz w:val="22"/>
                <w:szCs w:val="22"/>
                <w:lang w:eastAsia="es-ES"/>
              </w:rPr>
            </w:pPr>
            <w:r w:rsidRPr="00BD7F00">
              <w:rPr>
                <w:b/>
                <w:bCs/>
                <w:sz w:val="22"/>
                <w:szCs w:val="22"/>
                <w:lang w:eastAsia="es-ES"/>
              </w:rPr>
              <w:t>2023</w:t>
            </w:r>
          </w:p>
        </w:tc>
        <w:tc>
          <w:tcPr>
            <w:tcW w:w="1214" w:type="dxa"/>
            <w:gridSpan w:val="2"/>
            <w:tcBorders>
              <w:top w:val="single" w:sz="4" w:space="0" w:color="auto"/>
              <w:left w:val="nil"/>
              <w:bottom w:val="single" w:sz="4" w:space="0" w:color="auto"/>
              <w:right w:val="single" w:sz="4" w:space="0" w:color="auto"/>
            </w:tcBorders>
            <w:noWrap/>
            <w:vAlign w:val="center"/>
            <w:hideMark/>
          </w:tcPr>
          <w:p w14:paraId="5D5635F9" w14:textId="77777777" w:rsidR="005A6506" w:rsidRPr="00BD7F00" w:rsidRDefault="005A6506" w:rsidP="00AA12E3">
            <w:pPr>
              <w:jc w:val="center"/>
              <w:rPr>
                <w:b/>
                <w:bCs/>
                <w:sz w:val="22"/>
                <w:szCs w:val="22"/>
                <w:lang w:eastAsia="es-ES"/>
              </w:rPr>
            </w:pPr>
            <w:r w:rsidRPr="00BD7F00">
              <w:rPr>
                <w:b/>
                <w:bCs/>
                <w:sz w:val="22"/>
                <w:szCs w:val="22"/>
                <w:lang w:eastAsia="es-ES"/>
              </w:rPr>
              <w:t>2024</w:t>
            </w:r>
          </w:p>
        </w:tc>
        <w:tc>
          <w:tcPr>
            <w:tcW w:w="1003" w:type="dxa"/>
            <w:tcBorders>
              <w:top w:val="single" w:sz="4" w:space="0" w:color="auto"/>
              <w:left w:val="nil"/>
              <w:bottom w:val="single" w:sz="4" w:space="0" w:color="auto"/>
              <w:right w:val="single" w:sz="4" w:space="0" w:color="auto"/>
            </w:tcBorders>
            <w:noWrap/>
            <w:vAlign w:val="center"/>
            <w:hideMark/>
          </w:tcPr>
          <w:p w14:paraId="4F6174A9" w14:textId="77777777" w:rsidR="005A6506" w:rsidRPr="00BD7F00" w:rsidRDefault="005A6506" w:rsidP="00AA12E3">
            <w:pPr>
              <w:jc w:val="center"/>
              <w:rPr>
                <w:b/>
                <w:bCs/>
                <w:sz w:val="22"/>
                <w:szCs w:val="22"/>
                <w:lang w:eastAsia="es-ES"/>
              </w:rPr>
            </w:pPr>
            <w:r w:rsidRPr="00BD7F00">
              <w:rPr>
                <w:b/>
                <w:bCs/>
                <w:sz w:val="22"/>
                <w:szCs w:val="22"/>
                <w:lang w:eastAsia="es-ES"/>
              </w:rPr>
              <w:t>Variación (%)</w:t>
            </w:r>
          </w:p>
        </w:tc>
      </w:tr>
      <w:tr w:rsidR="00BD7F00" w:rsidRPr="00BD7F00" w14:paraId="69687FDD" w14:textId="77777777" w:rsidTr="00A2499D">
        <w:trPr>
          <w:trHeight w:val="249"/>
        </w:trPr>
        <w:tc>
          <w:tcPr>
            <w:tcW w:w="4886" w:type="dxa"/>
            <w:gridSpan w:val="5"/>
            <w:tcBorders>
              <w:top w:val="single" w:sz="4" w:space="0" w:color="auto"/>
              <w:left w:val="single" w:sz="4" w:space="0" w:color="auto"/>
              <w:bottom w:val="single" w:sz="4" w:space="0" w:color="auto"/>
              <w:right w:val="single" w:sz="4" w:space="0" w:color="auto"/>
            </w:tcBorders>
            <w:noWrap/>
            <w:vAlign w:val="center"/>
            <w:hideMark/>
          </w:tcPr>
          <w:p w14:paraId="779E9BE0" w14:textId="77777777" w:rsidR="005A6506" w:rsidRPr="00BD7F00" w:rsidRDefault="005A6506" w:rsidP="00AA12E3">
            <w:pPr>
              <w:jc w:val="left"/>
              <w:rPr>
                <w:b/>
                <w:bCs/>
                <w:sz w:val="22"/>
                <w:szCs w:val="22"/>
                <w:lang w:eastAsia="es-ES"/>
              </w:rPr>
            </w:pPr>
            <w:r w:rsidRPr="00BD7F00">
              <w:rPr>
                <w:b/>
                <w:bCs/>
                <w:sz w:val="22"/>
                <w:szCs w:val="22"/>
                <w:lang w:eastAsia="es-ES"/>
              </w:rPr>
              <w:t>Total</w:t>
            </w:r>
          </w:p>
        </w:tc>
        <w:tc>
          <w:tcPr>
            <w:tcW w:w="1119" w:type="dxa"/>
            <w:gridSpan w:val="2"/>
            <w:tcBorders>
              <w:top w:val="nil"/>
              <w:left w:val="nil"/>
              <w:bottom w:val="single" w:sz="4" w:space="0" w:color="auto"/>
              <w:right w:val="single" w:sz="4" w:space="0" w:color="auto"/>
            </w:tcBorders>
            <w:noWrap/>
            <w:vAlign w:val="center"/>
            <w:hideMark/>
          </w:tcPr>
          <w:p w14:paraId="1ACEDD6F" w14:textId="77777777" w:rsidR="005A6506" w:rsidRPr="00BD7F00" w:rsidRDefault="005A6506" w:rsidP="00AA12E3">
            <w:pPr>
              <w:jc w:val="right"/>
              <w:rPr>
                <w:sz w:val="22"/>
                <w:szCs w:val="22"/>
                <w:lang w:eastAsia="es-ES"/>
              </w:rPr>
            </w:pPr>
            <w:r w:rsidRPr="00BD7F00">
              <w:rPr>
                <w:sz w:val="22"/>
                <w:szCs w:val="22"/>
                <w:lang w:eastAsia="es-ES"/>
              </w:rPr>
              <w:t>2.147.532</w:t>
            </w:r>
          </w:p>
        </w:tc>
        <w:tc>
          <w:tcPr>
            <w:tcW w:w="1214" w:type="dxa"/>
            <w:gridSpan w:val="2"/>
            <w:tcBorders>
              <w:top w:val="nil"/>
              <w:left w:val="nil"/>
              <w:bottom w:val="single" w:sz="4" w:space="0" w:color="auto"/>
              <w:right w:val="single" w:sz="4" w:space="0" w:color="auto"/>
            </w:tcBorders>
            <w:shd w:val="clear" w:color="000000" w:fill="FFFFFF"/>
            <w:noWrap/>
            <w:vAlign w:val="bottom"/>
            <w:hideMark/>
          </w:tcPr>
          <w:p w14:paraId="0D11A4F3" w14:textId="77777777" w:rsidR="005A6506" w:rsidRPr="00BD7F00" w:rsidRDefault="005A6506" w:rsidP="00AA12E3">
            <w:pPr>
              <w:jc w:val="right"/>
              <w:rPr>
                <w:sz w:val="22"/>
                <w:szCs w:val="22"/>
                <w:lang w:eastAsia="es-ES"/>
              </w:rPr>
            </w:pPr>
            <w:r w:rsidRPr="00BD7F00">
              <w:rPr>
                <w:sz w:val="22"/>
                <w:szCs w:val="22"/>
                <w:lang w:eastAsia="es-ES"/>
              </w:rPr>
              <w:t>2.120.820</w:t>
            </w:r>
          </w:p>
        </w:tc>
        <w:tc>
          <w:tcPr>
            <w:tcW w:w="1003" w:type="dxa"/>
            <w:tcBorders>
              <w:top w:val="nil"/>
              <w:left w:val="nil"/>
              <w:bottom w:val="single" w:sz="4" w:space="0" w:color="auto"/>
              <w:right w:val="single" w:sz="4" w:space="0" w:color="auto"/>
            </w:tcBorders>
            <w:noWrap/>
            <w:vAlign w:val="bottom"/>
            <w:hideMark/>
          </w:tcPr>
          <w:p w14:paraId="78F1A589" w14:textId="77777777" w:rsidR="005A6506" w:rsidRPr="00BD7F00" w:rsidRDefault="005A6506" w:rsidP="00AA12E3">
            <w:pPr>
              <w:jc w:val="right"/>
              <w:rPr>
                <w:sz w:val="22"/>
                <w:szCs w:val="22"/>
                <w:lang w:eastAsia="es-ES"/>
              </w:rPr>
            </w:pPr>
            <w:r w:rsidRPr="00BD7F00">
              <w:rPr>
                <w:sz w:val="22"/>
                <w:szCs w:val="22"/>
                <w:lang w:eastAsia="es-ES"/>
              </w:rPr>
              <w:t>-1,24</w:t>
            </w:r>
          </w:p>
        </w:tc>
      </w:tr>
      <w:tr w:rsidR="00BD7F00" w:rsidRPr="00BD7F00" w14:paraId="298C9229" w14:textId="77777777" w:rsidTr="00A2499D">
        <w:trPr>
          <w:trHeight w:val="249"/>
        </w:trPr>
        <w:tc>
          <w:tcPr>
            <w:tcW w:w="4886" w:type="dxa"/>
            <w:gridSpan w:val="5"/>
            <w:tcBorders>
              <w:top w:val="single" w:sz="4" w:space="0" w:color="auto"/>
              <w:left w:val="single" w:sz="4" w:space="0" w:color="auto"/>
              <w:bottom w:val="single" w:sz="4" w:space="0" w:color="auto"/>
              <w:right w:val="single" w:sz="4" w:space="0" w:color="auto"/>
            </w:tcBorders>
            <w:noWrap/>
            <w:vAlign w:val="center"/>
            <w:hideMark/>
          </w:tcPr>
          <w:p w14:paraId="68FE2E4E" w14:textId="77777777" w:rsidR="005A6506" w:rsidRPr="00BD7F00" w:rsidRDefault="005A6506" w:rsidP="00AA12E3">
            <w:pPr>
              <w:jc w:val="left"/>
              <w:rPr>
                <w:sz w:val="22"/>
                <w:szCs w:val="22"/>
                <w:lang w:eastAsia="es-ES"/>
              </w:rPr>
            </w:pPr>
            <w:r w:rsidRPr="00BD7F00">
              <w:rPr>
                <w:sz w:val="22"/>
                <w:szCs w:val="22"/>
                <w:lang w:eastAsia="es-ES"/>
              </w:rPr>
              <w:t>Corderos</w:t>
            </w:r>
          </w:p>
        </w:tc>
        <w:tc>
          <w:tcPr>
            <w:tcW w:w="1119" w:type="dxa"/>
            <w:gridSpan w:val="2"/>
            <w:tcBorders>
              <w:top w:val="nil"/>
              <w:left w:val="nil"/>
              <w:bottom w:val="single" w:sz="4" w:space="0" w:color="auto"/>
              <w:right w:val="single" w:sz="4" w:space="0" w:color="auto"/>
            </w:tcBorders>
            <w:noWrap/>
            <w:vAlign w:val="center"/>
            <w:hideMark/>
          </w:tcPr>
          <w:p w14:paraId="7A434B30" w14:textId="77777777" w:rsidR="005A6506" w:rsidRPr="00BD7F00" w:rsidRDefault="005A6506" w:rsidP="00AA12E3">
            <w:pPr>
              <w:jc w:val="right"/>
              <w:rPr>
                <w:sz w:val="22"/>
                <w:szCs w:val="22"/>
                <w:lang w:eastAsia="es-ES"/>
              </w:rPr>
            </w:pPr>
            <w:r w:rsidRPr="00BD7F00">
              <w:rPr>
                <w:sz w:val="22"/>
                <w:szCs w:val="22"/>
                <w:lang w:eastAsia="es-ES"/>
              </w:rPr>
              <w:t>374.224</w:t>
            </w:r>
          </w:p>
        </w:tc>
        <w:tc>
          <w:tcPr>
            <w:tcW w:w="1214" w:type="dxa"/>
            <w:gridSpan w:val="2"/>
            <w:tcBorders>
              <w:top w:val="nil"/>
              <w:left w:val="nil"/>
              <w:bottom w:val="single" w:sz="4" w:space="0" w:color="auto"/>
              <w:right w:val="single" w:sz="4" w:space="0" w:color="auto"/>
            </w:tcBorders>
            <w:shd w:val="clear" w:color="000000" w:fill="FFFFFF"/>
            <w:noWrap/>
            <w:vAlign w:val="bottom"/>
            <w:hideMark/>
          </w:tcPr>
          <w:p w14:paraId="02A85D03" w14:textId="77777777" w:rsidR="005A6506" w:rsidRPr="00BD7F00" w:rsidRDefault="005A6506" w:rsidP="00AA12E3">
            <w:pPr>
              <w:jc w:val="right"/>
              <w:rPr>
                <w:sz w:val="22"/>
                <w:szCs w:val="22"/>
                <w:lang w:eastAsia="es-ES"/>
              </w:rPr>
            </w:pPr>
            <w:r w:rsidRPr="00BD7F00">
              <w:rPr>
                <w:sz w:val="22"/>
                <w:szCs w:val="22"/>
                <w:lang w:eastAsia="es-ES"/>
              </w:rPr>
              <w:t>190.983</w:t>
            </w:r>
          </w:p>
        </w:tc>
        <w:tc>
          <w:tcPr>
            <w:tcW w:w="1003" w:type="dxa"/>
            <w:tcBorders>
              <w:top w:val="nil"/>
              <w:left w:val="nil"/>
              <w:bottom w:val="single" w:sz="4" w:space="0" w:color="auto"/>
              <w:right w:val="single" w:sz="4" w:space="0" w:color="auto"/>
            </w:tcBorders>
            <w:noWrap/>
            <w:vAlign w:val="bottom"/>
            <w:hideMark/>
          </w:tcPr>
          <w:p w14:paraId="1004F736" w14:textId="77777777" w:rsidR="005A6506" w:rsidRPr="00BD7F00" w:rsidRDefault="005A6506" w:rsidP="00AA12E3">
            <w:pPr>
              <w:jc w:val="right"/>
              <w:rPr>
                <w:sz w:val="22"/>
                <w:szCs w:val="22"/>
                <w:lang w:eastAsia="es-ES"/>
              </w:rPr>
            </w:pPr>
            <w:r w:rsidRPr="00BD7F00">
              <w:rPr>
                <w:sz w:val="22"/>
                <w:szCs w:val="22"/>
                <w:lang w:eastAsia="es-ES"/>
              </w:rPr>
              <w:t>-48,97</w:t>
            </w:r>
          </w:p>
        </w:tc>
      </w:tr>
      <w:tr w:rsidR="00BD7F00" w:rsidRPr="00BD7F00" w14:paraId="3E701371" w14:textId="77777777" w:rsidTr="00A2499D">
        <w:trPr>
          <w:trHeight w:val="249"/>
        </w:trPr>
        <w:tc>
          <w:tcPr>
            <w:tcW w:w="4886" w:type="dxa"/>
            <w:gridSpan w:val="5"/>
            <w:tcBorders>
              <w:top w:val="single" w:sz="4" w:space="0" w:color="auto"/>
              <w:left w:val="single" w:sz="4" w:space="0" w:color="auto"/>
              <w:bottom w:val="single" w:sz="4" w:space="0" w:color="auto"/>
              <w:right w:val="single" w:sz="4" w:space="0" w:color="auto"/>
            </w:tcBorders>
            <w:noWrap/>
            <w:vAlign w:val="center"/>
            <w:hideMark/>
          </w:tcPr>
          <w:p w14:paraId="10CFFA93" w14:textId="77777777" w:rsidR="005A6506" w:rsidRPr="00BD7F00" w:rsidRDefault="005A6506" w:rsidP="00AA12E3">
            <w:pPr>
              <w:jc w:val="left"/>
              <w:rPr>
                <w:sz w:val="22"/>
                <w:szCs w:val="22"/>
                <w:lang w:eastAsia="es-ES"/>
              </w:rPr>
            </w:pPr>
            <w:r w:rsidRPr="00BD7F00">
              <w:rPr>
                <w:sz w:val="22"/>
                <w:szCs w:val="22"/>
                <w:lang w:eastAsia="es-ES"/>
              </w:rPr>
              <w:t>Sementales</w:t>
            </w:r>
          </w:p>
        </w:tc>
        <w:tc>
          <w:tcPr>
            <w:tcW w:w="1119" w:type="dxa"/>
            <w:gridSpan w:val="2"/>
            <w:tcBorders>
              <w:top w:val="nil"/>
              <w:left w:val="nil"/>
              <w:bottom w:val="single" w:sz="4" w:space="0" w:color="auto"/>
              <w:right w:val="single" w:sz="4" w:space="0" w:color="auto"/>
            </w:tcBorders>
            <w:noWrap/>
            <w:vAlign w:val="center"/>
            <w:hideMark/>
          </w:tcPr>
          <w:p w14:paraId="15CC9E6A" w14:textId="77777777" w:rsidR="005A6506" w:rsidRPr="00BD7F00" w:rsidRDefault="005A6506" w:rsidP="00AA12E3">
            <w:pPr>
              <w:jc w:val="right"/>
              <w:rPr>
                <w:sz w:val="22"/>
                <w:szCs w:val="22"/>
                <w:lang w:eastAsia="es-ES"/>
              </w:rPr>
            </w:pPr>
            <w:r w:rsidRPr="00BD7F00">
              <w:rPr>
                <w:sz w:val="22"/>
                <w:szCs w:val="22"/>
                <w:lang w:eastAsia="es-ES"/>
              </w:rPr>
              <w:t>50.342</w:t>
            </w:r>
          </w:p>
        </w:tc>
        <w:tc>
          <w:tcPr>
            <w:tcW w:w="1214" w:type="dxa"/>
            <w:gridSpan w:val="2"/>
            <w:tcBorders>
              <w:top w:val="nil"/>
              <w:left w:val="nil"/>
              <w:bottom w:val="single" w:sz="4" w:space="0" w:color="auto"/>
              <w:right w:val="single" w:sz="4" w:space="0" w:color="auto"/>
            </w:tcBorders>
            <w:shd w:val="clear" w:color="000000" w:fill="FFFFFF"/>
            <w:noWrap/>
            <w:vAlign w:val="bottom"/>
            <w:hideMark/>
          </w:tcPr>
          <w:p w14:paraId="65E60725" w14:textId="77777777" w:rsidR="005A6506" w:rsidRPr="00BD7F00" w:rsidRDefault="005A6506" w:rsidP="00AA12E3">
            <w:pPr>
              <w:jc w:val="right"/>
              <w:rPr>
                <w:sz w:val="22"/>
                <w:szCs w:val="22"/>
                <w:lang w:eastAsia="es-ES"/>
              </w:rPr>
            </w:pPr>
            <w:r w:rsidRPr="00BD7F00">
              <w:rPr>
                <w:sz w:val="22"/>
                <w:szCs w:val="22"/>
                <w:lang w:eastAsia="es-ES"/>
              </w:rPr>
              <w:t>56.488</w:t>
            </w:r>
          </w:p>
        </w:tc>
        <w:tc>
          <w:tcPr>
            <w:tcW w:w="1003" w:type="dxa"/>
            <w:tcBorders>
              <w:top w:val="nil"/>
              <w:left w:val="nil"/>
              <w:bottom w:val="single" w:sz="4" w:space="0" w:color="auto"/>
              <w:right w:val="single" w:sz="4" w:space="0" w:color="auto"/>
            </w:tcBorders>
            <w:noWrap/>
            <w:vAlign w:val="bottom"/>
            <w:hideMark/>
          </w:tcPr>
          <w:p w14:paraId="44AD10F3" w14:textId="77777777" w:rsidR="005A6506" w:rsidRPr="00BD7F00" w:rsidRDefault="005A6506" w:rsidP="00AA12E3">
            <w:pPr>
              <w:jc w:val="right"/>
              <w:rPr>
                <w:sz w:val="22"/>
                <w:szCs w:val="22"/>
                <w:lang w:eastAsia="es-ES"/>
              </w:rPr>
            </w:pPr>
            <w:r w:rsidRPr="00BD7F00">
              <w:rPr>
                <w:sz w:val="22"/>
                <w:szCs w:val="22"/>
                <w:lang w:eastAsia="es-ES"/>
              </w:rPr>
              <w:t>12,21</w:t>
            </w:r>
          </w:p>
        </w:tc>
      </w:tr>
      <w:tr w:rsidR="00BD7F00" w:rsidRPr="00BD7F00" w14:paraId="5CFE5D86" w14:textId="77777777" w:rsidTr="00A2499D">
        <w:trPr>
          <w:trHeight w:val="249"/>
        </w:trPr>
        <w:tc>
          <w:tcPr>
            <w:tcW w:w="1418" w:type="dxa"/>
            <w:vMerge w:val="restart"/>
            <w:tcBorders>
              <w:top w:val="nil"/>
              <w:left w:val="single" w:sz="4" w:space="0" w:color="auto"/>
              <w:bottom w:val="single" w:sz="4" w:space="0" w:color="auto"/>
              <w:right w:val="single" w:sz="4" w:space="0" w:color="auto"/>
            </w:tcBorders>
            <w:noWrap/>
            <w:vAlign w:val="center"/>
            <w:hideMark/>
          </w:tcPr>
          <w:p w14:paraId="6CA6B5BB" w14:textId="77777777" w:rsidR="005A6506" w:rsidRPr="00BD7F00" w:rsidRDefault="005A6506" w:rsidP="00AA12E3">
            <w:pPr>
              <w:jc w:val="left"/>
              <w:rPr>
                <w:sz w:val="22"/>
                <w:szCs w:val="22"/>
                <w:lang w:eastAsia="es-ES"/>
              </w:rPr>
            </w:pPr>
            <w:r w:rsidRPr="00BD7F00">
              <w:rPr>
                <w:sz w:val="22"/>
                <w:szCs w:val="22"/>
                <w:lang w:eastAsia="es-ES"/>
              </w:rPr>
              <w:t>Hembras para vida</w:t>
            </w:r>
          </w:p>
        </w:tc>
        <w:tc>
          <w:tcPr>
            <w:tcW w:w="3468" w:type="dxa"/>
            <w:gridSpan w:val="4"/>
            <w:tcBorders>
              <w:top w:val="single" w:sz="4" w:space="0" w:color="auto"/>
              <w:left w:val="nil"/>
              <w:bottom w:val="single" w:sz="4" w:space="0" w:color="auto"/>
              <w:right w:val="single" w:sz="4" w:space="0" w:color="auto"/>
            </w:tcBorders>
            <w:noWrap/>
            <w:vAlign w:val="center"/>
            <w:hideMark/>
          </w:tcPr>
          <w:p w14:paraId="5296C569" w14:textId="77777777" w:rsidR="005A6506" w:rsidRPr="00BD7F00" w:rsidRDefault="005A6506" w:rsidP="00AA12E3">
            <w:pPr>
              <w:jc w:val="left"/>
              <w:rPr>
                <w:sz w:val="22"/>
                <w:szCs w:val="22"/>
                <w:lang w:eastAsia="es-ES"/>
              </w:rPr>
            </w:pPr>
            <w:r w:rsidRPr="00BD7F00">
              <w:rPr>
                <w:sz w:val="22"/>
                <w:szCs w:val="22"/>
                <w:lang w:eastAsia="es-ES"/>
              </w:rPr>
              <w:t>Total hembras para vida</w:t>
            </w:r>
          </w:p>
        </w:tc>
        <w:tc>
          <w:tcPr>
            <w:tcW w:w="1119" w:type="dxa"/>
            <w:gridSpan w:val="2"/>
            <w:tcBorders>
              <w:top w:val="nil"/>
              <w:left w:val="nil"/>
              <w:bottom w:val="single" w:sz="4" w:space="0" w:color="auto"/>
              <w:right w:val="single" w:sz="4" w:space="0" w:color="auto"/>
            </w:tcBorders>
            <w:noWrap/>
            <w:vAlign w:val="center"/>
            <w:hideMark/>
          </w:tcPr>
          <w:p w14:paraId="7D203E5C" w14:textId="77777777" w:rsidR="005A6506" w:rsidRPr="00BD7F00" w:rsidRDefault="005A6506" w:rsidP="00AA12E3">
            <w:pPr>
              <w:jc w:val="center"/>
              <w:rPr>
                <w:sz w:val="22"/>
                <w:szCs w:val="22"/>
                <w:lang w:eastAsia="es-ES"/>
              </w:rPr>
            </w:pPr>
            <w:r w:rsidRPr="00BD7F00">
              <w:rPr>
                <w:sz w:val="22"/>
                <w:szCs w:val="22"/>
                <w:lang w:eastAsia="es-ES"/>
              </w:rPr>
              <w:t>1.722.966</w:t>
            </w:r>
          </w:p>
        </w:tc>
        <w:tc>
          <w:tcPr>
            <w:tcW w:w="1214" w:type="dxa"/>
            <w:gridSpan w:val="2"/>
            <w:tcBorders>
              <w:top w:val="nil"/>
              <w:left w:val="nil"/>
              <w:bottom w:val="single" w:sz="4" w:space="0" w:color="auto"/>
              <w:right w:val="single" w:sz="4" w:space="0" w:color="auto"/>
            </w:tcBorders>
            <w:shd w:val="clear" w:color="000000" w:fill="FFFFFF"/>
            <w:noWrap/>
            <w:vAlign w:val="bottom"/>
            <w:hideMark/>
          </w:tcPr>
          <w:p w14:paraId="59053ADE" w14:textId="77777777" w:rsidR="005A6506" w:rsidRPr="00BD7F00" w:rsidRDefault="005A6506" w:rsidP="00AA12E3">
            <w:pPr>
              <w:jc w:val="right"/>
              <w:rPr>
                <w:sz w:val="22"/>
                <w:szCs w:val="22"/>
                <w:lang w:eastAsia="es-ES"/>
              </w:rPr>
            </w:pPr>
            <w:r w:rsidRPr="00BD7F00">
              <w:rPr>
                <w:sz w:val="22"/>
                <w:szCs w:val="22"/>
                <w:lang w:eastAsia="es-ES"/>
              </w:rPr>
              <w:t>1.873.349</w:t>
            </w:r>
          </w:p>
        </w:tc>
        <w:tc>
          <w:tcPr>
            <w:tcW w:w="1003" w:type="dxa"/>
            <w:tcBorders>
              <w:top w:val="nil"/>
              <w:left w:val="nil"/>
              <w:bottom w:val="single" w:sz="4" w:space="0" w:color="auto"/>
              <w:right w:val="single" w:sz="4" w:space="0" w:color="auto"/>
            </w:tcBorders>
            <w:noWrap/>
            <w:vAlign w:val="bottom"/>
            <w:hideMark/>
          </w:tcPr>
          <w:p w14:paraId="38B042C5" w14:textId="77777777" w:rsidR="005A6506" w:rsidRPr="00BD7F00" w:rsidRDefault="005A6506" w:rsidP="00AA12E3">
            <w:pPr>
              <w:jc w:val="right"/>
              <w:rPr>
                <w:sz w:val="22"/>
                <w:szCs w:val="22"/>
                <w:lang w:eastAsia="es-ES"/>
              </w:rPr>
            </w:pPr>
            <w:r w:rsidRPr="00BD7F00">
              <w:rPr>
                <w:sz w:val="22"/>
                <w:szCs w:val="22"/>
                <w:lang w:eastAsia="es-ES"/>
              </w:rPr>
              <w:t>8,73</w:t>
            </w:r>
          </w:p>
        </w:tc>
      </w:tr>
      <w:tr w:rsidR="00BD7F00" w:rsidRPr="00BD7F00" w14:paraId="74C5A1A7" w14:textId="77777777" w:rsidTr="00A2499D">
        <w:trPr>
          <w:trHeight w:val="249"/>
        </w:trPr>
        <w:tc>
          <w:tcPr>
            <w:tcW w:w="1418" w:type="dxa"/>
            <w:vMerge/>
            <w:tcBorders>
              <w:top w:val="nil"/>
              <w:left w:val="single" w:sz="4" w:space="0" w:color="auto"/>
              <w:bottom w:val="single" w:sz="4" w:space="0" w:color="auto"/>
              <w:right w:val="single" w:sz="4" w:space="0" w:color="auto"/>
            </w:tcBorders>
            <w:vAlign w:val="center"/>
            <w:hideMark/>
          </w:tcPr>
          <w:p w14:paraId="2556D558" w14:textId="77777777" w:rsidR="005A6506" w:rsidRPr="00BD7F00" w:rsidRDefault="005A6506" w:rsidP="00AA12E3">
            <w:pPr>
              <w:jc w:val="left"/>
              <w:rPr>
                <w:sz w:val="22"/>
                <w:szCs w:val="22"/>
                <w:lang w:eastAsia="es-ES"/>
              </w:rPr>
            </w:pPr>
          </w:p>
        </w:tc>
        <w:tc>
          <w:tcPr>
            <w:tcW w:w="1276" w:type="dxa"/>
            <w:vMerge w:val="restart"/>
            <w:tcBorders>
              <w:top w:val="nil"/>
              <w:left w:val="single" w:sz="4" w:space="0" w:color="auto"/>
              <w:bottom w:val="single" w:sz="4" w:space="0" w:color="auto"/>
              <w:right w:val="single" w:sz="4" w:space="0" w:color="auto"/>
            </w:tcBorders>
            <w:noWrap/>
            <w:vAlign w:val="center"/>
            <w:hideMark/>
          </w:tcPr>
          <w:p w14:paraId="0F434785" w14:textId="77777777" w:rsidR="005A6506" w:rsidRPr="00BD7F00" w:rsidRDefault="005A6506" w:rsidP="00AA12E3">
            <w:pPr>
              <w:jc w:val="left"/>
              <w:rPr>
                <w:sz w:val="22"/>
                <w:szCs w:val="22"/>
                <w:lang w:eastAsia="es-ES"/>
              </w:rPr>
            </w:pPr>
            <w:r w:rsidRPr="00BD7F00">
              <w:rPr>
                <w:sz w:val="22"/>
                <w:szCs w:val="22"/>
                <w:lang w:eastAsia="es-ES"/>
              </w:rPr>
              <w:t>Nunca han parido</w:t>
            </w:r>
          </w:p>
        </w:tc>
        <w:tc>
          <w:tcPr>
            <w:tcW w:w="2183" w:type="dxa"/>
            <w:gridSpan w:val="2"/>
            <w:tcBorders>
              <w:top w:val="single" w:sz="4" w:space="0" w:color="auto"/>
              <w:left w:val="nil"/>
              <w:bottom w:val="single" w:sz="4" w:space="0" w:color="auto"/>
              <w:right w:val="single" w:sz="4" w:space="0" w:color="auto"/>
            </w:tcBorders>
            <w:noWrap/>
            <w:vAlign w:val="center"/>
            <w:hideMark/>
          </w:tcPr>
          <w:p w14:paraId="231B75C9" w14:textId="77777777" w:rsidR="005A6506" w:rsidRPr="00BD7F00" w:rsidRDefault="005A6506" w:rsidP="00AA12E3">
            <w:pPr>
              <w:jc w:val="left"/>
              <w:rPr>
                <w:sz w:val="22"/>
                <w:szCs w:val="22"/>
                <w:lang w:eastAsia="es-ES"/>
              </w:rPr>
            </w:pPr>
            <w:r w:rsidRPr="00BD7F00">
              <w:rPr>
                <w:sz w:val="22"/>
                <w:szCs w:val="22"/>
                <w:lang w:eastAsia="es-ES"/>
              </w:rPr>
              <w:t>No cubiertas</w:t>
            </w:r>
          </w:p>
        </w:tc>
        <w:tc>
          <w:tcPr>
            <w:tcW w:w="1119" w:type="dxa"/>
            <w:gridSpan w:val="2"/>
            <w:tcBorders>
              <w:top w:val="nil"/>
              <w:left w:val="nil"/>
              <w:bottom w:val="single" w:sz="4" w:space="0" w:color="auto"/>
              <w:right w:val="single" w:sz="4" w:space="0" w:color="auto"/>
            </w:tcBorders>
            <w:noWrap/>
            <w:vAlign w:val="center"/>
            <w:hideMark/>
          </w:tcPr>
          <w:p w14:paraId="6F8269E5" w14:textId="77777777" w:rsidR="005A6506" w:rsidRPr="00BD7F00" w:rsidRDefault="005A6506" w:rsidP="00AA12E3">
            <w:pPr>
              <w:jc w:val="center"/>
              <w:rPr>
                <w:sz w:val="22"/>
                <w:szCs w:val="22"/>
                <w:lang w:eastAsia="es-ES"/>
              </w:rPr>
            </w:pPr>
            <w:r w:rsidRPr="00BD7F00">
              <w:rPr>
                <w:sz w:val="22"/>
                <w:szCs w:val="22"/>
                <w:lang w:eastAsia="es-ES"/>
              </w:rPr>
              <w:t>17.231</w:t>
            </w:r>
          </w:p>
        </w:tc>
        <w:tc>
          <w:tcPr>
            <w:tcW w:w="1214" w:type="dxa"/>
            <w:gridSpan w:val="2"/>
            <w:tcBorders>
              <w:top w:val="nil"/>
              <w:left w:val="nil"/>
              <w:bottom w:val="single" w:sz="4" w:space="0" w:color="auto"/>
              <w:right w:val="single" w:sz="4" w:space="0" w:color="auto"/>
            </w:tcBorders>
            <w:shd w:val="clear" w:color="000000" w:fill="FFFFFF"/>
            <w:noWrap/>
            <w:vAlign w:val="bottom"/>
            <w:hideMark/>
          </w:tcPr>
          <w:p w14:paraId="79257A23" w14:textId="77777777" w:rsidR="005A6506" w:rsidRPr="00BD7F00" w:rsidRDefault="005A6506" w:rsidP="00AA12E3">
            <w:pPr>
              <w:jc w:val="right"/>
              <w:rPr>
                <w:sz w:val="22"/>
                <w:szCs w:val="22"/>
                <w:lang w:eastAsia="es-ES"/>
              </w:rPr>
            </w:pPr>
            <w:r w:rsidRPr="00BD7F00">
              <w:rPr>
                <w:sz w:val="22"/>
                <w:szCs w:val="22"/>
                <w:lang w:eastAsia="es-ES"/>
              </w:rPr>
              <w:t>158.541</w:t>
            </w:r>
          </w:p>
        </w:tc>
        <w:tc>
          <w:tcPr>
            <w:tcW w:w="1012" w:type="dxa"/>
            <w:gridSpan w:val="2"/>
            <w:tcBorders>
              <w:top w:val="nil"/>
              <w:left w:val="nil"/>
              <w:bottom w:val="single" w:sz="4" w:space="0" w:color="auto"/>
              <w:right w:val="single" w:sz="4" w:space="0" w:color="auto"/>
            </w:tcBorders>
            <w:noWrap/>
            <w:vAlign w:val="bottom"/>
            <w:hideMark/>
          </w:tcPr>
          <w:p w14:paraId="2DCB8BF9" w14:textId="77777777" w:rsidR="005A6506" w:rsidRPr="00BD7F00" w:rsidRDefault="005A6506" w:rsidP="00AA12E3">
            <w:pPr>
              <w:jc w:val="right"/>
              <w:rPr>
                <w:sz w:val="22"/>
                <w:szCs w:val="22"/>
                <w:lang w:eastAsia="es-ES"/>
              </w:rPr>
            </w:pPr>
            <w:r w:rsidRPr="00BD7F00">
              <w:rPr>
                <w:sz w:val="22"/>
                <w:szCs w:val="22"/>
                <w:lang w:eastAsia="es-ES"/>
              </w:rPr>
              <w:t>820,09</w:t>
            </w:r>
          </w:p>
        </w:tc>
      </w:tr>
      <w:tr w:rsidR="00BD7F00" w:rsidRPr="00BD7F00" w14:paraId="7F9ACDD7" w14:textId="77777777" w:rsidTr="00A2499D">
        <w:trPr>
          <w:trHeight w:val="249"/>
        </w:trPr>
        <w:tc>
          <w:tcPr>
            <w:tcW w:w="1418" w:type="dxa"/>
            <w:vMerge/>
            <w:tcBorders>
              <w:top w:val="nil"/>
              <w:left w:val="single" w:sz="4" w:space="0" w:color="auto"/>
              <w:bottom w:val="single" w:sz="4" w:space="0" w:color="auto"/>
              <w:right w:val="single" w:sz="4" w:space="0" w:color="auto"/>
            </w:tcBorders>
            <w:vAlign w:val="center"/>
            <w:hideMark/>
          </w:tcPr>
          <w:p w14:paraId="5CD76779" w14:textId="77777777" w:rsidR="005A6506" w:rsidRPr="00BD7F00" w:rsidRDefault="005A6506" w:rsidP="00AA12E3">
            <w:pPr>
              <w:jc w:val="left"/>
              <w:rPr>
                <w:sz w:val="22"/>
                <w:szCs w:val="22"/>
                <w:lang w:eastAsia="es-ES"/>
              </w:rPr>
            </w:pPr>
          </w:p>
        </w:tc>
        <w:tc>
          <w:tcPr>
            <w:tcW w:w="1276" w:type="dxa"/>
            <w:vMerge/>
            <w:tcBorders>
              <w:top w:val="nil"/>
              <w:left w:val="single" w:sz="4" w:space="0" w:color="auto"/>
              <w:bottom w:val="single" w:sz="4" w:space="0" w:color="auto"/>
              <w:right w:val="single" w:sz="4" w:space="0" w:color="auto"/>
            </w:tcBorders>
            <w:vAlign w:val="center"/>
            <w:hideMark/>
          </w:tcPr>
          <w:p w14:paraId="4EA964B3" w14:textId="77777777" w:rsidR="005A6506" w:rsidRPr="00BD7F00" w:rsidRDefault="005A6506" w:rsidP="00AA12E3">
            <w:pPr>
              <w:jc w:val="left"/>
              <w:rPr>
                <w:sz w:val="22"/>
                <w:szCs w:val="22"/>
                <w:lang w:eastAsia="es-ES"/>
              </w:rPr>
            </w:pPr>
          </w:p>
        </w:tc>
        <w:tc>
          <w:tcPr>
            <w:tcW w:w="1275" w:type="dxa"/>
            <w:vMerge w:val="restart"/>
            <w:tcBorders>
              <w:top w:val="nil"/>
              <w:left w:val="single" w:sz="4" w:space="0" w:color="auto"/>
              <w:bottom w:val="single" w:sz="4" w:space="0" w:color="auto"/>
              <w:right w:val="single" w:sz="4" w:space="0" w:color="auto"/>
            </w:tcBorders>
            <w:noWrap/>
            <w:vAlign w:val="center"/>
            <w:hideMark/>
          </w:tcPr>
          <w:p w14:paraId="5388F567" w14:textId="77777777" w:rsidR="005A6506" w:rsidRPr="00BD7F00" w:rsidRDefault="005A6506" w:rsidP="00AA12E3">
            <w:pPr>
              <w:jc w:val="left"/>
              <w:rPr>
                <w:sz w:val="22"/>
                <w:szCs w:val="22"/>
                <w:lang w:eastAsia="es-ES"/>
              </w:rPr>
            </w:pPr>
            <w:r w:rsidRPr="00BD7F00">
              <w:rPr>
                <w:sz w:val="22"/>
                <w:szCs w:val="22"/>
                <w:lang w:eastAsia="es-ES"/>
              </w:rPr>
              <w:t>Cubiertas 1ª vez</w:t>
            </w:r>
          </w:p>
        </w:tc>
        <w:tc>
          <w:tcPr>
            <w:tcW w:w="908" w:type="dxa"/>
            <w:tcBorders>
              <w:top w:val="nil"/>
              <w:left w:val="nil"/>
              <w:bottom w:val="single" w:sz="4" w:space="0" w:color="auto"/>
              <w:right w:val="single" w:sz="4" w:space="0" w:color="auto"/>
            </w:tcBorders>
            <w:noWrap/>
            <w:vAlign w:val="center"/>
            <w:hideMark/>
          </w:tcPr>
          <w:p w14:paraId="483B4A1B" w14:textId="77777777" w:rsidR="005A6506" w:rsidRPr="00BD7F00" w:rsidRDefault="005A6506" w:rsidP="00AA12E3">
            <w:pPr>
              <w:jc w:val="left"/>
              <w:rPr>
                <w:sz w:val="22"/>
                <w:szCs w:val="22"/>
                <w:lang w:eastAsia="es-ES"/>
              </w:rPr>
            </w:pPr>
            <w:r w:rsidRPr="00BD7F00">
              <w:rPr>
                <w:sz w:val="22"/>
                <w:szCs w:val="22"/>
                <w:lang w:eastAsia="es-ES"/>
              </w:rPr>
              <w:t>Ordeño</w:t>
            </w:r>
          </w:p>
        </w:tc>
        <w:tc>
          <w:tcPr>
            <w:tcW w:w="1119" w:type="dxa"/>
            <w:gridSpan w:val="2"/>
            <w:tcBorders>
              <w:top w:val="nil"/>
              <w:left w:val="nil"/>
              <w:bottom w:val="single" w:sz="4" w:space="0" w:color="auto"/>
              <w:right w:val="single" w:sz="4" w:space="0" w:color="auto"/>
            </w:tcBorders>
            <w:noWrap/>
            <w:vAlign w:val="center"/>
            <w:hideMark/>
          </w:tcPr>
          <w:p w14:paraId="2596D7E9" w14:textId="77777777" w:rsidR="005A6506" w:rsidRPr="00BD7F00" w:rsidRDefault="005A6506" w:rsidP="00AA12E3">
            <w:pPr>
              <w:jc w:val="center"/>
              <w:rPr>
                <w:sz w:val="22"/>
                <w:szCs w:val="22"/>
                <w:lang w:eastAsia="es-ES"/>
              </w:rPr>
            </w:pPr>
            <w:r w:rsidRPr="00BD7F00">
              <w:rPr>
                <w:sz w:val="22"/>
                <w:szCs w:val="22"/>
                <w:lang w:eastAsia="es-ES"/>
              </w:rPr>
              <w:t>38.607</w:t>
            </w:r>
          </w:p>
        </w:tc>
        <w:tc>
          <w:tcPr>
            <w:tcW w:w="1214" w:type="dxa"/>
            <w:gridSpan w:val="2"/>
            <w:tcBorders>
              <w:top w:val="nil"/>
              <w:left w:val="nil"/>
              <w:bottom w:val="single" w:sz="4" w:space="0" w:color="auto"/>
              <w:right w:val="single" w:sz="4" w:space="0" w:color="auto"/>
            </w:tcBorders>
            <w:shd w:val="clear" w:color="000000" w:fill="FFFFFF"/>
            <w:noWrap/>
            <w:vAlign w:val="bottom"/>
            <w:hideMark/>
          </w:tcPr>
          <w:p w14:paraId="26E5C0EA" w14:textId="77777777" w:rsidR="005A6506" w:rsidRPr="00BD7F00" w:rsidRDefault="005A6506" w:rsidP="00AA12E3">
            <w:pPr>
              <w:jc w:val="right"/>
              <w:rPr>
                <w:sz w:val="22"/>
                <w:szCs w:val="22"/>
                <w:lang w:eastAsia="es-ES"/>
              </w:rPr>
            </w:pPr>
            <w:r w:rsidRPr="00BD7F00">
              <w:rPr>
                <w:sz w:val="22"/>
                <w:szCs w:val="22"/>
                <w:lang w:eastAsia="es-ES"/>
              </w:rPr>
              <w:t>42.588</w:t>
            </w:r>
          </w:p>
        </w:tc>
        <w:tc>
          <w:tcPr>
            <w:tcW w:w="1012" w:type="dxa"/>
            <w:gridSpan w:val="2"/>
            <w:tcBorders>
              <w:top w:val="nil"/>
              <w:left w:val="nil"/>
              <w:bottom w:val="single" w:sz="4" w:space="0" w:color="auto"/>
              <w:right w:val="single" w:sz="4" w:space="0" w:color="auto"/>
            </w:tcBorders>
            <w:noWrap/>
            <w:vAlign w:val="bottom"/>
            <w:hideMark/>
          </w:tcPr>
          <w:p w14:paraId="57269E7C" w14:textId="77777777" w:rsidR="005A6506" w:rsidRPr="00BD7F00" w:rsidRDefault="005A6506" w:rsidP="00AA12E3">
            <w:pPr>
              <w:jc w:val="right"/>
              <w:rPr>
                <w:sz w:val="22"/>
                <w:szCs w:val="22"/>
                <w:lang w:eastAsia="es-ES"/>
              </w:rPr>
            </w:pPr>
            <w:r w:rsidRPr="00BD7F00">
              <w:rPr>
                <w:sz w:val="22"/>
                <w:szCs w:val="22"/>
                <w:lang w:eastAsia="es-ES"/>
              </w:rPr>
              <w:t>10,31</w:t>
            </w:r>
          </w:p>
        </w:tc>
      </w:tr>
      <w:tr w:rsidR="00BD7F00" w:rsidRPr="00BD7F00" w14:paraId="2A66F845" w14:textId="77777777" w:rsidTr="00A2499D">
        <w:trPr>
          <w:trHeight w:val="249"/>
        </w:trPr>
        <w:tc>
          <w:tcPr>
            <w:tcW w:w="1418" w:type="dxa"/>
            <w:vMerge/>
            <w:tcBorders>
              <w:top w:val="nil"/>
              <w:left w:val="single" w:sz="4" w:space="0" w:color="auto"/>
              <w:bottom w:val="single" w:sz="4" w:space="0" w:color="auto"/>
              <w:right w:val="single" w:sz="4" w:space="0" w:color="auto"/>
            </w:tcBorders>
            <w:vAlign w:val="center"/>
            <w:hideMark/>
          </w:tcPr>
          <w:p w14:paraId="70D7A64A" w14:textId="77777777" w:rsidR="005A6506" w:rsidRPr="00BD7F00" w:rsidRDefault="005A6506" w:rsidP="00AA12E3">
            <w:pPr>
              <w:jc w:val="left"/>
              <w:rPr>
                <w:sz w:val="22"/>
                <w:szCs w:val="22"/>
                <w:lang w:eastAsia="es-ES"/>
              </w:rPr>
            </w:pPr>
          </w:p>
        </w:tc>
        <w:tc>
          <w:tcPr>
            <w:tcW w:w="1276" w:type="dxa"/>
            <w:vMerge/>
            <w:tcBorders>
              <w:top w:val="nil"/>
              <w:left w:val="single" w:sz="4" w:space="0" w:color="auto"/>
              <w:bottom w:val="single" w:sz="4" w:space="0" w:color="auto"/>
              <w:right w:val="single" w:sz="4" w:space="0" w:color="auto"/>
            </w:tcBorders>
            <w:vAlign w:val="center"/>
            <w:hideMark/>
          </w:tcPr>
          <w:p w14:paraId="1C136862" w14:textId="77777777" w:rsidR="005A6506" w:rsidRPr="00BD7F00" w:rsidRDefault="005A6506" w:rsidP="00AA12E3">
            <w:pPr>
              <w:jc w:val="left"/>
              <w:rPr>
                <w:sz w:val="22"/>
                <w:szCs w:val="22"/>
                <w:lang w:eastAsia="es-ES"/>
              </w:rPr>
            </w:pPr>
          </w:p>
        </w:tc>
        <w:tc>
          <w:tcPr>
            <w:tcW w:w="1275" w:type="dxa"/>
            <w:vMerge/>
            <w:tcBorders>
              <w:top w:val="nil"/>
              <w:left w:val="single" w:sz="4" w:space="0" w:color="auto"/>
              <w:bottom w:val="single" w:sz="4" w:space="0" w:color="auto"/>
              <w:right w:val="single" w:sz="4" w:space="0" w:color="auto"/>
            </w:tcBorders>
            <w:vAlign w:val="center"/>
            <w:hideMark/>
          </w:tcPr>
          <w:p w14:paraId="2F98490D" w14:textId="77777777" w:rsidR="005A6506" w:rsidRPr="00BD7F00" w:rsidRDefault="005A6506" w:rsidP="00AA12E3">
            <w:pPr>
              <w:jc w:val="left"/>
              <w:rPr>
                <w:sz w:val="22"/>
                <w:szCs w:val="22"/>
                <w:lang w:eastAsia="es-ES"/>
              </w:rPr>
            </w:pPr>
          </w:p>
        </w:tc>
        <w:tc>
          <w:tcPr>
            <w:tcW w:w="908" w:type="dxa"/>
            <w:tcBorders>
              <w:top w:val="nil"/>
              <w:left w:val="nil"/>
              <w:bottom w:val="single" w:sz="4" w:space="0" w:color="auto"/>
              <w:right w:val="single" w:sz="4" w:space="0" w:color="auto"/>
            </w:tcBorders>
            <w:noWrap/>
            <w:vAlign w:val="center"/>
            <w:hideMark/>
          </w:tcPr>
          <w:p w14:paraId="00373C36" w14:textId="77777777" w:rsidR="005A6506" w:rsidRPr="00BD7F00" w:rsidRDefault="005A6506" w:rsidP="00AA12E3">
            <w:pPr>
              <w:jc w:val="left"/>
              <w:rPr>
                <w:sz w:val="22"/>
                <w:szCs w:val="22"/>
                <w:lang w:eastAsia="es-ES"/>
              </w:rPr>
            </w:pPr>
            <w:r w:rsidRPr="00BD7F00">
              <w:rPr>
                <w:sz w:val="22"/>
                <w:szCs w:val="22"/>
                <w:lang w:eastAsia="es-ES"/>
              </w:rPr>
              <w:t>No ordeño</w:t>
            </w:r>
          </w:p>
        </w:tc>
        <w:tc>
          <w:tcPr>
            <w:tcW w:w="1119" w:type="dxa"/>
            <w:gridSpan w:val="2"/>
            <w:tcBorders>
              <w:top w:val="nil"/>
              <w:left w:val="nil"/>
              <w:bottom w:val="single" w:sz="4" w:space="0" w:color="auto"/>
              <w:right w:val="single" w:sz="4" w:space="0" w:color="auto"/>
            </w:tcBorders>
            <w:noWrap/>
            <w:vAlign w:val="center"/>
            <w:hideMark/>
          </w:tcPr>
          <w:p w14:paraId="620D97D7" w14:textId="77777777" w:rsidR="005A6506" w:rsidRPr="00BD7F00" w:rsidRDefault="005A6506" w:rsidP="00AA12E3">
            <w:pPr>
              <w:jc w:val="center"/>
              <w:rPr>
                <w:sz w:val="22"/>
                <w:szCs w:val="22"/>
                <w:lang w:eastAsia="es-ES"/>
              </w:rPr>
            </w:pPr>
            <w:r w:rsidRPr="00BD7F00">
              <w:rPr>
                <w:sz w:val="22"/>
                <w:szCs w:val="22"/>
                <w:lang w:eastAsia="es-ES"/>
              </w:rPr>
              <w:t>76.067</w:t>
            </w:r>
          </w:p>
        </w:tc>
        <w:tc>
          <w:tcPr>
            <w:tcW w:w="1214" w:type="dxa"/>
            <w:gridSpan w:val="2"/>
            <w:tcBorders>
              <w:top w:val="nil"/>
              <w:left w:val="nil"/>
              <w:bottom w:val="single" w:sz="4" w:space="0" w:color="auto"/>
              <w:right w:val="single" w:sz="4" w:space="0" w:color="auto"/>
            </w:tcBorders>
            <w:shd w:val="clear" w:color="000000" w:fill="FFFFFF"/>
            <w:noWrap/>
            <w:vAlign w:val="bottom"/>
            <w:hideMark/>
          </w:tcPr>
          <w:p w14:paraId="3E870419" w14:textId="77777777" w:rsidR="005A6506" w:rsidRPr="00BD7F00" w:rsidRDefault="005A6506" w:rsidP="00AA12E3">
            <w:pPr>
              <w:jc w:val="right"/>
              <w:rPr>
                <w:sz w:val="22"/>
                <w:szCs w:val="22"/>
                <w:lang w:eastAsia="es-ES"/>
              </w:rPr>
            </w:pPr>
            <w:r w:rsidRPr="00BD7F00">
              <w:rPr>
                <w:sz w:val="22"/>
                <w:szCs w:val="22"/>
                <w:lang w:eastAsia="es-ES"/>
              </w:rPr>
              <w:t>48.563</w:t>
            </w:r>
          </w:p>
        </w:tc>
        <w:tc>
          <w:tcPr>
            <w:tcW w:w="1012" w:type="dxa"/>
            <w:gridSpan w:val="2"/>
            <w:tcBorders>
              <w:top w:val="nil"/>
              <w:left w:val="nil"/>
              <w:bottom w:val="single" w:sz="4" w:space="0" w:color="auto"/>
              <w:right w:val="single" w:sz="4" w:space="0" w:color="auto"/>
            </w:tcBorders>
            <w:noWrap/>
            <w:vAlign w:val="bottom"/>
            <w:hideMark/>
          </w:tcPr>
          <w:p w14:paraId="5CB51802" w14:textId="77777777" w:rsidR="005A6506" w:rsidRPr="00BD7F00" w:rsidRDefault="005A6506" w:rsidP="00AA12E3">
            <w:pPr>
              <w:jc w:val="right"/>
              <w:rPr>
                <w:sz w:val="22"/>
                <w:szCs w:val="22"/>
                <w:lang w:eastAsia="es-ES"/>
              </w:rPr>
            </w:pPr>
            <w:r w:rsidRPr="00BD7F00">
              <w:rPr>
                <w:sz w:val="22"/>
                <w:szCs w:val="22"/>
                <w:lang w:eastAsia="es-ES"/>
              </w:rPr>
              <w:t>-36,16</w:t>
            </w:r>
          </w:p>
        </w:tc>
      </w:tr>
      <w:tr w:rsidR="00BD7F00" w:rsidRPr="00BD7F00" w14:paraId="268FDEED" w14:textId="77777777" w:rsidTr="00A2499D">
        <w:trPr>
          <w:trHeight w:val="249"/>
        </w:trPr>
        <w:tc>
          <w:tcPr>
            <w:tcW w:w="1418" w:type="dxa"/>
            <w:vMerge/>
            <w:tcBorders>
              <w:top w:val="nil"/>
              <w:left w:val="single" w:sz="4" w:space="0" w:color="auto"/>
              <w:bottom w:val="single" w:sz="4" w:space="0" w:color="auto"/>
              <w:right w:val="single" w:sz="4" w:space="0" w:color="auto"/>
            </w:tcBorders>
            <w:vAlign w:val="center"/>
            <w:hideMark/>
          </w:tcPr>
          <w:p w14:paraId="4B4F25FD" w14:textId="77777777" w:rsidR="005A6506" w:rsidRPr="00BD7F00" w:rsidRDefault="005A6506" w:rsidP="00AA12E3">
            <w:pPr>
              <w:jc w:val="left"/>
              <w:rPr>
                <w:sz w:val="22"/>
                <w:szCs w:val="22"/>
                <w:lang w:eastAsia="es-ES"/>
              </w:rPr>
            </w:pPr>
          </w:p>
        </w:tc>
        <w:tc>
          <w:tcPr>
            <w:tcW w:w="255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36713A38" w14:textId="77777777" w:rsidR="005A6506" w:rsidRPr="00BD7F00" w:rsidRDefault="005A6506" w:rsidP="00AA12E3">
            <w:pPr>
              <w:jc w:val="left"/>
              <w:rPr>
                <w:sz w:val="22"/>
                <w:szCs w:val="22"/>
                <w:lang w:eastAsia="es-ES"/>
              </w:rPr>
            </w:pPr>
            <w:r w:rsidRPr="00BD7F00">
              <w:rPr>
                <w:sz w:val="22"/>
                <w:szCs w:val="22"/>
                <w:lang w:eastAsia="es-ES"/>
              </w:rPr>
              <w:t>Que ya han parido</w:t>
            </w:r>
          </w:p>
        </w:tc>
        <w:tc>
          <w:tcPr>
            <w:tcW w:w="908" w:type="dxa"/>
            <w:tcBorders>
              <w:top w:val="nil"/>
              <w:left w:val="nil"/>
              <w:bottom w:val="single" w:sz="4" w:space="0" w:color="auto"/>
              <w:right w:val="single" w:sz="4" w:space="0" w:color="auto"/>
            </w:tcBorders>
            <w:noWrap/>
            <w:vAlign w:val="center"/>
            <w:hideMark/>
          </w:tcPr>
          <w:p w14:paraId="30D351FB" w14:textId="77777777" w:rsidR="005A6506" w:rsidRPr="00BD7F00" w:rsidRDefault="005A6506" w:rsidP="00AA12E3">
            <w:pPr>
              <w:jc w:val="left"/>
              <w:rPr>
                <w:sz w:val="22"/>
                <w:szCs w:val="22"/>
                <w:lang w:eastAsia="es-ES"/>
              </w:rPr>
            </w:pPr>
            <w:r w:rsidRPr="00BD7F00">
              <w:rPr>
                <w:sz w:val="22"/>
                <w:szCs w:val="22"/>
                <w:lang w:eastAsia="es-ES"/>
              </w:rPr>
              <w:t>Ordeño</w:t>
            </w:r>
          </w:p>
        </w:tc>
        <w:tc>
          <w:tcPr>
            <w:tcW w:w="1119" w:type="dxa"/>
            <w:gridSpan w:val="2"/>
            <w:tcBorders>
              <w:top w:val="nil"/>
              <w:left w:val="nil"/>
              <w:bottom w:val="single" w:sz="4" w:space="0" w:color="auto"/>
              <w:right w:val="single" w:sz="4" w:space="0" w:color="auto"/>
            </w:tcBorders>
            <w:noWrap/>
            <w:vAlign w:val="center"/>
            <w:hideMark/>
          </w:tcPr>
          <w:p w14:paraId="35FCE9A5" w14:textId="77777777" w:rsidR="005A6506" w:rsidRPr="00BD7F00" w:rsidRDefault="005A6506" w:rsidP="00AA12E3">
            <w:pPr>
              <w:jc w:val="center"/>
              <w:rPr>
                <w:sz w:val="22"/>
                <w:szCs w:val="22"/>
                <w:lang w:eastAsia="es-ES"/>
              </w:rPr>
            </w:pPr>
            <w:r w:rsidRPr="00BD7F00">
              <w:rPr>
                <w:sz w:val="22"/>
                <w:szCs w:val="22"/>
                <w:lang w:eastAsia="es-ES"/>
              </w:rPr>
              <w:t>725.780</w:t>
            </w:r>
          </w:p>
        </w:tc>
        <w:tc>
          <w:tcPr>
            <w:tcW w:w="1214" w:type="dxa"/>
            <w:gridSpan w:val="2"/>
            <w:tcBorders>
              <w:top w:val="nil"/>
              <w:left w:val="nil"/>
              <w:bottom w:val="single" w:sz="4" w:space="0" w:color="auto"/>
              <w:right w:val="single" w:sz="4" w:space="0" w:color="auto"/>
            </w:tcBorders>
            <w:shd w:val="clear" w:color="000000" w:fill="FFFFFF"/>
            <w:noWrap/>
            <w:vAlign w:val="bottom"/>
            <w:hideMark/>
          </w:tcPr>
          <w:p w14:paraId="429C2227" w14:textId="77777777" w:rsidR="005A6506" w:rsidRPr="00BD7F00" w:rsidRDefault="005A6506" w:rsidP="00AA12E3">
            <w:pPr>
              <w:jc w:val="right"/>
              <w:rPr>
                <w:sz w:val="22"/>
                <w:szCs w:val="22"/>
                <w:lang w:eastAsia="es-ES"/>
              </w:rPr>
            </w:pPr>
            <w:r w:rsidRPr="00BD7F00">
              <w:rPr>
                <w:sz w:val="22"/>
                <w:szCs w:val="22"/>
                <w:lang w:eastAsia="es-ES"/>
              </w:rPr>
              <w:t>765.100</w:t>
            </w:r>
          </w:p>
        </w:tc>
        <w:tc>
          <w:tcPr>
            <w:tcW w:w="1012" w:type="dxa"/>
            <w:gridSpan w:val="2"/>
            <w:tcBorders>
              <w:top w:val="nil"/>
              <w:left w:val="nil"/>
              <w:bottom w:val="single" w:sz="4" w:space="0" w:color="auto"/>
              <w:right w:val="single" w:sz="4" w:space="0" w:color="auto"/>
            </w:tcBorders>
            <w:noWrap/>
            <w:vAlign w:val="bottom"/>
            <w:hideMark/>
          </w:tcPr>
          <w:p w14:paraId="7AD70962" w14:textId="77777777" w:rsidR="005A6506" w:rsidRPr="00BD7F00" w:rsidRDefault="005A6506" w:rsidP="00AA12E3">
            <w:pPr>
              <w:jc w:val="right"/>
              <w:rPr>
                <w:sz w:val="22"/>
                <w:szCs w:val="22"/>
                <w:lang w:eastAsia="es-ES"/>
              </w:rPr>
            </w:pPr>
            <w:r w:rsidRPr="00BD7F00">
              <w:rPr>
                <w:sz w:val="22"/>
                <w:szCs w:val="22"/>
                <w:lang w:eastAsia="es-ES"/>
              </w:rPr>
              <w:t>5,42</w:t>
            </w:r>
          </w:p>
        </w:tc>
      </w:tr>
      <w:tr w:rsidR="00BD7F00" w:rsidRPr="00BD7F00" w14:paraId="3FC005A7" w14:textId="77777777" w:rsidTr="00A2499D">
        <w:trPr>
          <w:trHeight w:val="249"/>
        </w:trPr>
        <w:tc>
          <w:tcPr>
            <w:tcW w:w="1418" w:type="dxa"/>
            <w:vMerge/>
            <w:tcBorders>
              <w:top w:val="nil"/>
              <w:left w:val="single" w:sz="4" w:space="0" w:color="auto"/>
              <w:bottom w:val="single" w:sz="4" w:space="0" w:color="auto"/>
              <w:right w:val="single" w:sz="4" w:space="0" w:color="auto"/>
            </w:tcBorders>
            <w:vAlign w:val="center"/>
            <w:hideMark/>
          </w:tcPr>
          <w:p w14:paraId="7867FA58" w14:textId="77777777" w:rsidR="005A6506" w:rsidRPr="00BD7F00" w:rsidRDefault="005A6506" w:rsidP="00AA12E3">
            <w:pPr>
              <w:jc w:val="left"/>
              <w:rPr>
                <w:sz w:val="22"/>
                <w:szCs w:val="22"/>
                <w:lang w:eastAsia="es-ES"/>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14:paraId="47FBF06A" w14:textId="77777777" w:rsidR="005A6506" w:rsidRPr="00BD7F00" w:rsidRDefault="005A6506" w:rsidP="00AA12E3">
            <w:pPr>
              <w:jc w:val="left"/>
              <w:rPr>
                <w:sz w:val="22"/>
                <w:szCs w:val="22"/>
                <w:lang w:eastAsia="es-ES"/>
              </w:rPr>
            </w:pPr>
          </w:p>
        </w:tc>
        <w:tc>
          <w:tcPr>
            <w:tcW w:w="908" w:type="dxa"/>
            <w:tcBorders>
              <w:top w:val="nil"/>
              <w:left w:val="nil"/>
              <w:bottom w:val="single" w:sz="4" w:space="0" w:color="auto"/>
              <w:right w:val="single" w:sz="4" w:space="0" w:color="auto"/>
            </w:tcBorders>
            <w:noWrap/>
            <w:vAlign w:val="center"/>
            <w:hideMark/>
          </w:tcPr>
          <w:p w14:paraId="2742E275" w14:textId="77777777" w:rsidR="005A6506" w:rsidRPr="00BD7F00" w:rsidRDefault="005A6506" w:rsidP="00AA12E3">
            <w:pPr>
              <w:jc w:val="left"/>
              <w:rPr>
                <w:sz w:val="22"/>
                <w:szCs w:val="22"/>
                <w:lang w:eastAsia="es-ES"/>
              </w:rPr>
            </w:pPr>
            <w:r w:rsidRPr="00BD7F00">
              <w:rPr>
                <w:sz w:val="22"/>
                <w:szCs w:val="22"/>
                <w:lang w:eastAsia="es-ES"/>
              </w:rPr>
              <w:t>No ordeño</w:t>
            </w:r>
          </w:p>
        </w:tc>
        <w:tc>
          <w:tcPr>
            <w:tcW w:w="1119" w:type="dxa"/>
            <w:gridSpan w:val="2"/>
            <w:tcBorders>
              <w:top w:val="nil"/>
              <w:left w:val="nil"/>
              <w:bottom w:val="single" w:sz="4" w:space="0" w:color="auto"/>
              <w:right w:val="single" w:sz="4" w:space="0" w:color="auto"/>
            </w:tcBorders>
            <w:noWrap/>
            <w:vAlign w:val="center"/>
            <w:hideMark/>
          </w:tcPr>
          <w:p w14:paraId="4BF67513" w14:textId="77777777" w:rsidR="005A6506" w:rsidRPr="00BD7F00" w:rsidRDefault="005A6506" w:rsidP="00AA12E3">
            <w:pPr>
              <w:jc w:val="center"/>
              <w:rPr>
                <w:sz w:val="22"/>
                <w:szCs w:val="22"/>
                <w:lang w:eastAsia="es-ES"/>
              </w:rPr>
            </w:pPr>
            <w:r w:rsidRPr="00BD7F00">
              <w:rPr>
                <w:sz w:val="22"/>
                <w:szCs w:val="22"/>
                <w:lang w:eastAsia="es-ES"/>
              </w:rPr>
              <w:t>865.281</w:t>
            </w:r>
          </w:p>
        </w:tc>
        <w:tc>
          <w:tcPr>
            <w:tcW w:w="1214" w:type="dxa"/>
            <w:gridSpan w:val="2"/>
            <w:tcBorders>
              <w:top w:val="nil"/>
              <w:left w:val="nil"/>
              <w:bottom w:val="single" w:sz="4" w:space="0" w:color="auto"/>
              <w:right w:val="single" w:sz="4" w:space="0" w:color="auto"/>
            </w:tcBorders>
            <w:shd w:val="clear" w:color="000000" w:fill="FFFFFF"/>
            <w:noWrap/>
            <w:vAlign w:val="bottom"/>
            <w:hideMark/>
          </w:tcPr>
          <w:p w14:paraId="48F63A2F" w14:textId="77777777" w:rsidR="005A6506" w:rsidRPr="00BD7F00" w:rsidRDefault="005A6506" w:rsidP="00AA12E3">
            <w:pPr>
              <w:jc w:val="right"/>
              <w:rPr>
                <w:sz w:val="22"/>
                <w:szCs w:val="22"/>
                <w:lang w:eastAsia="es-ES"/>
              </w:rPr>
            </w:pPr>
            <w:r w:rsidRPr="00BD7F00">
              <w:rPr>
                <w:sz w:val="22"/>
                <w:szCs w:val="22"/>
                <w:lang w:eastAsia="es-ES"/>
              </w:rPr>
              <w:t>858.557</w:t>
            </w:r>
          </w:p>
        </w:tc>
        <w:tc>
          <w:tcPr>
            <w:tcW w:w="1012" w:type="dxa"/>
            <w:gridSpan w:val="2"/>
            <w:tcBorders>
              <w:top w:val="nil"/>
              <w:left w:val="nil"/>
              <w:bottom w:val="single" w:sz="4" w:space="0" w:color="auto"/>
              <w:right w:val="single" w:sz="4" w:space="0" w:color="auto"/>
            </w:tcBorders>
            <w:noWrap/>
            <w:vAlign w:val="bottom"/>
            <w:hideMark/>
          </w:tcPr>
          <w:p w14:paraId="29230693" w14:textId="77777777" w:rsidR="005A6506" w:rsidRPr="00BD7F00" w:rsidRDefault="005A6506" w:rsidP="00AA12E3">
            <w:pPr>
              <w:jc w:val="right"/>
              <w:rPr>
                <w:sz w:val="22"/>
                <w:szCs w:val="22"/>
                <w:lang w:eastAsia="es-ES"/>
              </w:rPr>
            </w:pPr>
            <w:r w:rsidRPr="00BD7F00">
              <w:rPr>
                <w:sz w:val="22"/>
                <w:szCs w:val="22"/>
                <w:lang w:eastAsia="es-ES"/>
              </w:rPr>
              <w:t>-0,78</w:t>
            </w:r>
          </w:p>
        </w:tc>
      </w:tr>
    </w:tbl>
    <w:p w14:paraId="5BEECC04" w14:textId="77777777" w:rsidR="00BA32C4" w:rsidRPr="00BD7F00" w:rsidRDefault="00BA32C4" w:rsidP="00AA12E3">
      <w:pPr>
        <w:spacing w:before="240"/>
        <w:ind w:left="284"/>
        <w:jc w:val="center"/>
        <w:rPr>
          <w:sz w:val="16"/>
          <w:szCs w:val="16"/>
        </w:rPr>
      </w:pPr>
    </w:p>
    <w:p w14:paraId="5437EF41" w14:textId="77777777" w:rsidR="00A578D8" w:rsidRDefault="00A578D8" w:rsidP="00AA12E3">
      <w:pPr>
        <w:spacing w:before="240"/>
        <w:ind w:left="284"/>
        <w:jc w:val="center"/>
        <w:rPr>
          <w:sz w:val="16"/>
          <w:szCs w:val="16"/>
        </w:rPr>
      </w:pPr>
    </w:p>
    <w:p w14:paraId="0973D1CF" w14:textId="77777777" w:rsidR="00A578D8" w:rsidRDefault="00A578D8" w:rsidP="00AA12E3">
      <w:pPr>
        <w:spacing w:before="240"/>
        <w:ind w:left="284"/>
        <w:jc w:val="center"/>
        <w:rPr>
          <w:sz w:val="16"/>
          <w:szCs w:val="16"/>
        </w:rPr>
      </w:pPr>
    </w:p>
    <w:p w14:paraId="44A59FC0" w14:textId="00E26CC7" w:rsidR="005A6506" w:rsidRPr="00BD7F00" w:rsidRDefault="005A6506" w:rsidP="00AA12E3">
      <w:pPr>
        <w:spacing w:before="240"/>
        <w:rPr>
          <w:sz w:val="16"/>
          <w:szCs w:val="16"/>
        </w:rPr>
      </w:pPr>
      <w:r w:rsidRPr="00BD7F00">
        <w:rPr>
          <w:sz w:val="16"/>
          <w:szCs w:val="16"/>
        </w:rPr>
        <w:t>Fuente: Elaboración propia a partir de las encuestas ganaderas del Ministerio de Agricultura, Pesca y Alimentación</w:t>
      </w:r>
    </w:p>
    <w:p w14:paraId="28BB1BFC" w14:textId="77777777" w:rsidR="00F125FD" w:rsidRPr="00BD7F00" w:rsidRDefault="00F125FD" w:rsidP="00AA12E3"/>
    <w:p w14:paraId="20E55B54" w14:textId="77777777" w:rsidR="00AA12E3" w:rsidRDefault="00AA12E3" w:rsidP="00AA12E3"/>
    <w:p w14:paraId="67990194" w14:textId="2A8DE70B" w:rsidR="00857F3D" w:rsidRPr="00F8655E" w:rsidRDefault="00F125FD" w:rsidP="00AA12E3">
      <w:pPr>
        <w:rPr>
          <w:sz w:val="20"/>
          <w:szCs w:val="20"/>
          <w:lang w:eastAsia="es-ES"/>
        </w:rPr>
      </w:pPr>
      <w:r w:rsidRPr="00BD7F00">
        <w:t xml:space="preserve">De la </w:t>
      </w:r>
      <w:r w:rsidRPr="00BD7F00">
        <w:rPr>
          <w:b/>
          <w:bCs/>
        </w:rPr>
        <w:t>especie caprina</w:t>
      </w:r>
      <w:r w:rsidR="00F8655E">
        <w:rPr>
          <w:b/>
          <w:bCs/>
        </w:rPr>
        <w:t>,</w:t>
      </w:r>
      <w:r w:rsidRPr="00BD7F00">
        <w:t xml:space="preserve"> </w:t>
      </w:r>
      <w:r w:rsidR="00F8655E">
        <w:t>según el último</w:t>
      </w:r>
      <w:r w:rsidRPr="00BD7F00">
        <w:t xml:space="preserve"> censo</w:t>
      </w:r>
      <w:r w:rsidR="00F8655E">
        <w:t xml:space="preserve"> disponible</w:t>
      </w:r>
      <w:r w:rsidRPr="00BD7F00">
        <w:t xml:space="preserve">, </w:t>
      </w:r>
      <w:r w:rsidR="006B7922">
        <w:t>en</w:t>
      </w:r>
      <w:r w:rsidRPr="00BD7F00">
        <w:t xml:space="preserve"> noviembre de 202</w:t>
      </w:r>
      <w:r w:rsidR="00857F3D" w:rsidRPr="00BD7F00">
        <w:t>4</w:t>
      </w:r>
      <w:r w:rsidRPr="00BD7F00">
        <w:t xml:space="preserve"> </w:t>
      </w:r>
      <w:r w:rsidR="006B7922">
        <w:t xml:space="preserve">había </w:t>
      </w:r>
      <w:r w:rsidR="00857F3D" w:rsidRPr="00BD7F00">
        <w:t>132.676</w:t>
      </w:r>
      <w:r w:rsidRPr="00BD7F00">
        <w:t xml:space="preserve"> animales, </w:t>
      </w:r>
      <w:r w:rsidR="00857F3D" w:rsidRPr="00BD7F00">
        <w:t>un 2,03% menos respecto al año anterior.</w:t>
      </w:r>
    </w:p>
    <w:p w14:paraId="19CC62C2" w14:textId="250C087E" w:rsidR="00BD49C5" w:rsidRDefault="00F125FD" w:rsidP="00AA12E3">
      <w:r w:rsidRPr="00BD7F00">
        <w:t>Castilla y León es la sexta región en importancia, con un 5,</w:t>
      </w:r>
      <w:r w:rsidR="00857F3D" w:rsidRPr="00BD7F00">
        <w:t>62</w:t>
      </w:r>
      <w:r w:rsidRPr="00BD7F00">
        <w:t>% de la cabaña ganadera nacional, a gran distancia de la primera, que es Andalucía con un 3</w:t>
      </w:r>
      <w:r w:rsidR="00857F3D" w:rsidRPr="00BD7F00">
        <w:t>5</w:t>
      </w:r>
      <w:r w:rsidRPr="00BD7F00">
        <w:t>,13%.</w:t>
      </w:r>
    </w:p>
    <w:p w14:paraId="3F8D4B48" w14:textId="77777777" w:rsidR="00AA12E3" w:rsidRPr="00BD7F00" w:rsidRDefault="00AA12E3" w:rsidP="00AA12E3"/>
    <w:p w14:paraId="6C85A6B7" w14:textId="10490DF1" w:rsidR="00BD49C5" w:rsidRPr="00BD7F00" w:rsidRDefault="00BD49C5" w:rsidP="00AA12E3">
      <w:pPr>
        <w:ind w:right="-172"/>
        <w:jc w:val="center"/>
        <w:rPr>
          <w:sz w:val="16"/>
          <w:szCs w:val="16"/>
        </w:rPr>
      </w:pPr>
    </w:p>
    <w:tbl>
      <w:tblPr>
        <w:tblW w:w="8623" w:type="dxa"/>
        <w:tblCellMar>
          <w:left w:w="70" w:type="dxa"/>
          <w:right w:w="70" w:type="dxa"/>
        </w:tblCellMar>
        <w:tblLook w:val="04A0" w:firstRow="1" w:lastRow="0" w:firstColumn="1" w:lastColumn="0" w:noHBand="0" w:noVBand="1"/>
      </w:tblPr>
      <w:tblGrid>
        <w:gridCol w:w="1879"/>
        <w:gridCol w:w="1822"/>
        <w:gridCol w:w="1541"/>
        <w:gridCol w:w="1127"/>
        <w:gridCol w:w="1127"/>
        <w:gridCol w:w="1127"/>
      </w:tblGrid>
      <w:tr w:rsidR="00BD7F00" w:rsidRPr="00BD7F00" w14:paraId="49648D69" w14:textId="77777777" w:rsidTr="0012030B">
        <w:trPr>
          <w:trHeight w:val="298"/>
        </w:trPr>
        <w:tc>
          <w:tcPr>
            <w:tcW w:w="1879" w:type="dxa"/>
            <w:tcBorders>
              <w:top w:val="nil"/>
              <w:left w:val="nil"/>
              <w:bottom w:val="nil"/>
              <w:right w:val="nil"/>
            </w:tcBorders>
            <w:noWrap/>
            <w:vAlign w:val="bottom"/>
            <w:hideMark/>
          </w:tcPr>
          <w:p w14:paraId="10388307" w14:textId="77777777" w:rsidR="00BD49C5" w:rsidRPr="00BD7F00" w:rsidRDefault="00BD49C5" w:rsidP="00AA12E3">
            <w:pPr>
              <w:jc w:val="left"/>
              <w:rPr>
                <w:sz w:val="20"/>
                <w:szCs w:val="20"/>
                <w:lang w:eastAsia="es-ES"/>
              </w:rPr>
            </w:pPr>
          </w:p>
        </w:tc>
        <w:tc>
          <w:tcPr>
            <w:tcW w:w="1822" w:type="dxa"/>
            <w:tcBorders>
              <w:top w:val="nil"/>
              <w:left w:val="nil"/>
              <w:bottom w:val="nil"/>
              <w:right w:val="nil"/>
            </w:tcBorders>
            <w:noWrap/>
            <w:vAlign w:val="bottom"/>
            <w:hideMark/>
          </w:tcPr>
          <w:p w14:paraId="63076002" w14:textId="77777777" w:rsidR="00BD49C5" w:rsidRPr="00BD7F00" w:rsidRDefault="00BD49C5" w:rsidP="00AA12E3">
            <w:pPr>
              <w:jc w:val="left"/>
              <w:rPr>
                <w:sz w:val="20"/>
                <w:szCs w:val="20"/>
                <w:lang w:eastAsia="es-ES"/>
              </w:rPr>
            </w:pPr>
          </w:p>
        </w:tc>
        <w:tc>
          <w:tcPr>
            <w:tcW w:w="1540" w:type="dxa"/>
            <w:tcBorders>
              <w:top w:val="nil"/>
              <w:left w:val="nil"/>
              <w:bottom w:val="nil"/>
              <w:right w:val="nil"/>
            </w:tcBorders>
            <w:noWrap/>
            <w:vAlign w:val="bottom"/>
            <w:hideMark/>
          </w:tcPr>
          <w:p w14:paraId="2CFB1CF8" w14:textId="77777777" w:rsidR="00BD49C5" w:rsidRPr="00BD7F00" w:rsidRDefault="00BD49C5" w:rsidP="00AA12E3">
            <w:pPr>
              <w:jc w:val="left"/>
              <w:rPr>
                <w:sz w:val="20"/>
                <w:szCs w:val="20"/>
                <w:lang w:eastAsia="es-ES"/>
              </w:rPr>
            </w:pPr>
          </w:p>
        </w:tc>
        <w:tc>
          <w:tcPr>
            <w:tcW w:w="1127" w:type="dxa"/>
            <w:tcBorders>
              <w:top w:val="single" w:sz="8" w:space="0" w:color="auto"/>
              <w:left w:val="single" w:sz="8" w:space="0" w:color="auto"/>
              <w:bottom w:val="single" w:sz="8" w:space="0" w:color="auto"/>
              <w:right w:val="single" w:sz="4" w:space="0" w:color="auto"/>
            </w:tcBorders>
            <w:noWrap/>
            <w:vAlign w:val="bottom"/>
            <w:hideMark/>
          </w:tcPr>
          <w:p w14:paraId="389333AE" w14:textId="77777777" w:rsidR="00BD49C5" w:rsidRPr="00BD7F00" w:rsidRDefault="00BD49C5" w:rsidP="00AA12E3">
            <w:pPr>
              <w:jc w:val="center"/>
              <w:rPr>
                <w:b/>
                <w:bCs/>
                <w:sz w:val="20"/>
                <w:szCs w:val="20"/>
                <w:lang w:eastAsia="es-ES"/>
              </w:rPr>
            </w:pPr>
            <w:r w:rsidRPr="00BD7F00">
              <w:rPr>
                <w:b/>
                <w:bCs/>
                <w:sz w:val="20"/>
                <w:szCs w:val="20"/>
                <w:lang w:eastAsia="es-ES"/>
              </w:rPr>
              <w:t>2023</w:t>
            </w:r>
          </w:p>
        </w:tc>
        <w:tc>
          <w:tcPr>
            <w:tcW w:w="1127" w:type="dxa"/>
            <w:tcBorders>
              <w:top w:val="single" w:sz="8" w:space="0" w:color="auto"/>
              <w:left w:val="nil"/>
              <w:bottom w:val="single" w:sz="8" w:space="0" w:color="auto"/>
              <w:right w:val="single" w:sz="4" w:space="0" w:color="auto"/>
            </w:tcBorders>
            <w:noWrap/>
            <w:vAlign w:val="bottom"/>
            <w:hideMark/>
          </w:tcPr>
          <w:p w14:paraId="02326F09" w14:textId="77777777" w:rsidR="00BD49C5" w:rsidRPr="00BD7F00" w:rsidRDefault="00BD49C5" w:rsidP="00AA12E3">
            <w:pPr>
              <w:jc w:val="center"/>
              <w:rPr>
                <w:b/>
                <w:bCs/>
                <w:sz w:val="20"/>
                <w:szCs w:val="20"/>
                <w:lang w:eastAsia="es-ES"/>
              </w:rPr>
            </w:pPr>
            <w:r w:rsidRPr="00BD7F00">
              <w:rPr>
                <w:b/>
                <w:bCs/>
                <w:sz w:val="20"/>
                <w:szCs w:val="20"/>
                <w:lang w:eastAsia="es-ES"/>
              </w:rPr>
              <w:t>2024</w:t>
            </w:r>
          </w:p>
        </w:tc>
        <w:tc>
          <w:tcPr>
            <w:tcW w:w="1127" w:type="dxa"/>
            <w:tcBorders>
              <w:top w:val="single" w:sz="8" w:space="0" w:color="auto"/>
              <w:left w:val="nil"/>
              <w:bottom w:val="single" w:sz="8" w:space="0" w:color="auto"/>
              <w:right w:val="single" w:sz="8" w:space="0" w:color="auto"/>
            </w:tcBorders>
            <w:noWrap/>
            <w:vAlign w:val="bottom"/>
            <w:hideMark/>
          </w:tcPr>
          <w:p w14:paraId="400CAFF9" w14:textId="77777777" w:rsidR="006F1CED" w:rsidRPr="00BD7F00" w:rsidRDefault="006F1CED" w:rsidP="00AA12E3">
            <w:pPr>
              <w:jc w:val="center"/>
              <w:rPr>
                <w:b/>
                <w:bCs/>
                <w:sz w:val="20"/>
                <w:szCs w:val="20"/>
                <w:lang w:eastAsia="es-ES"/>
              </w:rPr>
            </w:pPr>
          </w:p>
          <w:p w14:paraId="63DA510F" w14:textId="7FD8ED18" w:rsidR="00BD49C5" w:rsidRPr="00BD7F00" w:rsidRDefault="00BD49C5" w:rsidP="00AA12E3">
            <w:pPr>
              <w:jc w:val="center"/>
              <w:rPr>
                <w:b/>
                <w:bCs/>
                <w:sz w:val="20"/>
                <w:szCs w:val="20"/>
                <w:lang w:eastAsia="es-ES"/>
              </w:rPr>
            </w:pPr>
            <w:r w:rsidRPr="00BD7F00">
              <w:rPr>
                <w:b/>
                <w:bCs/>
                <w:sz w:val="20"/>
                <w:szCs w:val="20"/>
                <w:lang w:eastAsia="es-ES"/>
              </w:rPr>
              <w:t>Variación %</w:t>
            </w:r>
          </w:p>
        </w:tc>
      </w:tr>
      <w:tr w:rsidR="00BD7F00" w:rsidRPr="00BD7F00" w14:paraId="032BB9FC" w14:textId="77777777" w:rsidTr="0012030B">
        <w:trPr>
          <w:trHeight w:val="298"/>
        </w:trPr>
        <w:tc>
          <w:tcPr>
            <w:tcW w:w="5242" w:type="dxa"/>
            <w:gridSpan w:val="3"/>
            <w:tcBorders>
              <w:top w:val="single" w:sz="8" w:space="0" w:color="auto"/>
              <w:left w:val="single" w:sz="8" w:space="0" w:color="auto"/>
              <w:bottom w:val="single" w:sz="8" w:space="0" w:color="auto"/>
              <w:right w:val="nil"/>
            </w:tcBorders>
            <w:noWrap/>
            <w:vAlign w:val="center"/>
            <w:hideMark/>
          </w:tcPr>
          <w:p w14:paraId="3191C146" w14:textId="77777777" w:rsidR="00BD49C5" w:rsidRPr="00BD7F00" w:rsidRDefault="00BD49C5" w:rsidP="00AA12E3">
            <w:pPr>
              <w:jc w:val="left"/>
              <w:rPr>
                <w:b/>
                <w:bCs/>
                <w:sz w:val="22"/>
                <w:szCs w:val="22"/>
                <w:lang w:eastAsia="es-ES"/>
              </w:rPr>
            </w:pPr>
            <w:r w:rsidRPr="00BD7F00">
              <w:rPr>
                <w:b/>
                <w:bCs/>
                <w:sz w:val="22"/>
                <w:szCs w:val="22"/>
                <w:lang w:eastAsia="es-ES"/>
              </w:rPr>
              <w:t>Total</w:t>
            </w:r>
          </w:p>
        </w:tc>
        <w:tc>
          <w:tcPr>
            <w:tcW w:w="1127" w:type="dxa"/>
            <w:tcBorders>
              <w:top w:val="nil"/>
              <w:left w:val="single" w:sz="8" w:space="0" w:color="auto"/>
              <w:bottom w:val="single" w:sz="8" w:space="0" w:color="auto"/>
              <w:right w:val="single" w:sz="8" w:space="0" w:color="auto"/>
            </w:tcBorders>
            <w:noWrap/>
            <w:vAlign w:val="center"/>
            <w:hideMark/>
          </w:tcPr>
          <w:p w14:paraId="3FB062E3" w14:textId="77777777" w:rsidR="00BD49C5" w:rsidRPr="00BD7F00" w:rsidRDefault="00BD49C5" w:rsidP="00AA12E3">
            <w:pPr>
              <w:jc w:val="center"/>
              <w:rPr>
                <w:sz w:val="22"/>
                <w:szCs w:val="22"/>
                <w:lang w:eastAsia="es-ES"/>
              </w:rPr>
            </w:pPr>
            <w:r w:rsidRPr="00BD7F00">
              <w:rPr>
                <w:sz w:val="22"/>
                <w:szCs w:val="22"/>
                <w:lang w:eastAsia="es-ES"/>
              </w:rPr>
              <w:t>135.432</w:t>
            </w:r>
          </w:p>
        </w:tc>
        <w:tc>
          <w:tcPr>
            <w:tcW w:w="1127" w:type="dxa"/>
            <w:tcBorders>
              <w:top w:val="nil"/>
              <w:left w:val="nil"/>
              <w:bottom w:val="single" w:sz="8" w:space="0" w:color="auto"/>
              <w:right w:val="single" w:sz="8" w:space="0" w:color="auto"/>
            </w:tcBorders>
            <w:shd w:val="clear" w:color="000000" w:fill="FFFFFF"/>
            <w:noWrap/>
            <w:vAlign w:val="center"/>
            <w:hideMark/>
          </w:tcPr>
          <w:p w14:paraId="6CCE6ABD" w14:textId="77777777" w:rsidR="00BD49C5" w:rsidRPr="00BD7F00" w:rsidRDefault="00BD49C5" w:rsidP="00AA12E3">
            <w:pPr>
              <w:jc w:val="right"/>
              <w:rPr>
                <w:sz w:val="22"/>
                <w:szCs w:val="22"/>
                <w:lang w:eastAsia="es-ES"/>
              </w:rPr>
            </w:pPr>
            <w:r w:rsidRPr="00BD7F00">
              <w:rPr>
                <w:sz w:val="22"/>
                <w:szCs w:val="22"/>
                <w:lang w:eastAsia="es-ES"/>
              </w:rPr>
              <w:t>132.676</w:t>
            </w:r>
          </w:p>
        </w:tc>
        <w:tc>
          <w:tcPr>
            <w:tcW w:w="1127" w:type="dxa"/>
            <w:tcBorders>
              <w:top w:val="nil"/>
              <w:left w:val="nil"/>
              <w:bottom w:val="single" w:sz="8" w:space="0" w:color="auto"/>
              <w:right w:val="single" w:sz="8" w:space="0" w:color="auto"/>
            </w:tcBorders>
            <w:noWrap/>
            <w:vAlign w:val="center"/>
            <w:hideMark/>
          </w:tcPr>
          <w:p w14:paraId="45E1D16A" w14:textId="77777777" w:rsidR="00BD49C5" w:rsidRPr="00BD7F00" w:rsidRDefault="00BD49C5" w:rsidP="00AA12E3">
            <w:pPr>
              <w:jc w:val="right"/>
              <w:rPr>
                <w:sz w:val="22"/>
                <w:szCs w:val="22"/>
                <w:lang w:eastAsia="es-ES"/>
              </w:rPr>
            </w:pPr>
            <w:r w:rsidRPr="00BD7F00">
              <w:rPr>
                <w:sz w:val="22"/>
                <w:szCs w:val="22"/>
                <w:lang w:eastAsia="es-ES"/>
              </w:rPr>
              <w:t>-2,03</w:t>
            </w:r>
          </w:p>
        </w:tc>
      </w:tr>
      <w:tr w:rsidR="00BD7F00" w:rsidRPr="00BD7F00" w14:paraId="17C21A11" w14:textId="77777777" w:rsidTr="0012030B">
        <w:trPr>
          <w:trHeight w:val="298"/>
        </w:trPr>
        <w:tc>
          <w:tcPr>
            <w:tcW w:w="5242" w:type="dxa"/>
            <w:gridSpan w:val="3"/>
            <w:tcBorders>
              <w:top w:val="single" w:sz="8" w:space="0" w:color="auto"/>
              <w:left w:val="single" w:sz="8" w:space="0" w:color="auto"/>
              <w:bottom w:val="single" w:sz="8" w:space="0" w:color="auto"/>
              <w:right w:val="single" w:sz="8" w:space="0" w:color="000000"/>
            </w:tcBorders>
            <w:noWrap/>
            <w:vAlign w:val="center"/>
            <w:hideMark/>
          </w:tcPr>
          <w:p w14:paraId="3F8AB04B" w14:textId="77777777" w:rsidR="00BD49C5" w:rsidRPr="00BD7F00" w:rsidRDefault="00BD49C5" w:rsidP="00AA12E3">
            <w:pPr>
              <w:jc w:val="left"/>
              <w:rPr>
                <w:sz w:val="22"/>
                <w:szCs w:val="22"/>
                <w:lang w:eastAsia="es-ES"/>
              </w:rPr>
            </w:pPr>
            <w:r w:rsidRPr="00BD7F00">
              <w:rPr>
                <w:sz w:val="22"/>
                <w:szCs w:val="22"/>
                <w:lang w:eastAsia="es-ES"/>
              </w:rPr>
              <w:t>Chivos</w:t>
            </w:r>
          </w:p>
        </w:tc>
        <w:tc>
          <w:tcPr>
            <w:tcW w:w="1127" w:type="dxa"/>
            <w:tcBorders>
              <w:top w:val="nil"/>
              <w:left w:val="nil"/>
              <w:bottom w:val="single" w:sz="8" w:space="0" w:color="auto"/>
              <w:right w:val="single" w:sz="8" w:space="0" w:color="auto"/>
            </w:tcBorders>
            <w:noWrap/>
            <w:vAlign w:val="center"/>
            <w:hideMark/>
          </w:tcPr>
          <w:p w14:paraId="469A0C7B" w14:textId="77777777" w:rsidR="00BD49C5" w:rsidRPr="00BD7F00" w:rsidRDefault="00BD49C5" w:rsidP="00AA12E3">
            <w:pPr>
              <w:jc w:val="center"/>
              <w:rPr>
                <w:sz w:val="22"/>
                <w:szCs w:val="22"/>
                <w:lang w:eastAsia="es-ES"/>
              </w:rPr>
            </w:pPr>
            <w:r w:rsidRPr="00BD7F00">
              <w:rPr>
                <w:sz w:val="22"/>
                <w:szCs w:val="22"/>
                <w:lang w:eastAsia="es-ES"/>
              </w:rPr>
              <w:t>25.526</w:t>
            </w:r>
          </w:p>
        </w:tc>
        <w:tc>
          <w:tcPr>
            <w:tcW w:w="1127" w:type="dxa"/>
            <w:tcBorders>
              <w:top w:val="nil"/>
              <w:left w:val="nil"/>
              <w:bottom w:val="single" w:sz="8" w:space="0" w:color="auto"/>
              <w:right w:val="single" w:sz="8" w:space="0" w:color="auto"/>
            </w:tcBorders>
            <w:shd w:val="clear" w:color="000000" w:fill="FFFFFF"/>
            <w:noWrap/>
            <w:vAlign w:val="center"/>
            <w:hideMark/>
          </w:tcPr>
          <w:p w14:paraId="1EDDB65C" w14:textId="77777777" w:rsidR="00BD49C5" w:rsidRPr="00BD7F00" w:rsidRDefault="00BD49C5" w:rsidP="00AA12E3">
            <w:pPr>
              <w:jc w:val="right"/>
              <w:rPr>
                <w:sz w:val="22"/>
                <w:szCs w:val="22"/>
                <w:lang w:eastAsia="es-ES"/>
              </w:rPr>
            </w:pPr>
            <w:r w:rsidRPr="00BD7F00">
              <w:rPr>
                <w:sz w:val="22"/>
                <w:szCs w:val="22"/>
                <w:lang w:eastAsia="es-ES"/>
              </w:rPr>
              <w:t>12.120</w:t>
            </w:r>
          </w:p>
        </w:tc>
        <w:tc>
          <w:tcPr>
            <w:tcW w:w="1127" w:type="dxa"/>
            <w:tcBorders>
              <w:top w:val="nil"/>
              <w:left w:val="nil"/>
              <w:bottom w:val="single" w:sz="8" w:space="0" w:color="auto"/>
              <w:right w:val="single" w:sz="8" w:space="0" w:color="auto"/>
            </w:tcBorders>
            <w:noWrap/>
            <w:vAlign w:val="center"/>
            <w:hideMark/>
          </w:tcPr>
          <w:p w14:paraId="3AA99B93" w14:textId="77777777" w:rsidR="00BD49C5" w:rsidRPr="00BD7F00" w:rsidRDefault="00BD49C5" w:rsidP="00AA12E3">
            <w:pPr>
              <w:jc w:val="right"/>
              <w:rPr>
                <w:sz w:val="22"/>
                <w:szCs w:val="22"/>
                <w:lang w:eastAsia="es-ES"/>
              </w:rPr>
            </w:pPr>
            <w:r w:rsidRPr="00BD7F00">
              <w:rPr>
                <w:sz w:val="22"/>
                <w:szCs w:val="22"/>
                <w:lang w:eastAsia="es-ES"/>
              </w:rPr>
              <w:t>-52,52</w:t>
            </w:r>
          </w:p>
        </w:tc>
      </w:tr>
      <w:tr w:rsidR="00BD7F00" w:rsidRPr="00BD7F00" w14:paraId="4976CA19" w14:textId="77777777" w:rsidTr="0012030B">
        <w:trPr>
          <w:trHeight w:val="298"/>
        </w:trPr>
        <w:tc>
          <w:tcPr>
            <w:tcW w:w="5242" w:type="dxa"/>
            <w:gridSpan w:val="3"/>
            <w:tcBorders>
              <w:top w:val="single" w:sz="8" w:space="0" w:color="auto"/>
              <w:left w:val="single" w:sz="8" w:space="0" w:color="auto"/>
              <w:bottom w:val="single" w:sz="8" w:space="0" w:color="auto"/>
              <w:right w:val="single" w:sz="8" w:space="0" w:color="000000"/>
            </w:tcBorders>
            <w:noWrap/>
            <w:vAlign w:val="center"/>
            <w:hideMark/>
          </w:tcPr>
          <w:p w14:paraId="0C6EB27B" w14:textId="77777777" w:rsidR="00BD49C5" w:rsidRPr="00BD7F00" w:rsidRDefault="00BD49C5" w:rsidP="00AA12E3">
            <w:pPr>
              <w:jc w:val="left"/>
              <w:rPr>
                <w:sz w:val="22"/>
                <w:szCs w:val="22"/>
                <w:lang w:eastAsia="es-ES"/>
              </w:rPr>
            </w:pPr>
            <w:r w:rsidRPr="00BD7F00">
              <w:rPr>
                <w:sz w:val="22"/>
                <w:szCs w:val="22"/>
                <w:lang w:eastAsia="es-ES"/>
              </w:rPr>
              <w:t>Sementales</w:t>
            </w:r>
          </w:p>
        </w:tc>
        <w:tc>
          <w:tcPr>
            <w:tcW w:w="1127" w:type="dxa"/>
            <w:tcBorders>
              <w:top w:val="nil"/>
              <w:left w:val="nil"/>
              <w:bottom w:val="single" w:sz="8" w:space="0" w:color="auto"/>
              <w:right w:val="single" w:sz="8" w:space="0" w:color="auto"/>
            </w:tcBorders>
            <w:noWrap/>
            <w:vAlign w:val="center"/>
            <w:hideMark/>
          </w:tcPr>
          <w:p w14:paraId="0DC1C3EC" w14:textId="77777777" w:rsidR="00BD49C5" w:rsidRPr="00BD7F00" w:rsidRDefault="00BD49C5" w:rsidP="00AA12E3">
            <w:pPr>
              <w:jc w:val="center"/>
              <w:rPr>
                <w:sz w:val="22"/>
                <w:szCs w:val="22"/>
                <w:lang w:eastAsia="es-ES"/>
              </w:rPr>
            </w:pPr>
            <w:r w:rsidRPr="00BD7F00">
              <w:rPr>
                <w:sz w:val="22"/>
                <w:szCs w:val="22"/>
                <w:lang w:eastAsia="es-ES"/>
              </w:rPr>
              <w:t>4.308</w:t>
            </w:r>
          </w:p>
        </w:tc>
        <w:tc>
          <w:tcPr>
            <w:tcW w:w="1127" w:type="dxa"/>
            <w:tcBorders>
              <w:top w:val="nil"/>
              <w:left w:val="nil"/>
              <w:bottom w:val="single" w:sz="8" w:space="0" w:color="auto"/>
              <w:right w:val="single" w:sz="8" w:space="0" w:color="auto"/>
            </w:tcBorders>
            <w:shd w:val="clear" w:color="000000" w:fill="FFFFFF"/>
            <w:noWrap/>
            <w:vAlign w:val="center"/>
            <w:hideMark/>
          </w:tcPr>
          <w:p w14:paraId="5D85E0CA" w14:textId="77777777" w:rsidR="00BD49C5" w:rsidRPr="00BD7F00" w:rsidRDefault="00BD49C5" w:rsidP="00AA12E3">
            <w:pPr>
              <w:jc w:val="right"/>
              <w:rPr>
                <w:sz w:val="22"/>
                <w:szCs w:val="22"/>
                <w:lang w:eastAsia="es-ES"/>
              </w:rPr>
            </w:pPr>
            <w:r w:rsidRPr="00BD7F00">
              <w:rPr>
                <w:sz w:val="22"/>
                <w:szCs w:val="22"/>
                <w:lang w:eastAsia="es-ES"/>
              </w:rPr>
              <w:t>5.173</w:t>
            </w:r>
          </w:p>
        </w:tc>
        <w:tc>
          <w:tcPr>
            <w:tcW w:w="1127" w:type="dxa"/>
            <w:tcBorders>
              <w:top w:val="nil"/>
              <w:left w:val="nil"/>
              <w:bottom w:val="single" w:sz="8" w:space="0" w:color="auto"/>
              <w:right w:val="single" w:sz="8" w:space="0" w:color="auto"/>
            </w:tcBorders>
            <w:noWrap/>
            <w:vAlign w:val="center"/>
            <w:hideMark/>
          </w:tcPr>
          <w:p w14:paraId="740D9E17" w14:textId="77777777" w:rsidR="00BD49C5" w:rsidRPr="00BD7F00" w:rsidRDefault="00BD49C5" w:rsidP="00AA12E3">
            <w:pPr>
              <w:jc w:val="right"/>
              <w:rPr>
                <w:sz w:val="22"/>
                <w:szCs w:val="22"/>
                <w:lang w:eastAsia="es-ES"/>
              </w:rPr>
            </w:pPr>
            <w:r w:rsidRPr="00BD7F00">
              <w:rPr>
                <w:sz w:val="22"/>
                <w:szCs w:val="22"/>
                <w:lang w:eastAsia="es-ES"/>
              </w:rPr>
              <w:t>20,08</w:t>
            </w:r>
          </w:p>
        </w:tc>
      </w:tr>
      <w:tr w:rsidR="00BD7F00" w:rsidRPr="00BD7F00" w14:paraId="19B41083" w14:textId="77777777" w:rsidTr="0012030B">
        <w:trPr>
          <w:trHeight w:val="298"/>
        </w:trPr>
        <w:tc>
          <w:tcPr>
            <w:tcW w:w="1879" w:type="dxa"/>
            <w:vMerge w:val="restart"/>
            <w:tcBorders>
              <w:top w:val="nil"/>
              <w:left w:val="single" w:sz="8" w:space="0" w:color="auto"/>
              <w:bottom w:val="single" w:sz="8" w:space="0" w:color="000000"/>
              <w:right w:val="single" w:sz="8" w:space="0" w:color="auto"/>
            </w:tcBorders>
            <w:noWrap/>
            <w:vAlign w:val="center"/>
            <w:hideMark/>
          </w:tcPr>
          <w:p w14:paraId="6D33F0BA" w14:textId="77777777" w:rsidR="00BD49C5" w:rsidRPr="00BD7F00" w:rsidRDefault="00BD49C5" w:rsidP="00AA12E3">
            <w:pPr>
              <w:jc w:val="left"/>
              <w:rPr>
                <w:sz w:val="22"/>
                <w:szCs w:val="22"/>
                <w:lang w:eastAsia="es-ES"/>
              </w:rPr>
            </w:pPr>
            <w:r w:rsidRPr="00BD7F00">
              <w:rPr>
                <w:sz w:val="22"/>
                <w:szCs w:val="22"/>
                <w:lang w:eastAsia="es-ES"/>
              </w:rPr>
              <w:t>Hembras para vida</w:t>
            </w:r>
          </w:p>
        </w:tc>
        <w:tc>
          <w:tcPr>
            <w:tcW w:w="3363" w:type="dxa"/>
            <w:gridSpan w:val="2"/>
            <w:tcBorders>
              <w:top w:val="single" w:sz="8" w:space="0" w:color="auto"/>
              <w:left w:val="nil"/>
              <w:bottom w:val="single" w:sz="8" w:space="0" w:color="auto"/>
              <w:right w:val="single" w:sz="8" w:space="0" w:color="000000"/>
            </w:tcBorders>
            <w:noWrap/>
            <w:vAlign w:val="center"/>
            <w:hideMark/>
          </w:tcPr>
          <w:p w14:paraId="7CA712FE" w14:textId="77777777" w:rsidR="00BD49C5" w:rsidRPr="00BD7F00" w:rsidRDefault="00BD49C5" w:rsidP="00AA12E3">
            <w:pPr>
              <w:jc w:val="left"/>
              <w:rPr>
                <w:b/>
                <w:bCs/>
                <w:sz w:val="22"/>
                <w:szCs w:val="22"/>
                <w:lang w:eastAsia="es-ES"/>
              </w:rPr>
            </w:pPr>
            <w:r w:rsidRPr="00BD7F00">
              <w:rPr>
                <w:b/>
                <w:bCs/>
                <w:sz w:val="22"/>
                <w:szCs w:val="22"/>
                <w:lang w:eastAsia="es-ES"/>
              </w:rPr>
              <w:t xml:space="preserve">Total </w:t>
            </w:r>
          </w:p>
        </w:tc>
        <w:tc>
          <w:tcPr>
            <w:tcW w:w="1127" w:type="dxa"/>
            <w:tcBorders>
              <w:top w:val="nil"/>
              <w:left w:val="nil"/>
              <w:bottom w:val="single" w:sz="8" w:space="0" w:color="auto"/>
              <w:right w:val="single" w:sz="8" w:space="0" w:color="auto"/>
            </w:tcBorders>
            <w:noWrap/>
            <w:vAlign w:val="center"/>
            <w:hideMark/>
          </w:tcPr>
          <w:p w14:paraId="30908B31" w14:textId="77777777" w:rsidR="00BD49C5" w:rsidRPr="00BD7F00" w:rsidRDefault="00BD49C5" w:rsidP="00AA12E3">
            <w:pPr>
              <w:jc w:val="center"/>
              <w:rPr>
                <w:sz w:val="22"/>
                <w:szCs w:val="22"/>
                <w:lang w:eastAsia="es-ES"/>
              </w:rPr>
            </w:pPr>
            <w:r w:rsidRPr="00BD7F00">
              <w:rPr>
                <w:sz w:val="22"/>
                <w:szCs w:val="22"/>
                <w:lang w:eastAsia="es-ES"/>
              </w:rPr>
              <w:t>105.598</w:t>
            </w:r>
          </w:p>
        </w:tc>
        <w:tc>
          <w:tcPr>
            <w:tcW w:w="1127" w:type="dxa"/>
            <w:tcBorders>
              <w:top w:val="nil"/>
              <w:left w:val="nil"/>
              <w:bottom w:val="single" w:sz="8" w:space="0" w:color="auto"/>
              <w:right w:val="single" w:sz="8" w:space="0" w:color="auto"/>
            </w:tcBorders>
            <w:shd w:val="clear" w:color="000000" w:fill="FFFFFF"/>
            <w:noWrap/>
            <w:vAlign w:val="center"/>
            <w:hideMark/>
          </w:tcPr>
          <w:p w14:paraId="3438A673" w14:textId="77777777" w:rsidR="00BD49C5" w:rsidRPr="00BD7F00" w:rsidRDefault="00BD49C5" w:rsidP="00AA12E3">
            <w:pPr>
              <w:jc w:val="right"/>
              <w:rPr>
                <w:sz w:val="22"/>
                <w:szCs w:val="22"/>
                <w:lang w:eastAsia="es-ES"/>
              </w:rPr>
            </w:pPr>
            <w:r w:rsidRPr="00BD7F00">
              <w:rPr>
                <w:sz w:val="22"/>
                <w:szCs w:val="22"/>
                <w:lang w:eastAsia="es-ES"/>
              </w:rPr>
              <w:t>115.383</w:t>
            </w:r>
          </w:p>
        </w:tc>
        <w:tc>
          <w:tcPr>
            <w:tcW w:w="1127" w:type="dxa"/>
            <w:tcBorders>
              <w:top w:val="nil"/>
              <w:left w:val="nil"/>
              <w:bottom w:val="single" w:sz="8" w:space="0" w:color="auto"/>
              <w:right w:val="single" w:sz="8" w:space="0" w:color="auto"/>
            </w:tcBorders>
            <w:noWrap/>
            <w:vAlign w:val="center"/>
            <w:hideMark/>
          </w:tcPr>
          <w:p w14:paraId="7C5666D6" w14:textId="77777777" w:rsidR="00BD49C5" w:rsidRPr="00BD7F00" w:rsidRDefault="00BD49C5" w:rsidP="00AA12E3">
            <w:pPr>
              <w:jc w:val="right"/>
              <w:rPr>
                <w:sz w:val="22"/>
                <w:szCs w:val="22"/>
                <w:lang w:eastAsia="es-ES"/>
              </w:rPr>
            </w:pPr>
            <w:r w:rsidRPr="00BD7F00">
              <w:rPr>
                <w:sz w:val="22"/>
                <w:szCs w:val="22"/>
                <w:lang w:eastAsia="es-ES"/>
              </w:rPr>
              <w:t>9,27</w:t>
            </w:r>
          </w:p>
        </w:tc>
      </w:tr>
      <w:tr w:rsidR="00BD7F00" w:rsidRPr="00BD7F00" w14:paraId="5E7C8C8C" w14:textId="77777777" w:rsidTr="0012030B">
        <w:trPr>
          <w:trHeight w:val="298"/>
        </w:trPr>
        <w:tc>
          <w:tcPr>
            <w:tcW w:w="1879" w:type="dxa"/>
            <w:vMerge/>
            <w:tcBorders>
              <w:top w:val="nil"/>
              <w:left w:val="single" w:sz="8" w:space="0" w:color="auto"/>
              <w:bottom w:val="single" w:sz="8" w:space="0" w:color="000000"/>
              <w:right w:val="single" w:sz="8" w:space="0" w:color="auto"/>
            </w:tcBorders>
            <w:vAlign w:val="center"/>
            <w:hideMark/>
          </w:tcPr>
          <w:p w14:paraId="2BEA334E" w14:textId="77777777" w:rsidR="00BD49C5" w:rsidRPr="00BD7F00" w:rsidRDefault="00BD49C5" w:rsidP="00AA12E3">
            <w:pPr>
              <w:jc w:val="left"/>
              <w:rPr>
                <w:sz w:val="22"/>
                <w:szCs w:val="22"/>
                <w:lang w:eastAsia="es-ES"/>
              </w:rPr>
            </w:pPr>
          </w:p>
        </w:tc>
        <w:tc>
          <w:tcPr>
            <w:tcW w:w="1822" w:type="dxa"/>
            <w:vMerge w:val="restart"/>
            <w:tcBorders>
              <w:top w:val="nil"/>
              <w:left w:val="single" w:sz="8" w:space="0" w:color="auto"/>
              <w:bottom w:val="single" w:sz="8" w:space="0" w:color="000000"/>
              <w:right w:val="single" w:sz="8" w:space="0" w:color="auto"/>
            </w:tcBorders>
            <w:noWrap/>
            <w:vAlign w:val="center"/>
            <w:hideMark/>
          </w:tcPr>
          <w:p w14:paraId="52BEF646" w14:textId="77777777" w:rsidR="00BD49C5" w:rsidRPr="00BD7F00" w:rsidRDefault="00BD49C5" w:rsidP="00AA12E3">
            <w:pPr>
              <w:jc w:val="left"/>
              <w:rPr>
                <w:sz w:val="22"/>
                <w:szCs w:val="22"/>
                <w:lang w:eastAsia="es-ES"/>
              </w:rPr>
            </w:pPr>
            <w:r w:rsidRPr="00BD7F00">
              <w:rPr>
                <w:sz w:val="22"/>
                <w:szCs w:val="22"/>
                <w:lang w:eastAsia="es-ES"/>
              </w:rPr>
              <w:t>Nunca han parido</w:t>
            </w:r>
          </w:p>
        </w:tc>
        <w:tc>
          <w:tcPr>
            <w:tcW w:w="1540" w:type="dxa"/>
            <w:tcBorders>
              <w:top w:val="nil"/>
              <w:left w:val="nil"/>
              <w:bottom w:val="single" w:sz="8" w:space="0" w:color="auto"/>
              <w:right w:val="single" w:sz="8" w:space="0" w:color="auto"/>
            </w:tcBorders>
            <w:noWrap/>
            <w:vAlign w:val="center"/>
            <w:hideMark/>
          </w:tcPr>
          <w:p w14:paraId="02FACB74" w14:textId="77777777" w:rsidR="00BD49C5" w:rsidRPr="00BD7F00" w:rsidRDefault="00BD49C5" w:rsidP="00AA12E3">
            <w:pPr>
              <w:jc w:val="left"/>
              <w:rPr>
                <w:sz w:val="22"/>
                <w:szCs w:val="22"/>
                <w:lang w:eastAsia="es-ES"/>
              </w:rPr>
            </w:pPr>
            <w:r w:rsidRPr="00BD7F00">
              <w:rPr>
                <w:sz w:val="22"/>
                <w:szCs w:val="22"/>
                <w:lang w:eastAsia="es-ES"/>
              </w:rPr>
              <w:t>No cubiertas</w:t>
            </w:r>
          </w:p>
        </w:tc>
        <w:tc>
          <w:tcPr>
            <w:tcW w:w="1127" w:type="dxa"/>
            <w:tcBorders>
              <w:top w:val="nil"/>
              <w:left w:val="nil"/>
              <w:bottom w:val="single" w:sz="8" w:space="0" w:color="auto"/>
              <w:right w:val="single" w:sz="8" w:space="0" w:color="auto"/>
            </w:tcBorders>
            <w:noWrap/>
            <w:vAlign w:val="center"/>
            <w:hideMark/>
          </w:tcPr>
          <w:p w14:paraId="6A5BC375" w14:textId="77777777" w:rsidR="00BD49C5" w:rsidRPr="00BD7F00" w:rsidRDefault="00BD49C5" w:rsidP="00AA12E3">
            <w:pPr>
              <w:jc w:val="center"/>
              <w:rPr>
                <w:sz w:val="22"/>
                <w:szCs w:val="22"/>
                <w:lang w:eastAsia="es-ES"/>
              </w:rPr>
            </w:pPr>
            <w:r w:rsidRPr="00BD7F00">
              <w:rPr>
                <w:sz w:val="22"/>
                <w:szCs w:val="22"/>
                <w:lang w:eastAsia="es-ES"/>
              </w:rPr>
              <w:t>1.056</w:t>
            </w:r>
          </w:p>
        </w:tc>
        <w:tc>
          <w:tcPr>
            <w:tcW w:w="1127" w:type="dxa"/>
            <w:tcBorders>
              <w:top w:val="nil"/>
              <w:left w:val="nil"/>
              <w:bottom w:val="single" w:sz="8" w:space="0" w:color="auto"/>
              <w:right w:val="single" w:sz="8" w:space="0" w:color="auto"/>
            </w:tcBorders>
            <w:shd w:val="clear" w:color="000000" w:fill="FFFFFF"/>
            <w:noWrap/>
            <w:vAlign w:val="center"/>
            <w:hideMark/>
          </w:tcPr>
          <w:p w14:paraId="5D6640B0" w14:textId="77777777" w:rsidR="00BD49C5" w:rsidRPr="00BD7F00" w:rsidRDefault="00BD49C5" w:rsidP="00AA12E3">
            <w:pPr>
              <w:jc w:val="right"/>
              <w:rPr>
                <w:sz w:val="22"/>
                <w:szCs w:val="22"/>
                <w:lang w:eastAsia="es-ES"/>
              </w:rPr>
            </w:pPr>
            <w:r w:rsidRPr="00BD7F00">
              <w:rPr>
                <w:sz w:val="22"/>
                <w:szCs w:val="22"/>
                <w:lang w:eastAsia="es-ES"/>
              </w:rPr>
              <w:t>10.720</w:t>
            </w:r>
          </w:p>
        </w:tc>
        <w:tc>
          <w:tcPr>
            <w:tcW w:w="1127" w:type="dxa"/>
            <w:tcBorders>
              <w:top w:val="nil"/>
              <w:left w:val="nil"/>
              <w:bottom w:val="single" w:sz="8" w:space="0" w:color="auto"/>
              <w:right w:val="single" w:sz="8" w:space="0" w:color="auto"/>
            </w:tcBorders>
            <w:noWrap/>
            <w:vAlign w:val="center"/>
            <w:hideMark/>
          </w:tcPr>
          <w:p w14:paraId="36CC80F8" w14:textId="77777777" w:rsidR="00BD49C5" w:rsidRPr="00BD7F00" w:rsidRDefault="00BD49C5" w:rsidP="00AA12E3">
            <w:pPr>
              <w:jc w:val="right"/>
              <w:rPr>
                <w:sz w:val="22"/>
                <w:szCs w:val="22"/>
                <w:lang w:eastAsia="es-ES"/>
              </w:rPr>
            </w:pPr>
            <w:r w:rsidRPr="00BD7F00">
              <w:rPr>
                <w:sz w:val="22"/>
                <w:szCs w:val="22"/>
                <w:lang w:eastAsia="es-ES"/>
              </w:rPr>
              <w:t>915,15</w:t>
            </w:r>
          </w:p>
        </w:tc>
      </w:tr>
      <w:tr w:rsidR="00BD7F00" w:rsidRPr="00BD7F00" w14:paraId="7D686F2A" w14:textId="77777777" w:rsidTr="0012030B">
        <w:trPr>
          <w:trHeight w:val="298"/>
        </w:trPr>
        <w:tc>
          <w:tcPr>
            <w:tcW w:w="1879" w:type="dxa"/>
            <w:vMerge/>
            <w:tcBorders>
              <w:top w:val="nil"/>
              <w:left w:val="single" w:sz="8" w:space="0" w:color="auto"/>
              <w:bottom w:val="single" w:sz="8" w:space="0" w:color="000000"/>
              <w:right w:val="single" w:sz="8" w:space="0" w:color="auto"/>
            </w:tcBorders>
            <w:vAlign w:val="center"/>
            <w:hideMark/>
          </w:tcPr>
          <w:p w14:paraId="6B28CA9F" w14:textId="77777777" w:rsidR="00BD49C5" w:rsidRPr="00BD7F00" w:rsidRDefault="00BD49C5" w:rsidP="00AA12E3">
            <w:pPr>
              <w:jc w:val="left"/>
              <w:rPr>
                <w:sz w:val="22"/>
                <w:szCs w:val="22"/>
                <w:lang w:eastAsia="es-ES"/>
              </w:rPr>
            </w:pPr>
          </w:p>
        </w:tc>
        <w:tc>
          <w:tcPr>
            <w:tcW w:w="1822" w:type="dxa"/>
            <w:vMerge/>
            <w:tcBorders>
              <w:top w:val="nil"/>
              <w:left w:val="single" w:sz="8" w:space="0" w:color="auto"/>
              <w:bottom w:val="single" w:sz="8" w:space="0" w:color="000000"/>
              <w:right w:val="single" w:sz="8" w:space="0" w:color="auto"/>
            </w:tcBorders>
            <w:vAlign w:val="center"/>
            <w:hideMark/>
          </w:tcPr>
          <w:p w14:paraId="16F227F5" w14:textId="77777777" w:rsidR="00BD49C5" w:rsidRPr="00BD7F00" w:rsidRDefault="00BD49C5" w:rsidP="00AA12E3">
            <w:pPr>
              <w:jc w:val="left"/>
              <w:rPr>
                <w:sz w:val="22"/>
                <w:szCs w:val="22"/>
                <w:lang w:eastAsia="es-ES"/>
              </w:rPr>
            </w:pPr>
          </w:p>
        </w:tc>
        <w:tc>
          <w:tcPr>
            <w:tcW w:w="1540" w:type="dxa"/>
            <w:tcBorders>
              <w:top w:val="nil"/>
              <w:left w:val="nil"/>
              <w:bottom w:val="single" w:sz="8" w:space="0" w:color="auto"/>
              <w:right w:val="single" w:sz="8" w:space="0" w:color="auto"/>
            </w:tcBorders>
            <w:noWrap/>
            <w:vAlign w:val="center"/>
            <w:hideMark/>
          </w:tcPr>
          <w:p w14:paraId="62F38E96" w14:textId="77777777" w:rsidR="00BD49C5" w:rsidRPr="00BD7F00" w:rsidRDefault="00BD49C5" w:rsidP="00AA12E3">
            <w:pPr>
              <w:jc w:val="left"/>
              <w:rPr>
                <w:sz w:val="22"/>
                <w:szCs w:val="22"/>
                <w:lang w:eastAsia="es-ES"/>
              </w:rPr>
            </w:pPr>
            <w:r w:rsidRPr="00BD7F00">
              <w:rPr>
                <w:sz w:val="22"/>
                <w:szCs w:val="22"/>
                <w:lang w:eastAsia="es-ES"/>
              </w:rPr>
              <w:t>Cubiertas 1ª vez</w:t>
            </w:r>
          </w:p>
        </w:tc>
        <w:tc>
          <w:tcPr>
            <w:tcW w:w="1127" w:type="dxa"/>
            <w:tcBorders>
              <w:top w:val="nil"/>
              <w:left w:val="nil"/>
              <w:bottom w:val="single" w:sz="8" w:space="0" w:color="auto"/>
              <w:right w:val="single" w:sz="8" w:space="0" w:color="auto"/>
            </w:tcBorders>
            <w:noWrap/>
            <w:vAlign w:val="center"/>
            <w:hideMark/>
          </w:tcPr>
          <w:p w14:paraId="34B1ED41" w14:textId="77777777" w:rsidR="00BD49C5" w:rsidRPr="00BD7F00" w:rsidRDefault="00BD49C5" w:rsidP="00AA12E3">
            <w:pPr>
              <w:jc w:val="center"/>
              <w:rPr>
                <w:sz w:val="22"/>
                <w:szCs w:val="22"/>
                <w:lang w:eastAsia="es-ES"/>
              </w:rPr>
            </w:pPr>
            <w:r w:rsidRPr="00BD7F00">
              <w:rPr>
                <w:sz w:val="22"/>
                <w:szCs w:val="22"/>
                <w:lang w:eastAsia="es-ES"/>
              </w:rPr>
              <w:t>4.932</w:t>
            </w:r>
          </w:p>
        </w:tc>
        <w:tc>
          <w:tcPr>
            <w:tcW w:w="1127" w:type="dxa"/>
            <w:tcBorders>
              <w:top w:val="nil"/>
              <w:left w:val="nil"/>
              <w:bottom w:val="single" w:sz="8" w:space="0" w:color="auto"/>
              <w:right w:val="single" w:sz="8" w:space="0" w:color="auto"/>
            </w:tcBorders>
            <w:shd w:val="clear" w:color="000000" w:fill="FFFFFF"/>
            <w:noWrap/>
            <w:vAlign w:val="center"/>
            <w:hideMark/>
          </w:tcPr>
          <w:p w14:paraId="28E7AB82" w14:textId="77777777" w:rsidR="00BD49C5" w:rsidRPr="00BD7F00" w:rsidRDefault="00BD49C5" w:rsidP="00AA12E3">
            <w:pPr>
              <w:jc w:val="right"/>
              <w:rPr>
                <w:sz w:val="22"/>
                <w:szCs w:val="22"/>
                <w:lang w:eastAsia="es-ES"/>
              </w:rPr>
            </w:pPr>
            <w:r w:rsidRPr="00BD7F00">
              <w:rPr>
                <w:sz w:val="22"/>
                <w:szCs w:val="22"/>
                <w:lang w:eastAsia="es-ES"/>
              </w:rPr>
              <w:t>8.365</w:t>
            </w:r>
          </w:p>
        </w:tc>
        <w:tc>
          <w:tcPr>
            <w:tcW w:w="1127" w:type="dxa"/>
            <w:tcBorders>
              <w:top w:val="nil"/>
              <w:left w:val="nil"/>
              <w:bottom w:val="single" w:sz="8" w:space="0" w:color="auto"/>
              <w:right w:val="single" w:sz="8" w:space="0" w:color="auto"/>
            </w:tcBorders>
            <w:noWrap/>
            <w:vAlign w:val="center"/>
            <w:hideMark/>
          </w:tcPr>
          <w:p w14:paraId="5AAB6C59" w14:textId="77777777" w:rsidR="00BD49C5" w:rsidRPr="00BD7F00" w:rsidRDefault="00BD49C5" w:rsidP="00AA12E3">
            <w:pPr>
              <w:jc w:val="right"/>
              <w:rPr>
                <w:sz w:val="22"/>
                <w:szCs w:val="22"/>
                <w:lang w:eastAsia="es-ES"/>
              </w:rPr>
            </w:pPr>
            <w:r w:rsidRPr="00BD7F00">
              <w:rPr>
                <w:sz w:val="22"/>
                <w:szCs w:val="22"/>
                <w:lang w:eastAsia="es-ES"/>
              </w:rPr>
              <w:t>69,61</w:t>
            </w:r>
          </w:p>
        </w:tc>
      </w:tr>
      <w:tr w:rsidR="00BD7F00" w:rsidRPr="00BD7F00" w14:paraId="4A222BC0" w14:textId="77777777" w:rsidTr="0012030B">
        <w:trPr>
          <w:trHeight w:val="298"/>
        </w:trPr>
        <w:tc>
          <w:tcPr>
            <w:tcW w:w="1879" w:type="dxa"/>
            <w:vMerge/>
            <w:tcBorders>
              <w:top w:val="nil"/>
              <w:left w:val="single" w:sz="8" w:space="0" w:color="auto"/>
              <w:bottom w:val="single" w:sz="8" w:space="0" w:color="000000"/>
              <w:right w:val="single" w:sz="8" w:space="0" w:color="auto"/>
            </w:tcBorders>
            <w:vAlign w:val="center"/>
            <w:hideMark/>
          </w:tcPr>
          <w:p w14:paraId="2A7DA07C" w14:textId="77777777" w:rsidR="00BD49C5" w:rsidRPr="00BD7F00" w:rsidRDefault="00BD49C5" w:rsidP="00AA12E3">
            <w:pPr>
              <w:jc w:val="left"/>
              <w:rPr>
                <w:sz w:val="22"/>
                <w:szCs w:val="22"/>
                <w:lang w:eastAsia="es-ES"/>
              </w:rPr>
            </w:pPr>
          </w:p>
        </w:tc>
        <w:tc>
          <w:tcPr>
            <w:tcW w:w="1822" w:type="dxa"/>
            <w:vMerge w:val="restart"/>
            <w:tcBorders>
              <w:top w:val="nil"/>
              <w:left w:val="single" w:sz="8" w:space="0" w:color="auto"/>
              <w:bottom w:val="single" w:sz="8" w:space="0" w:color="000000"/>
              <w:right w:val="single" w:sz="8" w:space="0" w:color="auto"/>
            </w:tcBorders>
            <w:noWrap/>
            <w:vAlign w:val="center"/>
            <w:hideMark/>
          </w:tcPr>
          <w:p w14:paraId="30828333" w14:textId="77777777" w:rsidR="00BD49C5" w:rsidRPr="00BD7F00" w:rsidRDefault="00BD49C5" w:rsidP="00AA12E3">
            <w:pPr>
              <w:jc w:val="left"/>
              <w:rPr>
                <w:sz w:val="22"/>
                <w:szCs w:val="22"/>
                <w:lang w:eastAsia="es-ES"/>
              </w:rPr>
            </w:pPr>
            <w:r w:rsidRPr="00BD7F00">
              <w:rPr>
                <w:sz w:val="22"/>
                <w:szCs w:val="22"/>
                <w:lang w:eastAsia="es-ES"/>
              </w:rPr>
              <w:t>Que ya han parido</w:t>
            </w:r>
          </w:p>
        </w:tc>
        <w:tc>
          <w:tcPr>
            <w:tcW w:w="1540" w:type="dxa"/>
            <w:tcBorders>
              <w:top w:val="nil"/>
              <w:left w:val="nil"/>
              <w:bottom w:val="single" w:sz="8" w:space="0" w:color="auto"/>
              <w:right w:val="single" w:sz="8" w:space="0" w:color="auto"/>
            </w:tcBorders>
            <w:noWrap/>
            <w:vAlign w:val="center"/>
            <w:hideMark/>
          </w:tcPr>
          <w:p w14:paraId="19F00050" w14:textId="77777777" w:rsidR="00BD49C5" w:rsidRPr="00BD7F00" w:rsidRDefault="00BD49C5" w:rsidP="00AA12E3">
            <w:pPr>
              <w:jc w:val="left"/>
              <w:rPr>
                <w:sz w:val="22"/>
                <w:szCs w:val="22"/>
                <w:lang w:eastAsia="es-ES"/>
              </w:rPr>
            </w:pPr>
            <w:r w:rsidRPr="00BD7F00">
              <w:rPr>
                <w:sz w:val="22"/>
                <w:szCs w:val="22"/>
                <w:lang w:eastAsia="es-ES"/>
              </w:rPr>
              <w:t>Ordeño</w:t>
            </w:r>
          </w:p>
        </w:tc>
        <w:tc>
          <w:tcPr>
            <w:tcW w:w="1127" w:type="dxa"/>
            <w:tcBorders>
              <w:top w:val="nil"/>
              <w:left w:val="nil"/>
              <w:bottom w:val="single" w:sz="8" w:space="0" w:color="auto"/>
              <w:right w:val="single" w:sz="8" w:space="0" w:color="auto"/>
            </w:tcBorders>
            <w:noWrap/>
            <w:vAlign w:val="center"/>
            <w:hideMark/>
          </w:tcPr>
          <w:p w14:paraId="2748CD2A" w14:textId="77777777" w:rsidR="00BD49C5" w:rsidRPr="00BD7F00" w:rsidRDefault="00BD49C5" w:rsidP="00AA12E3">
            <w:pPr>
              <w:jc w:val="center"/>
              <w:rPr>
                <w:sz w:val="22"/>
                <w:szCs w:val="22"/>
                <w:lang w:eastAsia="es-ES"/>
              </w:rPr>
            </w:pPr>
            <w:r w:rsidRPr="00BD7F00">
              <w:rPr>
                <w:sz w:val="22"/>
                <w:szCs w:val="22"/>
                <w:lang w:eastAsia="es-ES"/>
              </w:rPr>
              <w:t>73.145</w:t>
            </w:r>
          </w:p>
        </w:tc>
        <w:tc>
          <w:tcPr>
            <w:tcW w:w="1127" w:type="dxa"/>
            <w:tcBorders>
              <w:top w:val="nil"/>
              <w:left w:val="nil"/>
              <w:bottom w:val="single" w:sz="8" w:space="0" w:color="auto"/>
              <w:right w:val="single" w:sz="8" w:space="0" w:color="auto"/>
            </w:tcBorders>
            <w:shd w:val="clear" w:color="000000" w:fill="FFFFFF"/>
            <w:noWrap/>
            <w:vAlign w:val="center"/>
            <w:hideMark/>
          </w:tcPr>
          <w:p w14:paraId="2EF37E67" w14:textId="77777777" w:rsidR="00BD49C5" w:rsidRPr="00BD7F00" w:rsidRDefault="00BD49C5" w:rsidP="00AA12E3">
            <w:pPr>
              <w:jc w:val="right"/>
              <w:rPr>
                <w:sz w:val="22"/>
                <w:szCs w:val="22"/>
                <w:lang w:eastAsia="es-ES"/>
              </w:rPr>
            </w:pPr>
            <w:r w:rsidRPr="00BD7F00">
              <w:rPr>
                <w:sz w:val="22"/>
                <w:szCs w:val="22"/>
                <w:lang w:eastAsia="es-ES"/>
              </w:rPr>
              <w:t>69.829</w:t>
            </w:r>
          </w:p>
        </w:tc>
        <w:tc>
          <w:tcPr>
            <w:tcW w:w="1127" w:type="dxa"/>
            <w:tcBorders>
              <w:top w:val="nil"/>
              <w:left w:val="nil"/>
              <w:bottom w:val="single" w:sz="8" w:space="0" w:color="auto"/>
              <w:right w:val="single" w:sz="8" w:space="0" w:color="auto"/>
            </w:tcBorders>
            <w:noWrap/>
            <w:vAlign w:val="center"/>
            <w:hideMark/>
          </w:tcPr>
          <w:p w14:paraId="4E450D75" w14:textId="77777777" w:rsidR="00BD49C5" w:rsidRPr="00BD7F00" w:rsidRDefault="00BD49C5" w:rsidP="00AA12E3">
            <w:pPr>
              <w:jc w:val="right"/>
              <w:rPr>
                <w:sz w:val="22"/>
                <w:szCs w:val="22"/>
                <w:lang w:eastAsia="es-ES"/>
              </w:rPr>
            </w:pPr>
            <w:r w:rsidRPr="00BD7F00">
              <w:rPr>
                <w:sz w:val="22"/>
                <w:szCs w:val="22"/>
                <w:lang w:eastAsia="es-ES"/>
              </w:rPr>
              <w:t>-4,53</w:t>
            </w:r>
          </w:p>
        </w:tc>
      </w:tr>
      <w:tr w:rsidR="006F1CED" w:rsidRPr="00BD7F00" w14:paraId="6F9581C8" w14:textId="77777777" w:rsidTr="0012030B">
        <w:trPr>
          <w:trHeight w:val="298"/>
        </w:trPr>
        <w:tc>
          <w:tcPr>
            <w:tcW w:w="1879" w:type="dxa"/>
            <w:vMerge/>
            <w:tcBorders>
              <w:top w:val="nil"/>
              <w:left w:val="single" w:sz="8" w:space="0" w:color="auto"/>
              <w:bottom w:val="single" w:sz="8" w:space="0" w:color="000000"/>
              <w:right w:val="single" w:sz="8" w:space="0" w:color="auto"/>
            </w:tcBorders>
            <w:vAlign w:val="center"/>
            <w:hideMark/>
          </w:tcPr>
          <w:p w14:paraId="1BF55452" w14:textId="77777777" w:rsidR="00BD49C5" w:rsidRPr="00BD7F00" w:rsidRDefault="00BD49C5" w:rsidP="00AA12E3">
            <w:pPr>
              <w:jc w:val="left"/>
              <w:rPr>
                <w:sz w:val="22"/>
                <w:szCs w:val="22"/>
                <w:lang w:eastAsia="es-ES"/>
              </w:rPr>
            </w:pPr>
          </w:p>
        </w:tc>
        <w:tc>
          <w:tcPr>
            <w:tcW w:w="1822" w:type="dxa"/>
            <w:vMerge/>
            <w:tcBorders>
              <w:top w:val="nil"/>
              <w:left w:val="single" w:sz="8" w:space="0" w:color="auto"/>
              <w:bottom w:val="single" w:sz="8" w:space="0" w:color="000000"/>
              <w:right w:val="single" w:sz="8" w:space="0" w:color="auto"/>
            </w:tcBorders>
            <w:vAlign w:val="center"/>
            <w:hideMark/>
          </w:tcPr>
          <w:p w14:paraId="2DB09306" w14:textId="77777777" w:rsidR="00BD49C5" w:rsidRPr="00BD7F00" w:rsidRDefault="00BD49C5" w:rsidP="00AA12E3">
            <w:pPr>
              <w:jc w:val="left"/>
              <w:rPr>
                <w:sz w:val="22"/>
                <w:szCs w:val="22"/>
                <w:lang w:eastAsia="es-ES"/>
              </w:rPr>
            </w:pPr>
          </w:p>
        </w:tc>
        <w:tc>
          <w:tcPr>
            <w:tcW w:w="1540" w:type="dxa"/>
            <w:tcBorders>
              <w:top w:val="nil"/>
              <w:left w:val="nil"/>
              <w:bottom w:val="single" w:sz="8" w:space="0" w:color="auto"/>
              <w:right w:val="single" w:sz="8" w:space="0" w:color="auto"/>
            </w:tcBorders>
            <w:noWrap/>
            <w:vAlign w:val="center"/>
            <w:hideMark/>
          </w:tcPr>
          <w:p w14:paraId="6A0520B9" w14:textId="77777777" w:rsidR="00BD49C5" w:rsidRPr="00BD7F00" w:rsidRDefault="00BD49C5" w:rsidP="00AA12E3">
            <w:pPr>
              <w:jc w:val="left"/>
              <w:rPr>
                <w:sz w:val="22"/>
                <w:szCs w:val="22"/>
                <w:lang w:eastAsia="es-ES"/>
              </w:rPr>
            </w:pPr>
            <w:r w:rsidRPr="00BD7F00">
              <w:rPr>
                <w:sz w:val="22"/>
                <w:szCs w:val="22"/>
                <w:lang w:eastAsia="es-ES"/>
              </w:rPr>
              <w:t>No ordeño</w:t>
            </w:r>
          </w:p>
        </w:tc>
        <w:tc>
          <w:tcPr>
            <w:tcW w:w="1127" w:type="dxa"/>
            <w:tcBorders>
              <w:top w:val="nil"/>
              <w:left w:val="nil"/>
              <w:bottom w:val="single" w:sz="8" w:space="0" w:color="auto"/>
              <w:right w:val="single" w:sz="8" w:space="0" w:color="auto"/>
            </w:tcBorders>
            <w:noWrap/>
            <w:vAlign w:val="center"/>
            <w:hideMark/>
          </w:tcPr>
          <w:p w14:paraId="61C5475A" w14:textId="77777777" w:rsidR="00BD49C5" w:rsidRPr="00BD7F00" w:rsidRDefault="00BD49C5" w:rsidP="00AA12E3">
            <w:pPr>
              <w:jc w:val="center"/>
              <w:rPr>
                <w:sz w:val="22"/>
                <w:szCs w:val="22"/>
                <w:lang w:eastAsia="es-ES"/>
              </w:rPr>
            </w:pPr>
            <w:r w:rsidRPr="00BD7F00">
              <w:rPr>
                <w:sz w:val="22"/>
                <w:szCs w:val="22"/>
                <w:lang w:eastAsia="es-ES"/>
              </w:rPr>
              <w:t>26.465</w:t>
            </w:r>
          </w:p>
        </w:tc>
        <w:tc>
          <w:tcPr>
            <w:tcW w:w="1127" w:type="dxa"/>
            <w:tcBorders>
              <w:top w:val="nil"/>
              <w:left w:val="nil"/>
              <w:bottom w:val="single" w:sz="8" w:space="0" w:color="auto"/>
              <w:right w:val="single" w:sz="8" w:space="0" w:color="auto"/>
            </w:tcBorders>
            <w:shd w:val="clear" w:color="000000" w:fill="FFFFFF"/>
            <w:noWrap/>
            <w:vAlign w:val="center"/>
            <w:hideMark/>
          </w:tcPr>
          <w:p w14:paraId="684F21FB" w14:textId="77777777" w:rsidR="00BD49C5" w:rsidRPr="00BD7F00" w:rsidRDefault="00BD49C5" w:rsidP="00AA12E3">
            <w:pPr>
              <w:jc w:val="right"/>
              <w:rPr>
                <w:sz w:val="22"/>
                <w:szCs w:val="22"/>
                <w:lang w:eastAsia="es-ES"/>
              </w:rPr>
            </w:pPr>
            <w:r w:rsidRPr="00BD7F00">
              <w:rPr>
                <w:sz w:val="22"/>
                <w:szCs w:val="22"/>
                <w:lang w:eastAsia="es-ES"/>
              </w:rPr>
              <w:t>26.469</w:t>
            </w:r>
          </w:p>
        </w:tc>
        <w:tc>
          <w:tcPr>
            <w:tcW w:w="1127" w:type="dxa"/>
            <w:tcBorders>
              <w:top w:val="nil"/>
              <w:left w:val="nil"/>
              <w:bottom w:val="single" w:sz="8" w:space="0" w:color="auto"/>
              <w:right w:val="single" w:sz="8" w:space="0" w:color="auto"/>
            </w:tcBorders>
            <w:noWrap/>
            <w:vAlign w:val="center"/>
            <w:hideMark/>
          </w:tcPr>
          <w:p w14:paraId="3ED795AA" w14:textId="77777777" w:rsidR="00BD49C5" w:rsidRPr="00BD7F00" w:rsidRDefault="00BD49C5" w:rsidP="00AA12E3">
            <w:pPr>
              <w:jc w:val="right"/>
              <w:rPr>
                <w:sz w:val="22"/>
                <w:szCs w:val="22"/>
                <w:lang w:eastAsia="es-ES"/>
              </w:rPr>
            </w:pPr>
            <w:r w:rsidRPr="00BD7F00">
              <w:rPr>
                <w:sz w:val="22"/>
                <w:szCs w:val="22"/>
                <w:lang w:eastAsia="es-ES"/>
              </w:rPr>
              <w:t>0,02</w:t>
            </w:r>
          </w:p>
        </w:tc>
      </w:tr>
    </w:tbl>
    <w:p w14:paraId="1CC98302" w14:textId="77777777" w:rsidR="00BD49C5" w:rsidRPr="00BD7F00" w:rsidRDefault="00BD49C5" w:rsidP="00AA12E3">
      <w:pPr>
        <w:ind w:right="-172"/>
        <w:jc w:val="center"/>
        <w:rPr>
          <w:sz w:val="16"/>
          <w:szCs w:val="16"/>
        </w:rPr>
      </w:pPr>
    </w:p>
    <w:p w14:paraId="1CBCCB2A" w14:textId="70B2F763" w:rsidR="00BD49C5" w:rsidRPr="00BD7F00" w:rsidRDefault="00BD49C5" w:rsidP="00AA12E3">
      <w:pPr>
        <w:ind w:right="-172"/>
        <w:jc w:val="center"/>
        <w:rPr>
          <w:sz w:val="16"/>
          <w:szCs w:val="16"/>
        </w:rPr>
      </w:pPr>
      <w:r w:rsidRPr="00BD7F00">
        <w:rPr>
          <w:sz w:val="16"/>
          <w:szCs w:val="16"/>
        </w:rPr>
        <w:t>Fuente: Elaboración propia a partir de las encuestas ganaderas del Ministerio de Agricultura, Pesca y Alimentación</w:t>
      </w:r>
    </w:p>
    <w:p w14:paraId="2A0E6B31" w14:textId="77777777" w:rsidR="00714630" w:rsidRDefault="00714630" w:rsidP="00AA12E3">
      <w:pPr>
        <w:spacing w:after="240"/>
      </w:pPr>
    </w:p>
    <w:p w14:paraId="48AF84A3" w14:textId="24AD3E30" w:rsidR="0004789E" w:rsidRPr="00AB4B50" w:rsidRDefault="0004789E" w:rsidP="00AA12E3">
      <w:pPr>
        <w:spacing w:after="240"/>
        <w:rPr>
          <w:bCs/>
        </w:rPr>
      </w:pPr>
      <w:r w:rsidRPr="00BD7F00">
        <w:t xml:space="preserve">De la especie porcina, el Ministerio censó en mayo de 2025 un total de </w:t>
      </w:r>
      <w:r w:rsidRPr="00BD7F00">
        <w:rPr>
          <w:lang w:eastAsia="es-ES"/>
        </w:rPr>
        <w:t>4.365.973</w:t>
      </w:r>
      <w:r w:rsidRPr="00BD7F00">
        <w:rPr>
          <w:b/>
          <w:bCs/>
          <w:sz w:val="20"/>
          <w:szCs w:val="20"/>
          <w:lang w:eastAsia="es-ES"/>
        </w:rPr>
        <w:t xml:space="preserve"> </w:t>
      </w:r>
      <w:r w:rsidRPr="00BD7F00">
        <w:rPr>
          <w:bCs/>
        </w:rPr>
        <w:t xml:space="preserve">animales, cifra prácticamente similar a la registrada en 2024, con un leve descenso del 0,40%. </w:t>
      </w:r>
      <w:r w:rsidRPr="00BD7F00">
        <w:t>En 2025 se ha producido un descenso en el número de cerdas reproductoras, de un 17,83% respecto al año anterior.</w:t>
      </w:r>
    </w:p>
    <w:p w14:paraId="42379CED" w14:textId="146F016B" w:rsidR="00F8655E" w:rsidRDefault="00F125FD" w:rsidP="00AA12E3">
      <w:r w:rsidRPr="00BD7F00">
        <w:rPr>
          <w:bCs/>
        </w:rPr>
        <w:t>Castilla y León es la tercera región</w:t>
      </w:r>
      <w:r w:rsidRPr="00BD7F00">
        <w:t xml:space="preserve"> de España en censo de porcino, con el 1</w:t>
      </w:r>
      <w:r w:rsidR="006C7962" w:rsidRPr="00BD7F00">
        <w:t>2,93</w:t>
      </w:r>
      <w:r w:rsidRPr="00BD7F00">
        <w:t>% del total nacional (</w:t>
      </w:r>
      <w:r w:rsidR="00160A30" w:rsidRPr="00BD7F00">
        <w:rPr>
          <w:lang w:eastAsia="es-ES"/>
        </w:rPr>
        <w:t>33.765.641</w:t>
      </w:r>
      <w:r w:rsidR="00160A30" w:rsidRPr="00BD7F00">
        <w:rPr>
          <w:b/>
          <w:bCs/>
          <w:sz w:val="20"/>
          <w:szCs w:val="20"/>
          <w:lang w:eastAsia="es-ES"/>
        </w:rPr>
        <w:t xml:space="preserve"> </w:t>
      </w:r>
      <w:r w:rsidRPr="00BD7F00">
        <w:t>animales), por detrás de Aragón (</w:t>
      </w:r>
      <w:r w:rsidR="006C7962" w:rsidRPr="00BD7F00">
        <w:rPr>
          <w:lang w:eastAsia="es-ES"/>
        </w:rPr>
        <w:t>9.738.717</w:t>
      </w:r>
      <w:r w:rsidRPr="00BD7F00">
        <w:t xml:space="preserve"> animales) y Cataluña (</w:t>
      </w:r>
      <w:r w:rsidR="006C7962" w:rsidRPr="00BD7F00">
        <w:rPr>
          <w:lang w:eastAsia="es-ES"/>
        </w:rPr>
        <w:t>8.075.978</w:t>
      </w:r>
      <w:r w:rsidRPr="00BD7F00">
        <w:t xml:space="preserve"> animales). En este censo están incluidas las </w:t>
      </w:r>
      <w:r w:rsidR="006C7962" w:rsidRPr="00BD7F00">
        <w:rPr>
          <w:lang w:eastAsia="es-ES"/>
        </w:rPr>
        <w:t>1.061.086</w:t>
      </w:r>
      <w:r w:rsidR="006C7962" w:rsidRPr="00BD7F00">
        <w:rPr>
          <w:b/>
          <w:bCs/>
          <w:sz w:val="20"/>
          <w:szCs w:val="20"/>
          <w:lang w:eastAsia="es-ES"/>
        </w:rPr>
        <w:t xml:space="preserve"> </w:t>
      </w:r>
      <w:r w:rsidRPr="00BD7F00">
        <w:t xml:space="preserve">cabezas de porcino ibérico que tiene nuestra región, donde se ha experimentado un </w:t>
      </w:r>
      <w:r w:rsidR="006C7962" w:rsidRPr="00BD7F00">
        <w:t>incremento</w:t>
      </w:r>
      <w:r w:rsidRPr="00BD7F00">
        <w:t xml:space="preserve"> del </w:t>
      </w:r>
      <w:r w:rsidR="006C7962" w:rsidRPr="00BD7F00">
        <w:t xml:space="preserve">4,05 </w:t>
      </w:r>
      <w:r w:rsidRPr="00BD7F00">
        <w:t>% en el último año, siendo la segunda región en número de animales por detrás de Extremadura, que tiene el 37,</w:t>
      </w:r>
      <w:r w:rsidR="00471750" w:rsidRPr="00BD7F00">
        <w:t>43</w:t>
      </w:r>
      <w:r w:rsidRPr="00BD7F00">
        <w:t>% del total nacional de cerdo ibérico.</w:t>
      </w:r>
    </w:p>
    <w:p w14:paraId="1888D5E1" w14:textId="77777777" w:rsidR="009A63CB" w:rsidRDefault="009A63CB" w:rsidP="00AA12E3"/>
    <w:p w14:paraId="5394F159" w14:textId="17E7BF10" w:rsidR="00F8655E" w:rsidRPr="00BD7F00" w:rsidRDefault="00F125FD" w:rsidP="00AA12E3">
      <w:pPr>
        <w:spacing w:after="120"/>
      </w:pPr>
      <w:r w:rsidRPr="00BD7F00">
        <w:t>En la tabla siguiente se puede ver el censo y la evolución por tipo de ganado:</w:t>
      </w:r>
    </w:p>
    <w:tbl>
      <w:tblPr>
        <w:tblpPr w:leftFromText="141" w:rightFromText="141" w:vertAnchor="text" w:horzAnchor="margin" w:tblpXSpec="center" w:tblpY="125"/>
        <w:tblW w:w="8719" w:type="dxa"/>
        <w:tblCellMar>
          <w:left w:w="70" w:type="dxa"/>
          <w:right w:w="70" w:type="dxa"/>
        </w:tblCellMar>
        <w:tblLook w:val="04A0" w:firstRow="1" w:lastRow="0" w:firstColumn="1" w:lastColumn="0" w:noHBand="0" w:noVBand="1"/>
      </w:tblPr>
      <w:tblGrid>
        <w:gridCol w:w="1630"/>
        <w:gridCol w:w="1334"/>
        <w:gridCol w:w="2130"/>
        <w:gridCol w:w="1030"/>
        <w:gridCol w:w="1227"/>
        <w:gridCol w:w="1393"/>
      </w:tblGrid>
      <w:tr w:rsidR="00BD7F00" w:rsidRPr="00BD7F00" w14:paraId="3C74D4D3" w14:textId="77777777" w:rsidTr="00702195">
        <w:trPr>
          <w:trHeight w:val="236"/>
        </w:trPr>
        <w:tc>
          <w:tcPr>
            <w:tcW w:w="5094" w:type="dxa"/>
            <w:gridSpan w:val="3"/>
            <w:tcBorders>
              <w:top w:val="nil"/>
              <w:left w:val="nil"/>
              <w:bottom w:val="nil"/>
              <w:right w:val="single" w:sz="8" w:space="0" w:color="000000"/>
            </w:tcBorders>
            <w:noWrap/>
            <w:vAlign w:val="center"/>
            <w:hideMark/>
          </w:tcPr>
          <w:p w14:paraId="0E1E3217" w14:textId="77777777" w:rsidR="00330C05" w:rsidRPr="00BD7F00" w:rsidRDefault="00330C05" w:rsidP="00AA12E3">
            <w:pPr>
              <w:jc w:val="left"/>
              <w:rPr>
                <w:sz w:val="20"/>
                <w:szCs w:val="20"/>
                <w:lang w:eastAsia="es-ES"/>
              </w:rPr>
            </w:pPr>
          </w:p>
        </w:tc>
        <w:tc>
          <w:tcPr>
            <w:tcW w:w="1005" w:type="dxa"/>
            <w:tcBorders>
              <w:top w:val="single" w:sz="8" w:space="0" w:color="auto"/>
              <w:left w:val="nil"/>
              <w:bottom w:val="single" w:sz="8" w:space="0" w:color="auto"/>
              <w:right w:val="single" w:sz="8" w:space="0" w:color="auto"/>
            </w:tcBorders>
            <w:noWrap/>
            <w:vAlign w:val="center"/>
            <w:hideMark/>
          </w:tcPr>
          <w:p w14:paraId="37745C6C" w14:textId="77777777" w:rsidR="00330C05" w:rsidRPr="00BD7F00" w:rsidRDefault="00330C05" w:rsidP="00AA12E3">
            <w:pPr>
              <w:jc w:val="center"/>
              <w:rPr>
                <w:b/>
                <w:bCs/>
                <w:sz w:val="22"/>
                <w:szCs w:val="22"/>
                <w:lang w:eastAsia="es-ES"/>
              </w:rPr>
            </w:pPr>
            <w:r w:rsidRPr="00BD7F00">
              <w:rPr>
                <w:b/>
                <w:bCs/>
                <w:sz w:val="22"/>
                <w:szCs w:val="22"/>
                <w:lang w:eastAsia="es-ES"/>
              </w:rPr>
              <w:t>2024</w:t>
            </w:r>
          </w:p>
        </w:tc>
        <w:tc>
          <w:tcPr>
            <w:tcW w:w="1227" w:type="dxa"/>
            <w:tcBorders>
              <w:top w:val="single" w:sz="8" w:space="0" w:color="auto"/>
              <w:left w:val="nil"/>
              <w:bottom w:val="single" w:sz="8" w:space="0" w:color="auto"/>
              <w:right w:val="single" w:sz="8" w:space="0" w:color="auto"/>
            </w:tcBorders>
            <w:noWrap/>
            <w:vAlign w:val="center"/>
            <w:hideMark/>
          </w:tcPr>
          <w:p w14:paraId="060A5A54" w14:textId="77777777" w:rsidR="00330C05" w:rsidRPr="00BD7F00" w:rsidRDefault="00330C05" w:rsidP="00AA12E3">
            <w:pPr>
              <w:jc w:val="center"/>
              <w:rPr>
                <w:b/>
                <w:bCs/>
                <w:sz w:val="22"/>
                <w:szCs w:val="22"/>
                <w:lang w:eastAsia="es-ES"/>
              </w:rPr>
            </w:pPr>
            <w:r w:rsidRPr="00BD7F00">
              <w:rPr>
                <w:b/>
                <w:bCs/>
                <w:sz w:val="22"/>
                <w:szCs w:val="22"/>
                <w:lang w:eastAsia="es-ES"/>
              </w:rPr>
              <w:t>2025</w:t>
            </w:r>
          </w:p>
        </w:tc>
        <w:tc>
          <w:tcPr>
            <w:tcW w:w="1393" w:type="dxa"/>
            <w:tcBorders>
              <w:top w:val="single" w:sz="8" w:space="0" w:color="auto"/>
              <w:left w:val="nil"/>
              <w:bottom w:val="single" w:sz="8" w:space="0" w:color="auto"/>
              <w:right w:val="single" w:sz="8" w:space="0" w:color="auto"/>
            </w:tcBorders>
            <w:noWrap/>
            <w:vAlign w:val="center"/>
            <w:hideMark/>
          </w:tcPr>
          <w:p w14:paraId="5637F9BE" w14:textId="77777777" w:rsidR="00330C05" w:rsidRPr="00BD7F00" w:rsidRDefault="00330C05" w:rsidP="00AA12E3">
            <w:pPr>
              <w:jc w:val="center"/>
              <w:rPr>
                <w:b/>
                <w:bCs/>
                <w:sz w:val="22"/>
                <w:szCs w:val="22"/>
                <w:lang w:eastAsia="es-ES"/>
              </w:rPr>
            </w:pPr>
            <w:r w:rsidRPr="00BD7F00">
              <w:rPr>
                <w:b/>
                <w:bCs/>
                <w:sz w:val="22"/>
                <w:szCs w:val="22"/>
                <w:lang w:eastAsia="es-ES"/>
              </w:rPr>
              <w:t>Variación (%)</w:t>
            </w:r>
          </w:p>
        </w:tc>
      </w:tr>
      <w:tr w:rsidR="00BD7F00" w:rsidRPr="00BD7F00" w14:paraId="7A935F49" w14:textId="77777777" w:rsidTr="00702195">
        <w:trPr>
          <w:trHeight w:val="236"/>
        </w:trPr>
        <w:tc>
          <w:tcPr>
            <w:tcW w:w="5094" w:type="dxa"/>
            <w:gridSpan w:val="3"/>
            <w:tcBorders>
              <w:top w:val="single" w:sz="8" w:space="0" w:color="auto"/>
              <w:left w:val="single" w:sz="8" w:space="0" w:color="auto"/>
              <w:bottom w:val="nil"/>
              <w:right w:val="single" w:sz="8" w:space="0" w:color="000000"/>
            </w:tcBorders>
            <w:noWrap/>
            <w:vAlign w:val="center"/>
            <w:hideMark/>
          </w:tcPr>
          <w:p w14:paraId="69158495" w14:textId="77777777" w:rsidR="00330C05" w:rsidRPr="00BD7F00" w:rsidRDefault="00330C05" w:rsidP="00AA12E3">
            <w:pPr>
              <w:jc w:val="left"/>
              <w:rPr>
                <w:b/>
                <w:bCs/>
                <w:sz w:val="22"/>
                <w:szCs w:val="22"/>
                <w:lang w:eastAsia="es-ES"/>
              </w:rPr>
            </w:pPr>
            <w:r w:rsidRPr="00BD7F00">
              <w:rPr>
                <w:b/>
                <w:bCs/>
                <w:sz w:val="22"/>
                <w:szCs w:val="22"/>
                <w:lang w:eastAsia="es-ES"/>
              </w:rPr>
              <w:t>Total</w:t>
            </w:r>
          </w:p>
        </w:tc>
        <w:tc>
          <w:tcPr>
            <w:tcW w:w="1005" w:type="dxa"/>
            <w:tcBorders>
              <w:top w:val="nil"/>
              <w:left w:val="nil"/>
              <w:bottom w:val="nil"/>
              <w:right w:val="single" w:sz="4" w:space="0" w:color="auto"/>
            </w:tcBorders>
            <w:noWrap/>
            <w:vAlign w:val="center"/>
            <w:hideMark/>
          </w:tcPr>
          <w:p w14:paraId="798C317A" w14:textId="77777777" w:rsidR="00330C05" w:rsidRPr="00BD7F00" w:rsidRDefault="00330C05" w:rsidP="00AA12E3">
            <w:pPr>
              <w:jc w:val="center"/>
              <w:rPr>
                <w:sz w:val="20"/>
                <w:szCs w:val="20"/>
                <w:lang w:eastAsia="es-ES"/>
              </w:rPr>
            </w:pPr>
            <w:r w:rsidRPr="00BD7F00">
              <w:rPr>
                <w:sz w:val="20"/>
                <w:szCs w:val="20"/>
                <w:lang w:eastAsia="es-ES"/>
              </w:rPr>
              <w:t>4.348.714</w:t>
            </w:r>
          </w:p>
        </w:tc>
        <w:tc>
          <w:tcPr>
            <w:tcW w:w="1227" w:type="dxa"/>
            <w:tcBorders>
              <w:top w:val="nil"/>
              <w:left w:val="nil"/>
              <w:bottom w:val="nil"/>
              <w:right w:val="single" w:sz="4" w:space="0" w:color="auto"/>
            </w:tcBorders>
            <w:shd w:val="clear" w:color="000000" w:fill="FFFFFF"/>
            <w:noWrap/>
            <w:vAlign w:val="bottom"/>
            <w:hideMark/>
          </w:tcPr>
          <w:p w14:paraId="1252FE00" w14:textId="77777777" w:rsidR="00330C05" w:rsidRPr="00BD7F00" w:rsidRDefault="00330C05" w:rsidP="00AA12E3">
            <w:pPr>
              <w:jc w:val="right"/>
              <w:rPr>
                <w:sz w:val="20"/>
                <w:szCs w:val="20"/>
                <w:lang w:eastAsia="es-ES"/>
              </w:rPr>
            </w:pPr>
            <w:r w:rsidRPr="00BD7F00">
              <w:rPr>
                <w:sz w:val="20"/>
                <w:szCs w:val="20"/>
                <w:lang w:eastAsia="es-ES"/>
              </w:rPr>
              <w:t>4.365.973</w:t>
            </w:r>
          </w:p>
        </w:tc>
        <w:tc>
          <w:tcPr>
            <w:tcW w:w="1393" w:type="dxa"/>
            <w:tcBorders>
              <w:top w:val="nil"/>
              <w:left w:val="nil"/>
              <w:bottom w:val="nil"/>
              <w:right w:val="single" w:sz="8" w:space="0" w:color="auto"/>
            </w:tcBorders>
            <w:noWrap/>
            <w:vAlign w:val="bottom"/>
            <w:hideMark/>
          </w:tcPr>
          <w:p w14:paraId="14E6F00A" w14:textId="77777777" w:rsidR="00330C05" w:rsidRPr="00BD7F00" w:rsidRDefault="00330C05" w:rsidP="00AA12E3">
            <w:pPr>
              <w:jc w:val="right"/>
              <w:rPr>
                <w:sz w:val="20"/>
                <w:szCs w:val="20"/>
                <w:lang w:eastAsia="es-ES"/>
              </w:rPr>
            </w:pPr>
            <w:r w:rsidRPr="00BD7F00">
              <w:rPr>
                <w:sz w:val="20"/>
                <w:szCs w:val="20"/>
                <w:lang w:eastAsia="es-ES"/>
              </w:rPr>
              <w:t>0,40</w:t>
            </w:r>
          </w:p>
        </w:tc>
      </w:tr>
      <w:tr w:rsidR="00BD7F00" w:rsidRPr="00BD7F00" w14:paraId="27FEBA33" w14:textId="77777777" w:rsidTr="00702195">
        <w:trPr>
          <w:trHeight w:val="201"/>
        </w:trPr>
        <w:tc>
          <w:tcPr>
            <w:tcW w:w="5094" w:type="dxa"/>
            <w:gridSpan w:val="3"/>
            <w:tcBorders>
              <w:top w:val="single" w:sz="8" w:space="0" w:color="auto"/>
              <w:left w:val="single" w:sz="8" w:space="0" w:color="auto"/>
              <w:bottom w:val="single" w:sz="4" w:space="0" w:color="auto"/>
              <w:right w:val="single" w:sz="4" w:space="0" w:color="auto"/>
            </w:tcBorders>
            <w:noWrap/>
            <w:vAlign w:val="center"/>
            <w:hideMark/>
          </w:tcPr>
          <w:p w14:paraId="02BB6172" w14:textId="77777777" w:rsidR="00330C05" w:rsidRPr="00BD7F00" w:rsidRDefault="00330C05" w:rsidP="00AA12E3">
            <w:pPr>
              <w:jc w:val="left"/>
              <w:rPr>
                <w:sz w:val="20"/>
                <w:szCs w:val="20"/>
                <w:lang w:eastAsia="es-ES"/>
              </w:rPr>
            </w:pPr>
            <w:r w:rsidRPr="00BD7F00">
              <w:rPr>
                <w:sz w:val="20"/>
                <w:szCs w:val="20"/>
                <w:lang w:eastAsia="es-ES"/>
              </w:rPr>
              <w:t>Lechones</w:t>
            </w:r>
          </w:p>
        </w:tc>
        <w:tc>
          <w:tcPr>
            <w:tcW w:w="1005" w:type="dxa"/>
            <w:tcBorders>
              <w:top w:val="single" w:sz="8" w:space="0" w:color="auto"/>
              <w:left w:val="nil"/>
              <w:bottom w:val="single" w:sz="4" w:space="0" w:color="auto"/>
              <w:right w:val="single" w:sz="4" w:space="0" w:color="auto"/>
            </w:tcBorders>
            <w:noWrap/>
            <w:vAlign w:val="center"/>
            <w:hideMark/>
          </w:tcPr>
          <w:p w14:paraId="6995F182" w14:textId="77777777" w:rsidR="00330C05" w:rsidRPr="00BD7F00" w:rsidRDefault="00330C05" w:rsidP="00AA12E3">
            <w:pPr>
              <w:jc w:val="center"/>
              <w:rPr>
                <w:sz w:val="20"/>
                <w:szCs w:val="20"/>
                <w:lang w:eastAsia="es-ES"/>
              </w:rPr>
            </w:pPr>
            <w:r w:rsidRPr="00BD7F00">
              <w:rPr>
                <w:sz w:val="20"/>
                <w:szCs w:val="20"/>
                <w:lang w:eastAsia="es-ES"/>
              </w:rPr>
              <w:t>1.207.566</w:t>
            </w:r>
          </w:p>
        </w:tc>
        <w:tc>
          <w:tcPr>
            <w:tcW w:w="1227" w:type="dxa"/>
            <w:tcBorders>
              <w:top w:val="single" w:sz="8" w:space="0" w:color="auto"/>
              <w:left w:val="nil"/>
              <w:bottom w:val="single" w:sz="4" w:space="0" w:color="auto"/>
              <w:right w:val="single" w:sz="4" w:space="0" w:color="auto"/>
            </w:tcBorders>
            <w:shd w:val="clear" w:color="000000" w:fill="FFFFFF"/>
            <w:noWrap/>
            <w:vAlign w:val="bottom"/>
            <w:hideMark/>
          </w:tcPr>
          <w:p w14:paraId="385EF0AE" w14:textId="77777777" w:rsidR="00330C05" w:rsidRPr="00BD7F00" w:rsidRDefault="00330C05" w:rsidP="00AA12E3">
            <w:pPr>
              <w:jc w:val="right"/>
              <w:rPr>
                <w:sz w:val="20"/>
                <w:szCs w:val="20"/>
                <w:lang w:eastAsia="es-ES"/>
              </w:rPr>
            </w:pPr>
            <w:r w:rsidRPr="00BD7F00">
              <w:rPr>
                <w:sz w:val="20"/>
                <w:szCs w:val="20"/>
                <w:lang w:eastAsia="es-ES"/>
              </w:rPr>
              <w:t>1.230.425</w:t>
            </w:r>
          </w:p>
        </w:tc>
        <w:tc>
          <w:tcPr>
            <w:tcW w:w="1393" w:type="dxa"/>
            <w:tcBorders>
              <w:top w:val="single" w:sz="8" w:space="0" w:color="auto"/>
              <w:left w:val="nil"/>
              <w:bottom w:val="single" w:sz="4" w:space="0" w:color="auto"/>
              <w:right w:val="single" w:sz="8" w:space="0" w:color="auto"/>
            </w:tcBorders>
            <w:noWrap/>
            <w:vAlign w:val="bottom"/>
            <w:hideMark/>
          </w:tcPr>
          <w:p w14:paraId="2D4415A2" w14:textId="77777777" w:rsidR="00330C05" w:rsidRPr="00BD7F00" w:rsidRDefault="00330C05" w:rsidP="00AA12E3">
            <w:pPr>
              <w:jc w:val="right"/>
              <w:rPr>
                <w:sz w:val="20"/>
                <w:szCs w:val="20"/>
                <w:lang w:eastAsia="es-ES"/>
              </w:rPr>
            </w:pPr>
            <w:r w:rsidRPr="00BD7F00">
              <w:rPr>
                <w:sz w:val="20"/>
                <w:szCs w:val="20"/>
                <w:lang w:eastAsia="es-ES"/>
              </w:rPr>
              <w:t>1,89</w:t>
            </w:r>
          </w:p>
        </w:tc>
      </w:tr>
      <w:tr w:rsidR="00BD7F00" w:rsidRPr="00BD7F00" w14:paraId="3815891E" w14:textId="77777777" w:rsidTr="00702195">
        <w:trPr>
          <w:trHeight w:val="191"/>
        </w:trPr>
        <w:tc>
          <w:tcPr>
            <w:tcW w:w="5094" w:type="dxa"/>
            <w:gridSpan w:val="3"/>
            <w:tcBorders>
              <w:top w:val="single" w:sz="4" w:space="0" w:color="auto"/>
              <w:left w:val="single" w:sz="8" w:space="0" w:color="auto"/>
              <w:bottom w:val="single" w:sz="4" w:space="0" w:color="auto"/>
              <w:right w:val="single" w:sz="4" w:space="0" w:color="auto"/>
            </w:tcBorders>
            <w:noWrap/>
            <w:vAlign w:val="center"/>
            <w:hideMark/>
          </w:tcPr>
          <w:p w14:paraId="723A01E7" w14:textId="77777777" w:rsidR="00330C05" w:rsidRPr="00BD7F00" w:rsidRDefault="00330C05" w:rsidP="00AA12E3">
            <w:pPr>
              <w:jc w:val="left"/>
              <w:rPr>
                <w:sz w:val="20"/>
                <w:szCs w:val="20"/>
                <w:lang w:eastAsia="es-ES"/>
              </w:rPr>
            </w:pPr>
            <w:r w:rsidRPr="00BD7F00">
              <w:rPr>
                <w:sz w:val="20"/>
                <w:szCs w:val="20"/>
                <w:lang w:eastAsia="es-ES"/>
              </w:rPr>
              <w:t>Cerdos de 20-49 kg (peso vivo)</w:t>
            </w:r>
          </w:p>
        </w:tc>
        <w:tc>
          <w:tcPr>
            <w:tcW w:w="1005" w:type="dxa"/>
            <w:tcBorders>
              <w:top w:val="nil"/>
              <w:left w:val="nil"/>
              <w:bottom w:val="single" w:sz="4" w:space="0" w:color="auto"/>
              <w:right w:val="single" w:sz="4" w:space="0" w:color="auto"/>
            </w:tcBorders>
            <w:noWrap/>
            <w:vAlign w:val="center"/>
            <w:hideMark/>
          </w:tcPr>
          <w:p w14:paraId="3667F0C8" w14:textId="77777777" w:rsidR="00330C05" w:rsidRPr="00BD7F00" w:rsidRDefault="00330C05" w:rsidP="00AA12E3">
            <w:pPr>
              <w:jc w:val="center"/>
              <w:rPr>
                <w:sz w:val="20"/>
                <w:szCs w:val="20"/>
                <w:lang w:eastAsia="es-ES"/>
              </w:rPr>
            </w:pPr>
            <w:r w:rsidRPr="00BD7F00">
              <w:rPr>
                <w:sz w:val="20"/>
                <w:szCs w:val="20"/>
                <w:lang w:eastAsia="es-ES"/>
              </w:rPr>
              <w:t>749.675</w:t>
            </w:r>
          </w:p>
        </w:tc>
        <w:tc>
          <w:tcPr>
            <w:tcW w:w="1227" w:type="dxa"/>
            <w:tcBorders>
              <w:top w:val="nil"/>
              <w:left w:val="nil"/>
              <w:bottom w:val="single" w:sz="4" w:space="0" w:color="auto"/>
              <w:right w:val="single" w:sz="4" w:space="0" w:color="auto"/>
            </w:tcBorders>
            <w:shd w:val="clear" w:color="000000" w:fill="FFFFFF"/>
            <w:noWrap/>
            <w:vAlign w:val="bottom"/>
            <w:hideMark/>
          </w:tcPr>
          <w:p w14:paraId="4C8CF7DB" w14:textId="77777777" w:rsidR="00330C05" w:rsidRPr="00BD7F00" w:rsidRDefault="00330C05" w:rsidP="00AA12E3">
            <w:pPr>
              <w:jc w:val="right"/>
              <w:rPr>
                <w:sz w:val="20"/>
                <w:szCs w:val="20"/>
                <w:lang w:eastAsia="es-ES"/>
              </w:rPr>
            </w:pPr>
            <w:r w:rsidRPr="00BD7F00">
              <w:rPr>
                <w:sz w:val="20"/>
                <w:szCs w:val="20"/>
                <w:lang w:eastAsia="es-ES"/>
              </w:rPr>
              <w:t>773.765</w:t>
            </w:r>
          </w:p>
        </w:tc>
        <w:tc>
          <w:tcPr>
            <w:tcW w:w="1393" w:type="dxa"/>
            <w:tcBorders>
              <w:top w:val="nil"/>
              <w:left w:val="nil"/>
              <w:bottom w:val="single" w:sz="4" w:space="0" w:color="auto"/>
              <w:right w:val="single" w:sz="8" w:space="0" w:color="auto"/>
            </w:tcBorders>
            <w:noWrap/>
            <w:vAlign w:val="bottom"/>
            <w:hideMark/>
          </w:tcPr>
          <w:p w14:paraId="570D662C" w14:textId="77777777" w:rsidR="00330C05" w:rsidRPr="00BD7F00" w:rsidRDefault="00330C05" w:rsidP="00AA12E3">
            <w:pPr>
              <w:jc w:val="right"/>
              <w:rPr>
                <w:sz w:val="20"/>
                <w:szCs w:val="20"/>
                <w:lang w:eastAsia="es-ES"/>
              </w:rPr>
            </w:pPr>
            <w:r w:rsidRPr="00BD7F00">
              <w:rPr>
                <w:sz w:val="20"/>
                <w:szCs w:val="20"/>
                <w:lang w:eastAsia="es-ES"/>
              </w:rPr>
              <w:t>3,21</w:t>
            </w:r>
          </w:p>
        </w:tc>
      </w:tr>
      <w:tr w:rsidR="00BD7F00" w:rsidRPr="00BD7F00" w14:paraId="48740727" w14:textId="77777777" w:rsidTr="00702195">
        <w:trPr>
          <w:trHeight w:val="191"/>
        </w:trPr>
        <w:tc>
          <w:tcPr>
            <w:tcW w:w="1630" w:type="dxa"/>
            <w:vMerge w:val="restart"/>
            <w:tcBorders>
              <w:top w:val="nil"/>
              <w:left w:val="single" w:sz="8" w:space="0" w:color="auto"/>
              <w:bottom w:val="single" w:sz="4" w:space="0" w:color="auto"/>
              <w:right w:val="single" w:sz="4" w:space="0" w:color="auto"/>
            </w:tcBorders>
            <w:noWrap/>
            <w:vAlign w:val="center"/>
            <w:hideMark/>
          </w:tcPr>
          <w:p w14:paraId="2D3A034A" w14:textId="77777777" w:rsidR="00330C05" w:rsidRPr="00BD7F00" w:rsidRDefault="00330C05" w:rsidP="00AA12E3">
            <w:pPr>
              <w:jc w:val="left"/>
              <w:rPr>
                <w:sz w:val="20"/>
                <w:szCs w:val="20"/>
                <w:lang w:eastAsia="es-ES"/>
              </w:rPr>
            </w:pPr>
            <w:r w:rsidRPr="00BD7F00">
              <w:rPr>
                <w:sz w:val="20"/>
                <w:szCs w:val="20"/>
                <w:lang w:eastAsia="es-ES"/>
              </w:rPr>
              <w:t>Cerdos en cebo</w:t>
            </w:r>
          </w:p>
        </w:tc>
        <w:tc>
          <w:tcPr>
            <w:tcW w:w="3463" w:type="dxa"/>
            <w:gridSpan w:val="2"/>
            <w:tcBorders>
              <w:top w:val="single" w:sz="4" w:space="0" w:color="auto"/>
              <w:left w:val="nil"/>
              <w:bottom w:val="single" w:sz="4" w:space="0" w:color="auto"/>
              <w:right w:val="single" w:sz="4" w:space="0" w:color="auto"/>
            </w:tcBorders>
            <w:noWrap/>
            <w:vAlign w:val="center"/>
            <w:hideMark/>
          </w:tcPr>
          <w:p w14:paraId="259CFAFC" w14:textId="77777777" w:rsidR="00330C05" w:rsidRPr="00BD7F00" w:rsidRDefault="00330C05" w:rsidP="00AA12E3">
            <w:pPr>
              <w:jc w:val="left"/>
              <w:rPr>
                <w:i/>
                <w:iCs/>
                <w:sz w:val="20"/>
                <w:szCs w:val="20"/>
                <w:lang w:eastAsia="es-ES"/>
              </w:rPr>
            </w:pPr>
            <w:r w:rsidRPr="00BD7F00">
              <w:rPr>
                <w:i/>
                <w:iCs/>
                <w:sz w:val="20"/>
                <w:szCs w:val="20"/>
                <w:lang w:eastAsia="es-ES"/>
              </w:rPr>
              <w:t>Total cerdos de cebo (peso vivo)</w:t>
            </w:r>
          </w:p>
        </w:tc>
        <w:tc>
          <w:tcPr>
            <w:tcW w:w="1005" w:type="dxa"/>
            <w:tcBorders>
              <w:top w:val="nil"/>
              <w:left w:val="nil"/>
              <w:bottom w:val="single" w:sz="4" w:space="0" w:color="auto"/>
              <w:right w:val="single" w:sz="4" w:space="0" w:color="auto"/>
            </w:tcBorders>
            <w:noWrap/>
            <w:vAlign w:val="center"/>
            <w:hideMark/>
          </w:tcPr>
          <w:p w14:paraId="12556BDE" w14:textId="77777777" w:rsidR="00330C05" w:rsidRPr="00BD7F00" w:rsidRDefault="00330C05" w:rsidP="00AA12E3">
            <w:pPr>
              <w:jc w:val="center"/>
              <w:rPr>
                <w:sz w:val="20"/>
                <w:szCs w:val="20"/>
                <w:lang w:eastAsia="es-ES"/>
              </w:rPr>
            </w:pPr>
            <w:r w:rsidRPr="00BD7F00">
              <w:rPr>
                <w:sz w:val="20"/>
                <w:szCs w:val="20"/>
                <w:lang w:eastAsia="es-ES"/>
              </w:rPr>
              <w:t>1.894.580</w:t>
            </w:r>
          </w:p>
        </w:tc>
        <w:tc>
          <w:tcPr>
            <w:tcW w:w="1227" w:type="dxa"/>
            <w:tcBorders>
              <w:top w:val="nil"/>
              <w:left w:val="nil"/>
              <w:bottom w:val="single" w:sz="4" w:space="0" w:color="auto"/>
              <w:right w:val="single" w:sz="4" w:space="0" w:color="auto"/>
            </w:tcBorders>
            <w:shd w:val="clear" w:color="000000" w:fill="FFFFFF"/>
            <w:noWrap/>
            <w:vAlign w:val="bottom"/>
            <w:hideMark/>
          </w:tcPr>
          <w:p w14:paraId="7217E0B6" w14:textId="77777777" w:rsidR="00330C05" w:rsidRPr="00BD7F00" w:rsidRDefault="00330C05" w:rsidP="00AA12E3">
            <w:pPr>
              <w:jc w:val="right"/>
              <w:rPr>
                <w:sz w:val="20"/>
                <w:szCs w:val="20"/>
                <w:lang w:eastAsia="es-ES"/>
              </w:rPr>
            </w:pPr>
            <w:r w:rsidRPr="00BD7F00">
              <w:rPr>
                <w:sz w:val="20"/>
                <w:szCs w:val="20"/>
                <w:lang w:eastAsia="es-ES"/>
              </w:rPr>
              <w:t>1.952.680</w:t>
            </w:r>
          </w:p>
        </w:tc>
        <w:tc>
          <w:tcPr>
            <w:tcW w:w="1393" w:type="dxa"/>
            <w:tcBorders>
              <w:top w:val="nil"/>
              <w:left w:val="nil"/>
              <w:bottom w:val="single" w:sz="4" w:space="0" w:color="auto"/>
              <w:right w:val="single" w:sz="8" w:space="0" w:color="auto"/>
            </w:tcBorders>
            <w:noWrap/>
            <w:vAlign w:val="bottom"/>
            <w:hideMark/>
          </w:tcPr>
          <w:p w14:paraId="1914A7BF" w14:textId="77777777" w:rsidR="00330C05" w:rsidRPr="00BD7F00" w:rsidRDefault="00330C05" w:rsidP="00AA12E3">
            <w:pPr>
              <w:jc w:val="right"/>
              <w:rPr>
                <w:sz w:val="20"/>
                <w:szCs w:val="20"/>
                <w:lang w:eastAsia="es-ES"/>
              </w:rPr>
            </w:pPr>
            <w:r w:rsidRPr="00BD7F00">
              <w:rPr>
                <w:sz w:val="20"/>
                <w:szCs w:val="20"/>
                <w:lang w:eastAsia="es-ES"/>
              </w:rPr>
              <w:t>3,07</w:t>
            </w:r>
          </w:p>
        </w:tc>
      </w:tr>
      <w:tr w:rsidR="00BD7F00" w:rsidRPr="00BD7F00" w14:paraId="1B4875FC" w14:textId="77777777" w:rsidTr="00702195">
        <w:trPr>
          <w:trHeight w:val="191"/>
        </w:trPr>
        <w:tc>
          <w:tcPr>
            <w:tcW w:w="1630" w:type="dxa"/>
            <w:vMerge/>
            <w:tcBorders>
              <w:top w:val="nil"/>
              <w:left w:val="single" w:sz="8" w:space="0" w:color="auto"/>
              <w:bottom w:val="single" w:sz="4" w:space="0" w:color="auto"/>
              <w:right w:val="single" w:sz="4" w:space="0" w:color="auto"/>
            </w:tcBorders>
            <w:vAlign w:val="center"/>
            <w:hideMark/>
          </w:tcPr>
          <w:p w14:paraId="264348EC" w14:textId="77777777" w:rsidR="00330C05" w:rsidRPr="00BD7F00" w:rsidRDefault="00330C05" w:rsidP="00AA12E3">
            <w:pPr>
              <w:jc w:val="left"/>
              <w:rPr>
                <w:sz w:val="20"/>
                <w:szCs w:val="20"/>
                <w:lang w:eastAsia="es-ES"/>
              </w:rPr>
            </w:pPr>
          </w:p>
        </w:tc>
        <w:tc>
          <w:tcPr>
            <w:tcW w:w="3463" w:type="dxa"/>
            <w:gridSpan w:val="2"/>
            <w:tcBorders>
              <w:top w:val="single" w:sz="4" w:space="0" w:color="auto"/>
              <w:left w:val="nil"/>
              <w:bottom w:val="single" w:sz="4" w:space="0" w:color="auto"/>
              <w:right w:val="single" w:sz="4" w:space="0" w:color="auto"/>
            </w:tcBorders>
            <w:noWrap/>
            <w:vAlign w:val="center"/>
            <w:hideMark/>
          </w:tcPr>
          <w:p w14:paraId="7E5152D5" w14:textId="77777777" w:rsidR="00330C05" w:rsidRPr="00BD7F00" w:rsidRDefault="00330C05" w:rsidP="00AA12E3">
            <w:pPr>
              <w:jc w:val="left"/>
              <w:rPr>
                <w:sz w:val="20"/>
                <w:szCs w:val="20"/>
                <w:lang w:eastAsia="es-ES"/>
              </w:rPr>
            </w:pPr>
            <w:r w:rsidRPr="00BD7F00">
              <w:rPr>
                <w:sz w:val="20"/>
                <w:szCs w:val="20"/>
                <w:lang w:eastAsia="es-ES"/>
              </w:rPr>
              <w:t>De 50-79 kg</w:t>
            </w:r>
          </w:p>
        </w:tc>
        <w:tc>
          <w:tcPr>
            <w:tcW w:w="1005" w:type="dxa"/>
            <w:tcBorders>
              <w:top w:val="nil"/>
              <w:left w:val="nil"/>
              <w:bottom w:val="single" w:sz="4" w:space="0" w:color="auto"/>
              <w:right w:val="single" w:sz="4" w:space="0" w:color="auto"/>
            </w:tcBorders>
            <w:noWrap/>
            <w:vAlign w:val="center"/>
            <w:hideMark/>
          </w:tcPr>
          <w:p w14:paraId="10E3B210" w14:textId="77777777" w:rsidR="00330C05" w:rsidRPr="00BD7F00" w:rsidRDefault="00330C05" w:rsidP="00AA12E3">
            <w:pPr>
              <w:jc w:val="center"/>
              <w:rPr>
                <w:sz w:val="20"/>
                <w:szCs w:val="20"/>
                <w:lang w:eastAsia="es-ES"/>
              </w:rPr>
            </w:pPr>
            <w:r w:rsidRPr="00BD7F00">
              <w:rPr>
                <w:sz w:val="20"/>
                <w:szCs w:val="20"/>
                <w:lang w:eastAsia="es-ES"/>
              </w:rPr>
              <w:t>711.631</w:t>
            </w:r>
          </w:p>
        </w:tc>
        <w:tc>
          <w:tcPr>
            <w:tcW w:w="1227" w:type="dxa"/>
            <w:tcBorders>
              <w:top w:val="nil"/>
              <w:left w:val="nil"/>
              <w:bottom w:val="single" w:sz="4" w:space="0" w:color="auto"/>
              <w:right w:val="single" w:sz="4" w:space="0" w:color="auto"/>
            </w:tcBorders>
            <w:shd w:val="clear" w:color="000000" w:fill="FFFFFF"/>
            <w:noWrap/>
            <w:vAlign w:val="bottom"/>
            <w:hideMark/>
          </w:tcPr>
          <w:p w14:paraId="0A32CCE2" w14:textId="77777777" w:rsidR="00330C05" w:rsidRPr="00BD7F00" w:rsidRDefault="00330C05" w:rsidP="00AA12E3">
            <w:pPr>
              <w:jc w:val="right"/>
              <w:rPr>
                <w:sz w:val="20"/>
                <w:szCs w:val="20"/>
                <w:lang w:eastAsia="es-ES"/>
              </w:rPr>
            </w:pPr>
            <w:r w:rsidRPr="00BD7F00">
              <w:rPr>
                <w:sz w:val="20"/>
                <w:szCs w:val="20"/>
                <w:lang w:eastAsia="es-ES"/>
              </w:rPr>
              <w:t>728.727</w:t>
            </w:r>
          </w:p>
        </w:tc>
        <w:tc>
          <w:tcPr>
            <w:tcW w:w="1393" w:type="dxa"/>
            <w:tcBorders>
              <w:top w:val="nil"/>
              <w:left w:val="nil"/>
              <w:bottom w:val="single" w:sz="4" w:space="0" w:color="auto"/>
              <w:right w:val="single" w:sz="8" w:space="0" w:color="auto"/>
            </w:tcBorders>
            <w:noWrap/>
            <w:vAlign w:val="bottom"/>
            <w:hideMark/>
          </w:tcPr>
          <w:p w14:paraId="59EAAF00" w14:textId="77777777" w:rsidR="00330C05" w:rsidRPr="00BD7F00" w:rsidRDefault="00330C05" w:rsidP="00AA12E3">
            <w:pPr>
              <w:jc w:val="right"/>
              <w:rPr>
                <w:sz w:val="20"/>
                <w:szCs w:val="20"/>
                <w:lang w:eastAsia="es-ES"/>
              </w:rPr>
            </w:pPr>
            <w:r w:rsidRPr="00BD7F00">
              <w:rPr>
                <w:sz w:val="20"/>
                <w:szCs w:val="20"/>
                <w:lang w:eastAsia="es-ES"/>
              </w:rPr>
              <w:t>2,40</w:t>
            </w:r>
          </w:p>
        </w:tc>
      </w:tr>
      <w:tr w:rsidR="00BD7F00" w:rsidRPr="00BD7F00" w14:paraId="35EAEC16" w14:textId="77777777" w:rsidTr="00702195">
        <w:trPr>
          <w:trHeight w:val="191"/>
        </w:trPr>
        <w:tc>
          <w:tcPr>
            <w:tcW w:w="1630" w:type="dxa"/>
            <w:vMerge/>
            <w:tcBorders>
              <w:top w:val="nil"/>
              <w:left w:val="single" w:sz="8" w:space="0" w:color="auto"/>
              <w:bottom w:val="single" w:sz="4" w:space="0" w:color="auto"/>
              <w:right w:val="single" w:sz="4" w:space="0" w:color="auto"/>
            </w:tcBorders>
            <w:vAlign w:val="center"/>
            <w:hideMark/>
          </w:tcPr>
          <w:p w14:paraId="45E2F600" w14:textId="77777777" w:rsidR="00330C05" w:rsidRPr="00BD7F00" w:rsidRDefault="00330C05" w:rsidP="00AA12E3">
            <w:pPr>
              <w:jc w:val="left"/>
              <w:rPr>
                <w:sz w:val="20"/>
                <w:szCs w:val="20"/>
                <w:lang w:eastAsia="es-ES"/>
              </w:rPr>
            </w:pPr>
          </w:p>
        </w:tc>
        <w:tc>
          <w:tcPr>
            <w:tcW w:w="3463" w:type="dxa"/>
            <w:gridSpan w:val="2"/>
            <w:tcBorders>
              <w:top w:val="single" w:sz="4" w:space="0" w:color="auto"/>
              <w:left w:val="nil"/>
              <w:bottom w:val="single" w:sz="4" w:space="0" w:color="auto"/>
              <w:right w:val="single" w:sz="4" w:space="0" w:color="auto"/>
            </w:tcBorders>
            <w:noWrap/>
            <w:vAlign w:val="center"/>
            <w:hideMark/>
          </w:tcPr>
          <w:p w14:paraId="2F043358" w14:textId="77777777" w:rsidR="00330C05" w:rsidRPr="00BD7F00" w:rsidRDefault="00330C05" w:rsidP="00AA12E3">
            <w:pPr>
              <w:jc w:val="left"/>
              <w:rPr>
                <w:sz w:val="20"/>
                <w:szCs w:val="20"/>
                <w:lang w:eastAsia="es-ES"/>
              </w:rPr>
            </w:pPr>
            <w:r w:rsidRPr="00BD7F00">
              <w:rPr>
                <w:sz w:val="20"/>
                <w:szCs w:val="20"/>
                <w:lang w:eastAsia="es-ES"/>
              </w:rPr>
              <w:t>De 80-109 kg</w:t>
            </w:r>
          </w:p>
        </w:tc>
        <w:tc>
          <w:tcPr>
            <w:tcW w:w="1005" w:type="dxa"/>
            <w:tcBorders>
              <w:top w:val="nil"/>
              <w:left w:val="nil"/>
              <w:bottom w:val="single" w:sz="4" w:space="0" w:color="auto"/>
              <w:right w:val="single" w:sz="4" w:space="0" w:color="auto"/>
            </w:tcBorders>
            <w:noWrap/>
            <w:vAlign w:val="center"/>
            <w:hideMark/>
          </w:tcPr>
          <w:p w14:paraId="4F328C89" w14:textId="77777777" w:rsidR="00330C05" w:rsidRPr="00BD7F00" w:rsidRDefault="00330C05" w:rsidP="00AA12E3">
            <w:pPr>
              <w:jc w:val="center"/>
              <w:rPr>
                <w:sz w:val="20"/>
                <w:szCs w:val="20"/>
                <w:lang w:eastAsia="es-ES"/>
              </w:rPr>
            </w:pPr>
            <w:r w:rsidRPr="00BD7F00">
              <w:rPr>
                <w:sz w:val="20"/>
                <w:szCs w:val="20"/>
                <w:lang w:eastAsia="es-ES"/>
              </w:rPr>
              <w:t>735.304</w:t>
            </w:r>
          </w:p>
        </w:tc>
        <w:tc>
          <w:tcPr>
            <w:tcW w:w="1227" w:type="dxa"/>
            <w:tcBorders>
              <w:top w:val="nil"/>
              <w:left w:val="nil"/>
              <w:bottom w:val="single" w:sz="4" w:space="0" w:color="auto"/>
              <w:right w:val="single" w:sz="4" w:space="0" w:color="auto"/>
            </w:tcBorders>
            <w:shd w:val="clear" w:color="000000" w:fill="FFFFFF"/>
            <w:noWrap/>
            <w:vAlign w:val="bottom"/>
            <w:hideMark/>
          </w:tcPr>
          <w:p w14:paraId="61464E3E" w14:textId="77777777" w:rsidR="00330C05" w:rsidRPr="00BD7F00" w:rsidRDefault="00330C05" w:rsidP="00AA12E3">
            <w:pPr>
              <w:jc w:val="right"/>
              <w:rPr>
                <w:sz w:val="20"/>
                <w:szCs w:val="20"/>
                <w:lang w:eastAsia="es-ES"/>
              </w:rPr>
            </w:pPr>
            <w:r w:rsidRPr="00BD7F00">
              <w:rPr>
                <w:sz w:val="20"/>
                <w:szCs w:val="20"/>
                <w:lang w:eastAsia="es-ES"/>
              </w:rPr>
              <w:t>759.640</w:t>
            </w:r>
          </w:p>
        </w:tc>
        <w:tc>
          <w:tcPr>
            <w:tcW w:w="1393" w:type="dxa"/>
            <w:tcBorders>
              <w:top w:val="nil"/>
              <w:left w:val="nil"/>
              <w:bottom w:val="single" w:sz="4" w:space="0" w:color="auto"/>
              <w:right w:val="single" w:sz="8" w:space="0" w:color="auto"/>
            </w:tcBorders>
            <w:noWrap/>
            <w:vAlign w:val="bottom"/>
            <w:hideMark/>
          </w:tcPr>
          <w:p w14:paraId="61347EA2" w14:textId="77777777" w:rsidR="00330C05" w:rsidRPr="00BD7F00" w:rsidRDefault="00330C05" w:rsidP="00AA12E3">
            <w:pPr>
              <w:jc w:val="right"/>
              <w:rPr>
                <w:sz w:val="20"/>
                <w:szCs w:val="20"/>
                <w:lang w:eastAsia="es-ES"/>
              </w:rPr>
            </w:pPr>
            <w:r w:rsidRPr="00BD7F00">
              <w:rPr>
                <w:sz w:val="20"/>
                <w:szCs w:val="20"/>
                <w:lang w:eastAsia="es-ES"/>
              </w:rPr>
              <w:t>3,31</w:t>
            </w:r>
          </w:p>
        </w:tc>
      </w:tr>
      <w:tr w:rsidR="00BD7F00" w:rsidRPr="00BD7F00" w14:paraId="4EFE6AA7" w14:textId="77777777" w:rsidTr="00702195">
        <w:trPr>
          <w:trHeight w:val="201"/>
        </w:trPr>
        <w:tc>
          <w:tcPr>
            <w:tcW w:w="1630" w:type="dxa"/>
            <w:vMerge/>
            <w:tcBorders>
              <w:top w:val="nil"/>
              <w:left w:val="single" w:sz="8" w:space="0" w:color="auto"/>
              <w:bottom w:val="single" w:sz="4" w:space="0" w:color="auto"/>
              <w:right w:val="single" w:sz="4" w:space="0" w:color="auto"/>
            </w:tcBorders>
            <w:vAlign w:val="center"/>
            <w:hideMark/>
          </w:tcPr>
          <w:p w14:paraId="106FDCAA" w14:textId="77777777" w:rsidR="00330C05" w:rsidRPr="00BD7F00" w:rsidRDefault="00330C05" w:rsidP="00AA12E3">
            <w:pPr>
              <w:jc w:val="left"/>
              <w:rPr>
                <w:sz w:val="20"/>
                <w:szCs w:val="20"/>
                <w:lang w:eastAsia="es-ES"/>
              </w:rPr>
            </w:pPr>
          </w:p>
        </w:tc>
        <w:tc>
          <w:tcPr>
            <w:tcW w:w="3463" w:type="dxa"/>
            <w:gridSpan w:val="2"/>
            <w:tcBorders>
              <w:top w:val="single" w:sz="4" w:space="0" w:color="auto"/>
              <w:left w:val="nil"/>
              <w:bottom w:val="single" w:sz="4" w:space="0" w:color="auto"/>
              <w:right w:val="single" w:sz="4" w:space="0" w:color="auto"/>
            </w:tcBorders>
            <w:noWrap/>
            <w:vAlign w:val="center"/>
            <w:hideMark/>
          </w:tcPr>
          <w:p w14:paraId="2E7122FA" w14:textId="77777777" w:rsidR="00330C05" w:rsidRPr="00BD7F00" w:rsidRDefault="00330C05" w:rsidP="00AA12E3">
            <w:pPr>
              <w:jc w:val="left"/>
              <w:rPr>
                <w:sz w:val="20"/>
                <w:szCs w:val="20"/>
                <w:lang w:eastAsia="es-ES"/>
              </w:rPr>
            </w:pPr>
            <w:r w:rsidRPr="00BD7F00">
              <w:rPr>
                <w:sz w:val="20"/>
                <w:szCs w:val="20"/>
                <w:lang w:eastAsia="es-ES"/>
              </w:rPr>
              <w:t>&gt; 109 kg</w:t>
            </w:r>
          </w:p>
        </w:tc>
        <w:tc>
          <w:tcPr>
            <w:tcW w:w="1005" w:type="dxa"/>
            <w:tcBorders>
              <w:top w:val="nil"/>
              <w:left w:val="nil"/>
              <w:bottom w:val="single" w:sz="4" w:space="0" w:color="auto"/>
              <w:right w:val="single" w:sz="4" w:space="0" w:color="auto"/>
            </w:tcBorders>
            <w:noWrap/>
            <w:vAlign w:val="center"/>
            <w:hideMark/>
          </w:tcPr>
          <w:p w14:paraId="455793A8" w14:textId="77777777" w:rsidR="00330C05" w:rsidRPr="00BD7F00" w:rsidRDefault="00330C05" w:rsidP="00AA12E3">
            <w:pPr>
              <w:jc w:val="center"/>
              <w:rPr>
                <w:sz w:val="20"/>
                <w:szCs w:val="20"/>
                <w:lang w:eastAsia="es-ES"/>
              </w:rPr>
            </w:pPr>
            <w:r w:rsidRPr="00BD7F00">
              <w:rPr>
                <w:sz w:val="20"/>
                <w:szCs w:val="20"/>
                <w:lang w:eastAsia="es-ES"/>
              </w:rPr>
              <w:t>447.645</w:t>
            </w:r>
          </w:p>
        </w:tc>
        <w:tc>
          <w:tcPr>
            <w:tcW w:w="1227" w:type="dxa"/>
            <w:tcBorders>
              <w:top w:val="nil"/>
              <w:left w:val="nil"/>
              <w:bottom w:val="single" w:sz="4" w:space="0" w:color="auto"/>
              <w:right w:val="single" w:sz="4" w:space="0" w:color="auto"/>
            </w:tcBorders>
            <w:shd w:val="clear" w:color="000000" w:fill="FFFFFF"/>
            <w:noWrap/>
            <w:vAlign w:val="bottom"/>
            <w:hideMark/>
          </w:tcPr>
          <w:p w14:paraId="4BC86EC5" w14:textId="77777777" w:rsidR="00330C05" w:rsidRPr="00BD7F00" w:rsidRDefault="00330C05" w:rsidP="00AA12E3">
            <w:pPr>
              <w:jc w:val="right"/>
              <w:rPr>
                <w:sz w:val="20"/>
                <w:szCs w:val="20"/>
                <w:lang w:eastAsia="es-ES"/>
              </w:rPr>
            </w:pPr>
            <w:r w:rsidRPr="00BD7F00">
              <w:rPr>
                <w:sz w:val="20"/>
                <w:szCs w:val="20"/>
                <w:lang w:eastAsia="es-ES"/>
              </w:rPr>
              <w:t>464.313</w:t>
            </w:r>
          </w:p>
        </w:tc>
        <w:tc>
          <w:tcPr>
            <w:tcW w:w="1393" w:type="dxa"/>
            <w:tcBorders>
              <w:top w:val="nil"/>
              <w:left w:val="nil"/>
              <w:bottom w:val="nil"/>
              <w:right w:val="single" w:sz="8" w:space="0" w:color="auto"/>
            </w:tcBorders>
            <w:noWrap/>
            <w:vAlign w:val="bottom"/>
            <w:hideMark/>
          </w:tcPr>
          <w:p w14:paraId="634E5421" w14:textId="77777777" w:rsidR="00330C05" w:rsidRPr="00BD7F00" w:rsidRDefault="00330C05" w:rsidP="00AA12E3">
            <w:pPr>
              <w:jc w:val="right"/>
              <w:rPr>
                <w:sz w:val="20"/>
                <w:szCs w:val="20"/>
                <w:lang w:eastAsia="es-ES"/>
              </w:rPr>
            </w:pPr>
            <w:r w:rsidRPr="00BD7F00">
              <w:rPr>
                <w:sz w:val="20"/>
                <w:szCs w:val="20"/>
                <w:lang w:eastAsia="es-ES"/>
              </w:rPr>
              <w:t>3,72</w:t>
            </w:r>
          </w:p>
        </w:tc>
      </w:tr>
      <w:tr w:rsidR="00BD7F00" w:rsidRPr="00BD7F00" w14:paraId="16851CC7" w14:textId="77777777" w:rsidTr="00702195">
        <w:trPr>
          <w:trHeight w:val="191"/>
        </w:trPr>
        <w:tc>
          <w:tcPr>
            <w:tcW w:w="5094" w:type="dxa"/>
            <w:gridSpan w:val="3"/>
            <w:tcBorders>
              <w:top w:val="single" w:sz="4" w:space="0" w:color="auto"/>
              <w:left w:val="single" w:sz="8" w:space="0" w:color="auto"/>
              <w:bottom w:val="single" w:sz="4" w:space="0" w:color="auto"/>
              <w:right w:val="single" w:sz="4" w:space="0" w:color="auto"/>
            </w:tcBorders>
            <w:noWrap/>
            <w:vAlign w:val="center"/>
            <w:hideMark/>
          </w:tcPr>
          <w:p w14:paraId="114E5B64" w14:textId="77777777" w:rsidR="00330C05" w:rsidRPr="00BD7F00" w:rsidRDefault="00330C05" w:rsidP="00AA12E3">
            <w:pPr>
              <w:jc w:val="left"/>
              <w:rPr>
                <w:sz w:val="20"/>
                <w:szCs w:val="20"/>
                <w:lang w:eastAsia="es-ES"/>
              </w:rPr>
            </w:pPr>
            <w:r w:rsidRPr="00BD7F00">
              <w:rPr>
                <w:sz w:val="20"/>
                <w:szCs w:val="20"/>
                <w:lang w:eastAsia="es-ES"/>
              </w:rPr>
              <w:t>Verracos</w:t>
            </w:r>
          </w:p>
        </w:tc>
        <w:tc>
          <w:tcPr>
            <w:tcW w:w="1005" w:type="dxa"/>
            <w:tcBorders>
              <w:top w:val="nil"/>
              <w:left w:val="nil"/>
              <w:bottom w:val="single" w:sz="4" w:space="0" w:color="auto"/>
              <w:right w:val="single" w:sz="4" w:space="0" w:color="auto"/>
            </w:tcBorders>
            <w:noWrap/>
            <w:vAlign w:val="center"/>
            <w:hideMark/>
          </w:tcPr>
          <w:p w14:paraId="0614D330" w14:textId="77777777" w:rsidR="00330C05" w:rsidRPr="00BD7F00" w:rsidRDefault="00330C05" w:rsidP="00AA12E3">
            <w:pPr>
              <w:jc w:val="center"/>
              <w:rPr>
                <w:sz w:val="20"/>
                <w:szCs w:val="20"/>
                <w:lang w:eastAsia="es-ES"/>
              </w:rPr>
            </w:pPr>
            <w:r w:rsidRPr="00BD7F00">
              <w:rPr>
                <w:sz w:val="20"/>
                <w:szCs w:val="20"/>
                <w:lang w:eastAsia="es-ES"/>
              </w:rPr>
              <w:t>4.741</w:t>
            </w:r>
          </w:p>
        </w:tc>
        <w:tc>
          <w:tcPr>
            <w:tcW w:w="1227" w:type="dxa"/>
            <w:tcBorders>
              <w:top w:val="nil"/>
              <w:left w:val="nil"/>
              <w:bottom w:val="single" w:sz="4" w:space="0" w:color="auto"/>
              <w:right w:val="nil"/>
            </w:tcBorders>
            <w:noWrap/>
            <w:vAlign w:val="bottom"/>
            <w:hideMark/>
          </w:tcPr>
          <w:p w14:paraId="67F69354" w14:textId="77777777" w:rsidR="00330C05" w:rsidRPr="00BD7F00" w:rsidRDefault="00330C05" w:rsidP="00AA12E3">
            <w:pPr>
              <w:jc w:val="right"/>
              <w:rPr>
                <w:sz w:val="20"/>
                <w:szCs w:val="20"/>
                <w:lang w:eastAsia="es-ES"/>
              </w:rPr>
            </w:pPr>
            <w:r w:rsidRPr="00BD7F00">
              <w:rPr>
                <w:sz w:val="20"/>
                <w:szCs w:val="20"/>
                <w:lang w:eastAsia="es-ES"/>
              </w:rPr>
              <w:t>4.723</w:t>
            </w:r>
          </w:p>
        </w:tc>
        <w:tc>
          <w:tcPr>
            <w:tcW w:w="1393" w:type="dxa"/>
            <w:tcBorders>
              <w:top w:val="single" w:sz="4" w:space="0" w:color="auto"/>
              <w:left w:val="single" w:sz="4" w:space="0" w:color="auto"/>
              <w:bottom w:val="single" w:sz="4" w:space="0" w:color="auto"/>
              <w:right w:val="single" w:sz="8" w:space="0" w:color="auto"/>
            </w:tcBorders>
            <w:noWrap/>
            <w:vAlign w:val="bottom"/>
            <w:hideMark/>
          </w:tcPr>
          <w:p w14:paraId="797EF4E0" w14:textId="77777777" w:rsidR="00330C05" w:rsidRPr="00BD7F00" w:rsidRDefault="00330C05" w:rsidP="00AA12E3">
            <w:pPr>
              <w:jc w:val="right"/>
              <w:rPr>
                <w:sz w:val="20"/>
                <w:szCs w:val="20"/>
                <w:lang w:eastAsia="es-ES"/>
              </w:rPr>
            </w:pPr>
            <w:r w:rsidRPr="00BD7F00">
              <w:rPr>
                <w:sz w:val="20"/>
                <w:szCs w:val="20"/>
                <w:lang w:eastAsia="es-ES"/>
              </w:rPr>
              <w:t>-0,38</w:t>
            </w:r>
          </w:p>
        </w:tc>
      </w:tr>
      <w:tr w:rsidR="00BD7F00" w:rsidRPr="00BD7F00" w14:paraId="3C6D1093" w14:textId="77777777" w:rsidTr="00702195">
        <w:trPr>
          <w:trHeight w:val="191"/>
        </w:trPr>
        <w:tc>
          <w:tcPr>
            <w:tcW w:w="1630" w:type="dxa"/>
            <w:vMerge w:val="restart"/>
            <w:tcBorders>
              <w:top w:val="nil"/>
              <w:left w:val="single" w:sz="8" w:space="0" w:color="auto"/>
              <w:bottom w:val="single" w:sz="8" w:space="0" w:color="000000"/>
              <w:right w:val="single" w:sz="4" w:space="0" w:color="auto"/>
            </w:tcBorders>
            <w:noWrap/>
            <w:vAlign w:val="center"/>
            <w:hideMark/>
          </w:tcPr>
          <w:p w14:paraId="0BADCB3F" w14:textId="77777777" w:rsidR="00330C05" w:rsidRPr="00BD7F00" w:rsidRDefault="00330C05" w:rsidP="00AA12E3">
            <w:pPr>
              <w:jc w:val="left"/>
              <w:rPr>
                <w:sz w:val="20"/>
                <w:szCs w:val="20"/>
                <w:lang w:eastAsia="es-ES"/>
              </w:rPr>
            </w:pPr>
            <w:r w:rsidRPr="00BD7F00">
              <w:rPr>
                <w:sz w:val="20"/>
                <w:szCs w:val="20"/>
                <w:lang w:eastAsia="es-ES"/>
              </w:rPr>
              <w:t>Cerdas reproductoras</w:t>
            </w:r>
          </w:p>
        </w:tc>
        <w:tc>
          <w:tcPr>
            <w:tcW w:w="3463" w:type="dxa"/>
            <w:gridSpan w:val="2"/>
            <w:tcBorders>
              <w:top w:val="single" w:sz="4" w:space="0" w:color="auto"/>
              <w:left w:val="nil"/>
              <w:bottom w:val="single" w:sz="4" w:space="0" w:color="auto"/>
              <w:right w:val="single" w:sz="4" w:space="0" w:color="auto"/>
            </w:tcBorders>
            <w:noWrap/>
            <w:vAlign w:val="center"/>
            <w:hideMark/>
          </w:tcPr>
          <w:p w14:paraId="255AF845" w14:textId="77777777" w:rsidR="00330C05" w:rsidRPr="00BD7F00" w:rsidRDefault="00330C05" w:rsidP="00AA12E3">
            <w:pPr>
              <w:jc w:val="left"/>
              <w:rPr>
                <w:i/>
                <w:iCs/>
                <w:sz w:val="20"/>
                <w:szCs w:val="20"/>
                <w:lang w:eastAsia="es-ES"/>
              </w:rPr>
            </w:pPr>
            <w:r w:rsidRPr="00BD7F00">
              <w:rPr>
                <w:i/>
                <w:iCs/>
                <w:sz w:val="20"/>
                <w:szCs w:val="20"/>
                <w:lang w:eastAsia="es-ES"/>
              </w:rPr>
              <w:t>Total cerdas reproductoras</w:t>
            </w:r>
          </w:p>
        </w:tc>
        <w:tc>
          <w:tcPr>
            <w:tcW w:w="1005" w:type="dxa"/>
            <w:tcBorders>
              <w:top w:val="nil"/>
              <w:left w:val="nil"/>
              <w:bottom w:val="nil"/>
              <w:right w:val="nil"/>
            </w:tcBorders>
            <w:noWrap/>
            <w:vAlign w:val="center"/>
            <w:hideMark/>
          </w:tcPr>
          <w:p w14:paraId="2DF33460" w14:textId="77777777" w:rsidR="00330C05" w:rsidRPr="00BD7F00" w:rsidRDefault="00330C05" w:rsidP="00AA12E3">
            <w:pPr>
              <w:jc w:val="center"/>
              <w:rPr>
                <w:sz w:val="20"/>
                <w:szCs w:val="20"/>
                <w:lang w:eastAsia="es-ES"/>
              </w:rPr>
            </w:pPr>
            <w:r w:rsidRPr="00BD7F00">
              <w:rPr>
                <w:sz w:val="20"/>
                <w:szCs w:val="20"/>
                <w:lang w:eastAsia="es-ES"/>
              </w:rPr>
              <w:t>492.152</w:t>
            </w:r>
          </w:p>
        </w:tc>
        <w:tc>
          <w:tcPr>
            <w:tcW w:w="1227" w:type="dxa"/>
            <w:tcBorders>
              <w:top w:val="nil"/>
              <w:left w:val="single" w:sz="4" w:space="0" w:color="auto"/>
              <w:bottom w:val="single" w:sz="4" w:space="0" w:color="auto"/>
              <w:right w:val="single" w:sz="4" w:space="0" w:color="auto"/>
            </w:tcBorders>
            <w:noWrap/>
            <w:vAlign w:val="bottom"/>
            <w:hideMark/>
          </w:tcPr>
          <w:p w14:paraId="662D2163" w14:textId="77777777" w:rsidR="00330C05" w:rsidRPr="00BD7F00" w:rsidRDefault="00330C05" w:rsidP="00AA12E3">
            <w:pPr>
              <w:jc w:val="right"/>
              <w:rPr>
                <w:sz w:val="20"/>
                <w:szCs w:val="20"/>
                <w:lang w:eastAsia="es-ES"/>
              </w:rPr>
            </w:pPr>
            <w:r w:rsidRPr="00BD7F00">
              <w:rPr>
                <w:sz w:val="20"/>
                <w:szCs w:val="20"/>
                <w:lang w:eastAsia="es-ES"/>
              </w:rPr>
              <w:t>404.380</w:t>
            </w:r>
          </w:p>
        </w:tc>
        <w:tc>
          <w:tcPr>
            <w:tcW w:w="1393" w:type="dxa"/>
            <w:tcBorders>
              <w:top w:val="nil"/>
              <w:left w:val="nil"/>
              <w:bottom w:val="single" w:sz="4" w:space="0" w:color="auto"/>
              <w:right w:val="single" w:sz="8" w:space="0" w:color="auto"/>
            </w:tcBorders>
            <w:noWrap/>
            <w:vAlign w:val="bottom"/>
            <w:hideMark/>
          </w:tcPr>
          <w:p w14:paraId="6C66BCFC" w14:textId="77777777" w:rsidR="00330C05" w:rsidRPr="00BD7F00" w:rsidRDefault="00330C05" w:rsidP="00AA12E3">
            <w:pPr>
              <w:jc w:val="right"/>
              <w:rPr>
                <w:sz w:val="20"/>
                <w:szCs w:val="20"/>
                <w:lang w:eastAsia="es-ES"/>
              </w:rPr>
            </w:pPr>
            <w:r w:rsidRPr="00BD7F00">
              <w:rPr>
                <w:sz w:val="20"/>
                <w:szCs w:val="20"/>
                <w:lang w:eastAsia="es-ES"/>
              </w:rPr>
              <w:t>-17,83</w:t>
            </w:r>
          </w:p>
        </w:tc>
      </w:tr>
      <w:tr w:rsidR="00BD7F00" w:rsidRPr="00BD7F00" w14:paraId="4697867D" w14:textId="77777777" w:rsidTr="00702195">
        <w:trPr>
          <w:trHeight w:val="191"/>
        </w:trPr>
        <w:tc>
          <w:tcPr>
            <w:tcW w:w="1630" w:type="dxa"/>
            <w:vMerge/>
            <w:tcBorders>
              <w:top w:val="nil"/>
              <w:left w:val="single" w:sz="8" w:space="0" w:color="auto"/>
              <w:bottom w:val="single" w:sz="8" w:space="0" w:color="000000"/>
              <w:right w:val="single" w:sz="4" w:space="0" w:color="auto"/>
            </w:tcBorders>
            <w:vAlign w:val="center"/>
            <w:hideMark/>
          </w:tcPr>
          <w:p w14:paraId="3F21A926" w14:textId="77777777" w:rsidR="00330C05" w:rsidRPr="00BD7F00" w:rsidRDefault="00330C05" w:rsidP="00AA12E3">
            <w:pPr>
              <w:jc w:val="left"/>
              <w:rPr>
                <w:sz w:val="20"/>
                <w:szCs w:val="20"/>
                <w:lang w:eastAsia="es-ES"/>
              </w:rPr>
            </w:pPr>
          </w:p>
        </w:tc>
        <w:tc>
          <w:tcPr>
            <w:tcW w:w="1334" w:type="dxa"/>
            <w:vMerge w:val="restart"/>
            <w:tcBorders>
              <w:top w:val="nil"/>
              <w:left w:val="single" w:sz="4" w:space="0" w:color="auto"/>
              <w:bottom w:val="single" w:sz="4" w:space="0" w:color="auto"/>
              <w:right w:val="single" w:sz="4" w:space="0" w:color="auto"/>
            </w:tcBorders>
            <w:noWrap/>
            <w:vAlign w:val="center"/>
            <w:hideMark/>
          </w:tcPr>
          <w:p w14:paraId="0962F72B" w14:textId="77777777" w:rsidR="00330C05" w:rsidRPr="00BD7F00" w:rsidRDefault="00330C05" w:rsidP="00AA12E3">
            <w:pPr>
              <w:jc w:val="left"/>
              <w:rPr>
                <w:sz w:val="20"/>
                <w:szCs w:val="20"/>
                <w:lang w:eastAsia="es-ES"/>
              </w:rPr>
            </w:pPr>
            <w:r w:rsidRPr="00BD7F00">
              <w:rPr>
                <w:sz w:val="20"/>
                <w:szCs w:val="20"/>
                <w:lang w:eastAsia="es-ES"/>
              </w:rPr>
              <w:t>Nunca han parido</w:t>
            </w:r>
          </w:p>
        </w:tc>
        <w:tc>
          <w:tcPr>
            <w:tcW w:w="2128" w:type="dxa"/>
            <w:tcBorders>
              <w:top w:val="nil"/>
              <w:left w:val="nil"/>
              <w:bottom w:val="single" w:sz="4" w:space="0" w:color="auto"/>
              <w:right w:val="single" w:sz="4" w:space="0" w:color="auto"/>
            </w:tcBorders>
            <w:noWrap/>
            <w:vAlign w:val="center"/>
            <w:hideMark/>
          </w:tcPr>
          <w:p w14:paraId="34B0D05D" w14:textId="77777777" w:rsidR="00330C05" w:rsidRPr="00BD7F00" w:rsidRDefault="00330C05" w:rsidP="00AA12E3">
            <w:pPr>
              <w:jc w:val="left"/>
              <w:rPr>
                <w:sz w:val="20"/>
                <w:szCs w:val="20"/>
                <w:lang w:eastAsia="es-ES"/>
              </w:rPr>
            </w:pPr>
            <w:r w:rsidRPr="00BD7F00">
              <w:rPr>
                <w:sz w:val="20"/>
                <w:szCs w:val="20"/>
                <w:lang w:eastAsia="es-ES"/>
              </w:rPr>
              <w:t>Cerdas todavía no cubiertas</w:t>
            </w:r>
          </w:p>
        </w:tc>
        <w:tc>
          <w:tcPr>
            <w:tcW w:w="1005" w:type="dxa"/>
            <w:tcBorders>
              <w:top w:val="single" w:sz="4" w:space="0" w:color="auto"/>
              <w:left w:val="nil"/>
              <w:bottom w:val="single" w:sz="4" w:space="0" w:color="auto"/>
              <w:right w:val="single" w:sz="4" w:space="0" w:color="auto"/>
            </w:tcBorders>
            <w:noWrap/>
            <w:vAlign w:val="center"/>
            <w:hideMark/>
          </w:tcPr>
          <w:p w14:paraId="7E364BE9" w14:textId="77777777" w:rsidR="00330C05" w:rsidRPr="00BD7F00" w:rsidRDefault="00330C05" w:rsidP="00AA12E3">
            <w:pPr>
              <w:jc w:val="center"/>
              <w:rPr>
                <w:sz w:val="20"/>
                <w:szCs w:val="20"/>
                <w:lang w:eastAsia="es-ES"/>
              </w:rPr>
            </w:pPr>
            <w:r w:rsidRPr="00BD7F00">
              <w:rPr>
                <w:sz w:val="20"/>
                <w:szCs w:val="20"/>
                <w:lang w:eastAsia="es-ES"/>
              </w:rPr>
              <w:t>133.236</w:t>
            </w:r>
          </w:p>
        </w:tc>
        <w:tc>
          <w:tcPr>
            <w:tcW w:w="1227" w:type="dxa"/>
            <w:tcBorders>
              <w:top w:val="nil"/>
              <w:left w:val="nil"/>
              <w:bottom w:val="single" w:sz="4" w:space="0" w:color="auto"/>
              <w:right w:val="single" w:sz="4" w:space="0" w:color="auto"/>
            </w:tcBorders>
            <w:noWrap/>
            <w:vAlign w:val="bottom"/>
            <w:hideMark/>
          </w:tcPr>
          <w:p w14:paraId="040B1878" w14:textId="77777777" w:rsidR="00330C05" w:rsidRPr="00BD7F00" w:rsidRDefault="00330C05" w:rsidP="00AA12E3">
            <w:pPr>
              <w:jc w:val="right"/>
              <w:rPr>
                <w:sz w:val="20"/>
                <w:szCs w:val="20"/>
                <w:lang w:eastAsia="es-ES"/>
              </w:rPr>
            </w:pPr>
            <w:r w:rsidRPr="00BD7F00">
              <w:rPr>
                <w:sz w:val="20"/>
                <w:szCs w:val="20"/>
                <w:lang w:eastAsia="es-ES"/>
              </w:rPr>
              <w:t>94.415</w:t>
            </w:r>
          </w:p>
        </w:tc>
        <w:tc>
          <w:tcPr>
            <w:tcW w:w="1393" w:type="dxa"/>
            <w:tcBorders>
              <w:top w:val="nil"/>
              <w:left w:val="nil"/>
              <w:bottom w:val="single" w:sz="4" w:space="0" w:color="auto"/>
              <w:right w:val="single" w:sz="8" w:space="0" w:color="auto"/>
            </w:tcBorders>
            <w:noWrap/>
            <w:vAlign w:val="bottom"/>
            <w:hideMark/>
          </w:tcPr>
          <w:p w14:paraId="38B65995" w14:textId="77777777" w:rsidR="00330C05" w:rsidRPr="00BD7F00" w:rsidRDefault="00330C05" w:rsidP="00AA12E3">
            <w:pPr>
              <w:jc w:val="right"/>
              <w:rPr>
                <w:sz w:val="20"/>
                <w:szCs w:val="20"/>
                <w:lang w:eastAsia="es-ES"/>
              </w:rPr>
            </w:pPr>
            <w:r w:rsidRPr="00BD7F00">
              <w:rPr>
                <w:sz w:val="20"/>
                <w:szCs w:val="20"/>
                <w:lang w:eastAsia="es-ES"/>
              </w:rPr>
              <w:t>-29,14</w:t>
            </w:r>
          </w:p>
        </w:tc>
      </w:tr>
      <w:tr w:rsidR="00BD7F00" w:rsidRPr="00BD7F00" w14:paraId="64F58356" w14:textId="77777777" w:rsidTr="00702195">
        <w:trPr>
          <w:trHeight w:val="191"/>
        </w:trPr>
        <w:tc>
          <w:tcPr>
            <w:tcW w:w="1630" w:type="dxa"/>
            <w:vMerge/>
            <w:tcBorders>
              <w:top w:val="nil"/>
              <w:left w:val="single" w:sz="8" w:space="0" w:color="auto"/>
              <w:bottom w:val="single" w:sz="8" w:space="0" w:color="000000"/>
              <w:right w:val="single" w:sz="4" w:space="0" w:color="auto"/>
            </w:tcBorders>
            <w:vAlign w:val="center"/>
            <w:hideMark/>
          </w:tcPr>
          <w:p w14:paraId="3E0F4FB0" w14:textId="77777777" w:rsidR="00330C05" w:rsidRPr="00BD7F00" w:rsidRDefault="00330C05" w:rsidP="00AA12E3">
            <w:pPr>
              <w:jc w:val="left"/>
              <w:rPr>
                <w:sz w:val="20"/>
                <w:szCs w:val="20"/>
                <w:lang w:eastAsia="es-ES"/>
              </w:rPr>
            </w:pPr>
          </w:p>
        </w:tc>
        <w:tc>
          <w:tcPr>
            <w:tcW w:w="1334" w:type="dxa"/>
            <w:vMerge/>
            <w:tcBorders>
              <w:top w:val="nil"/>
              <w:left w:val="single" w:sz="4" w:space="0" w:color="auto"/>
              <w:bottom w:val="single" w:sz="4" w:space="0" w:color="auto"/>
              <w:right w:val="single" w:sz="4" w:space="0" w:color="auto"/>
            </w:tcBorders>
            <w:vAlign w:val="center"/>
            <w:hideMark/>
          </w:tcPr>
          <w:p w14:paraId="6C70EA74" w14:textId="77777777" w:rsidR="00330C05" w:rsidRPr="00BD7F00" w:rsidRDefault="00330C05" w:rsidP="00AA12E3">
            <w:pPr>
              <w:jc w:val="left"/>
              <w:rPr>
                <w:sz w:val="20"/>
                <w:szCs w:val="20"/>
                <w:lang w:eastAsia="es-ES"/>
              </w:rPr>
            </w:pPr>
          </w:p>
        </w:tc>
        <w:tc>
          <w:tcPr>
            <w:tcW w:w="2128" w:type="dxa"/>
            <w:tcBorders>
              <w:top w:val="nil"/>
              <w:left w:val="nil"/>
              <w:bottom w:val="single" w:sz="4" w:space="0" w:color="auto"/>
              <w:right w:val="single" w:sz="4" w:space="0" w:color="auto"/>
            </w:tcBorders>
            <w:noWrap/>
            <w:vAlign w:val="center"/>
            <w:hideMark/>
          </w:tcPr>
          <w:p w14:paraId="42DF43F9" w14:textId="77777777" w:rsidR="00330C05" w:rsidRPr="00BD7F00" w:rsidRDefault="00330C05" w:rsidP="00AA12E3">
            <w:pPr>
              <w:jc w:val="left"/>
              <w:rPr>
                <w:sz w:val="20"/>
                <w:szCs w:val="20"/>
                <w:lang w:eastAsia="es-ES"/>
              </w:rPr>
            </w:pPr>
            <w:r w:rsidRPr="00BD7F00">
              <w:rPr>
                <w:sz w:val="20"/>
                <w:szCs w:val="20"/>
                <w:lang w:eastAsia="es-ES"/>
              </w:rPr>
              <w:t>Cerdas cubiertas por 1ª vez</w:t>
            </w:r>
          </w:p>
        </w:tc>
        <w:tc>
          <w:tcPr>
            <w:tcW w:w="1005" w:type="dxa"/>
            <w:tcBorders>
              <w:top w:val="nil"/>
              <w:left w:val="nil"/>
              <w:bottom w:val="single" w:sz="4" w:space="0" w:color="auto"/>
              <w:right w:val="single" w:sz="4" w:space="0" w:color="auto"/>
            </w:tcBorders>
            <w:noWrap/>
            <w:vAlign w:val="center"/>
            <w:hideMark/>
          </w:tcPr>
          <w:p w14:paraId="0A3F8D97" w14:textId="77777777" w:rsidR="00330C05" w:rsidRPr="00BD7F00" w:rsidRDefault="00330C05" w:rsidP="00AA12E3">
            <w:pPr>
              <w:jc w:val="center"/>
              <w:rPr>
                <w:sz w:val="20"/>
                <w:szCs w:val="20"/>
                <w:lang w:eastAsia="es-ES"/>
              </w:rPr>
            </w:pPr>
            <w:r w:rsidRPr="00BD7F00">
              <w:rPr>
                <w:sz w:val="20"/>
                <w:szCs w:val="20"/>
                <w:lang w:eastAsia="es-ES"/>
              </w:rPr>
              <w:t>40.451</w:t>
            </w:r>
          </w:p>
        </w:tc>
        <w:tc>
          <w:tcPr>
            <w:tcW w:w="1227" w:type="dxa"/>
            <w:tcBorders>
              <w:top w:val="nil"/>
              <w:left w:val="nil"/>
              <w:bottom w:val="single" w:sz="4" w:space="0" w:color="auto"/>
              <w:right w:val="single" w:sz="4" w:space="0" w:color="auto"/>
            </w:tcBorders>
            <w:noWrap/>
            <w:vAlign w:val="bottom"/>
            <w:hideMark/>
          </w:tcPr>
          <w:p w14:paraId="43277D12" w14:textId="77777777" w:rsidR="00330C05" w:rsidRPr="00BD7F00" w:rsidRDefault="00330C05" w:rsidP="00AA12E3">
            <w:pPr>
              <w:jc w:val="right"/>
              <w:rPr>
                <w:sz w:val="20"/>
                <w:szCs w:val="20"/>
                <w:lang w:eastAsia="es-ES"/>
              </w:rPr>
            </w:pPr>
            <w:r w:rsidRPr="00BD7F00">
              <w:rPr>
                <w:sz w:val="20"/>
                <w:szCs w:val="20"/>
                <w:lang w:eastAsia="es-ES"/>
              </w:rPr>
              <w:t>33.929</w:t>
            </w:r>
          </w:p>
        </w:tc>
        <w:tc>
          <w:tcPr>
            <w:tcW w:w="1393" w:type="dxa"/>
            <w:tcBorders>
              <w:top w:val="nil"/>
              <w:left w:val="nil"/>
              <w:bottom w:val="single" w:sz="4" w:space="0" w:color="auto"/>
              <w:right w:val="single" w:sz="8" w:space="0" w:color="auto"/>
            </w:tcBorders>
            <w:noWrap/>
            <w:vAlign w:val="bottom"/>
            <w:hideMark/>
          </w:tcPr>
          <w:p w14:paraId="5CF6039D" w14:textId="77777777" w:rsidR="00330C05" w:rsidRPr="00BD7F00" w:rsidRDefault="00330C05" w:rsidP="00AA12E3">
            <w:pPr>
              <w:jc w:val="right"/>
              <w:rPr>
                <w:sz w:val="20"/>
                <w:szCs w:val="20"/>
                <w:lang w:eastAsia="es-ES"/>
              </w:rPr>
            </w:pPr>
            <w:r w:rsidRPr="00BD7F00">
              <w:rPr>
                <w:sz w:val="20"/>
                <w:szCs w:val="20"/>
                <w:lang w:eastAsia="es-ES"/>
              </w:rPr>
              <w:t>-16,12</w:t>
            </w:r>
          </w:p>
        </w:tc>
      </w:tr>
      <w:tr w:rsidR="00BD7F00" w:rsidRPr="00BD7F00" w14:paraId="0E6F7C05" w14:textId="77777777" w:rsidTr="00702195">
        <w:trPr>
          <w:trHeight w:val="191"/>
        </w:trPr>
        <w:tc>
          <w:tcPr>
            <w:tcW w:w="1630" w:type="dxa"/>
            <w:vMerge/>
            <w:tcBorders>
              <w:top w:val="nil"/>
              <w:left w:val="single" w:sz="8" w:space="0" w:color="auto"/>
              <w:bottom w:val="single" w:sz="8" w:space="0" w:color="000000"/>
              <w:right w:val="single" w:sz="4" w:space="0" w:color="auto"/>
            </w:tcBorders>
            <w:vAlign w:val="center"/>
            <w:hideMark/>
          </w:tcPr>
          <w:p w14:paraId="39BC6A43" w14:textId="77777777" w:rsidR="00330C05" w:rsidRPr="00BD7F00" w:rsidRDefault="00330C05" w:rsidP="00AA12E3">
            <w:pPr>
              <w:jc w:val="left"/>
              <w:rPr>
                <w:sz w:val="20"/>
                <w:szCs w:val="20"/>
                <w:lang w:eastAsia="es-ES"/>
              </w:rPr>
            </w:pPr>
          </w:p>
        </w:tc>
        <w:tc>
          <w:tcPr>
            <w:tcW w:w="1334" w:type="dxa"/>
            <w:vMerge w:val="restart"/>
            <w:tcBorders>
              <w:top w:val="nil"/>
              <w:left w:val="single" w:sz="4" w:space="0" w:color="auto"/>
              <w:bottom w:val="single" w:sz="8" w:space="0" w:color="000000"/>
              <w:right w:val="single" w:sz="4" w:space="0" w:color="auto"/>
            </w:tcBorders>
            <w:noWrap/>
            <w:vAlign w:val="center"/>
            <w:hideMark/>
          </w:tcPr>
          <w:p w14:paraId="0C455506" w14:textId="77777777" w:rsidR="00330C05" w:rsidRPr="00BD7F00" w:rsidRDefault="00330C05" w:rsidP="00AA12E3">
            <w:pPr>
              <w:jc w:val="left"/>
              <w:rPr>
                <w:sz w:val="20"/>
                <w:szCs w:val="20"/>
                <w:lang w:eastAsia="es-ES"/>
              </w:rPr>
            </w:pPr>
            <w:r w:rsidRPr="00BD7F00">
              <w:rPr>
                <w:sz w:val="20"/>
                <w:szCs w:val="20"/>
                <w:lang w:eastAsia="es-ES"/>
              </w:rPr>
              <w:t>Han parido</w:t>
            </w:r>
          </w:p>
        </w:tc>
        <w:tc>
          <w:tcPr>
            <w:tcW w:w="2128" w:type="dxa"/>
            <w:tcBorders>
              <w:top w:val="nil"/>
              <w:left w:val="nil"/>
              <w:bottom w:val="single" w:sz="4" w:space="0" w:color="auto"/>
              <w:right w:val="single" w:sz="4" w:space="0" w:color="auto"/>
            </w:tcBorders>
            <w:noWrap/>
            <w:vAlign w:val="center"/>
            <w:hideMark/>
          </w:tcPr>
          <w:p w14:paraId="5ADB81FF" w14:textId="77777777" w:rsidR="00330C05" w:rsidRPr="00BD7F00" w:rsidRDefault="00330C05" w:rsidP="00AA12E3">
            <w:pPr>
              <w:jc w:val="left"/>
              <w:rPr>
                <w:sz w:val="20"/>
                <w:szCs w:val="20"/>
                <w:lang w:eastAsia="es-ES"/>
              </w:rPr>
            </w:pPr>
            <w:r w:rsidRPr="00BD7F00">
              <w:rPr>
                <w:sz w:val="20"/>
                <w:szCs w:val="20"/>
                <w:lang w:eastAsia="es-ES"/>
              </w:rPr>
              <w:t>Cerdas cubiertas más veces</w:t>
            </w:r>
          </w:p>
        </w:tc>
        <w:tc>
          <w:tcPr>
            <w:tcW w:w="1005" w:type="dxa"/>
            <w:tcBorders>
              <w:top w:val="nil"/>
              <w:left w:val="nil"/>
              <w:bottom w:val="single" w:sz="4" w:space="0" w:color="auto"/>
              <w:right w:val="single" w:sz="4" w:space="0" w:color="auto"/>
            </w:tcBorders>
            <w:noWrap/>
            <w:vAlign w:val="center"/>
            <w:hideMark/>
          </w:tcPr>
          <w:p w14:paraId="32170408" w14:textId="77777777" w:rsidR="00330C05" w:rsidRPr="00BD7F00" w:rsidRDefault="00330C05" w:rsidP="00AA12E3">
            <w:pPr>
              <w:jc w:val="center"/>
              <w:rPr>
                <w:sz w:val="20"/>
                <w:szCs w:val="20"/>
                <w:lang w:eastAsia="es-ES"/>
              </w:rPr>
            </w:pPr>
            <w:r w:rsidRPr="00BD7F00">
              <w:rPr>
                <w:sz w:val="20"/>
                <w:szCs w:val="20"/>
                <w:lang w:eastAsia="es-ES"/>
              </w:rPr>
              <w:t>231.928</w:t>
            </w:r>
          </w:p>
        </w:tc>
        <w:tc>
          <w:tcPr>
            <w:tcW w:w="1227" w:type="dxa"/>
            <w:tcBorders>
              <w:top w:val="nil"/>
              <w:left w:val="nil"/>
              <w:bottom w:val="single" w:sz="4" w:space="0" w:color="auto"/>
              <w:right w:val="single" w:sz="4" w:space="0" w:color="auto"/>
            </w:tcBorders>
            <w:noWrap/>
            <w:vAlign w:val="bottom"/>
            <w:hideMark/>
          </w:tcPr>
          <w:p w14:paraId="38026C11" w14:textId="77777777" w:rsidR="00330C05" w:rsidRPr="00BD7F00" w:rsidRDefault="00330C05" w:rsidP="00AA12E3">
            <w:pPr>
              <w:jc w:val="right"/>
              <w:rPr>
                <w:sz w:val="20"/>
                <w:szCs w:val="20"/>
                <w:lang w:eastAsia="es-ES"/>
              </w:rPr>
            </w:pPr>
            <w:r w:rsidRPr="00BD7F00">
              <w:rPr>
                <w:sz w:val="20"/>
                <w:szCs w:val="20"/>
                <w:lang w:eastAsia="es-ES"/>
              </w:rPr>
              <w:t>200.895</w:t>
            </w:r>
          </w:p>
        </w:tc>
        <w:tc>
          <w:tcPr>
            <w:tcW w:w="1393" w:type="dxa"/>
            <w:tcBorders>
              <w:top w:val="nil"/>
              <w:left w:val="nil"/>
              <w:bottom w:val="single" w:sz="4" w:space="0" w:color="auto"/>
              <w:right w:val="single" w:sz="8" w:space="0" w:color="auto"/>
            </w:tcBorders>
            <w:noWrap/>
            <w:vAlign w:val="bottom"/>
            <w:hideMark/>
          </w:tcPr>
          <w:p w14:paraId="4FF894C0" w14:textId="77777777" w:rsidR="00330C05" w:rsidRPr="00BD7F00" w:rsidRDefault="00330C05" w:rsidP="00AA12E3">
            <w:pPr>
              <w:jc w:val="right"/>
              <w:rPr>
                <w:sz w:val="20"/>
                <w:szCs w:val="20"/>
                <w:lang w:eastAsia="es-ES"/>
              </w:rPr>
            </w:pPr>
            <w:r w:rsidRPr="00BD7F00">
              <w:rPr>
                <w:sz w:val="20"/>
                <w:szCs w:val="20"/>
                <w:lang w:eastAsia="es-ES"/>
              </w:rPr>
              <w:t>-13,38</w:t>
            </w:r>
          </w:p>
        </w:tc>
      </w:tr>
      <w:tr w:rsidR="00BD7F00" w:rsidRPr="00BD7F00" w14:paraId="7AFE62E8" w14:textId="77777777" w:rsidTr="00702195">
        <w:trPr>
          <w:trHeight w:val="201"/>
        </w:trPr>
        <w:tc>
          <w:tcPr>
            <w:tcW w:w="1630" w:type="dxa"/>
            <w:vMerge/>
            <w:tcBorders>
              <w:top w:val="nil"/>
              <w:left w:val="single" w:sz="8" w:space="0" w:color="auto"/>
              <w:bottom w:val="single" w:sz="8" w:space="0" w:color="000000"/>
              <w:right w:val="single" w:sz="4" w:space="0" w:color="auto"/>
            </w:tcBorders>
            <w:vAlign w:val="center"/>
            <w:hideMark/>
          </w:tcPr>
          <w:p w14:paraId="65F57F5D" w14:textId="77777777" w:rsidR="00330C05" w:rsidRPr="00BD7F00" w:rsidRDefault="00330C05" w:rsidP="00AA12E3">
            <w:pPr>
              <w:jc w:val="left"/>
              <w:rPr>
                <w:sz w:val="20"/>
                <w:szCs w:val="20"/>
                <w:lang w:eastAsia="es-ES"/>
              </w:rPr>
            </w:pPr>
          </w:p>
        </w:tc>
        <w:tc>
          <w:tcPr>
            <w:tcW w:w="1334" w:type="dxa"/>
            <w:vMerge/>
            <w:tcBorders>
              <w:top w:val="nil"/>
              <w:left w:val="single" w:sz="4" w:space="0" w:color="auto"/>
              <w:bottom w:val="single" w:sz="8" w:space="0" w:color="000000"/>
              <w:right w:val="single" w:sz="4" w:space="0" w:color="auto"/>
            </w:tcBorders>
            <w:vAlign w:val="center"/>
            <w:hideMark/>
          </w:tcPr>
          <w:p w14:paraId="162411CB" w14:textId="77777777" w:rsidR="00330C05" w:rsidRPr="00BD7F00" w:rsidRDefault="00330C05" w:rsidP="00AA12E3">
            <w:pPr>
              <w:jc w:val="left"/>
              <w:rPr>
                <w:sz w:val="20"/>
                <w:szCs w:val="20"/>
                <w:lang w:eastAsia="es-ES"/>
              </w:rPr>
            </w:pPr>
          </w:p>
        </w:tc>
        <w:tc>
          <w:tcPr>
            <w:tcW w:w="2128" w:type="dxa"/>
            <w:tcBorders>
              <w:top w:val="nil"/>
              <w:left w:val="nil"/>
              <w:bottom w:val="single" w:sz="8" w:space="0" w:color="auto"/>
              <w:right w:val="single" w:sz="4" w:space="0" w:color="auto"/>
            </w:tcBorders>
            <w:noWrap/>
            <w:vAlign w:val="center"/>
            <w:hideMark/>
          </w:tcPr>
          <w:p w14:paraId="00CB47A8" w14:textId="77777777" w:rsidR="00330C05" w:rsidRPr="00BD7F00" w:rsidRDefault="00330C05" w:rsidP="00AA12E3">
            <w:pPr>
              <w:jc w:val="left"/>
              <w:rPr>
                <w:sz w:val="20"/>
                <w:szCs w:val="20"/>
                <w:lang w:eastAsia="es-ES"/>
              </w:rPr>
            </w:pPr>
            <w:r w:rsidRPr="00BD7F00">
              <w:rPr>
                <w:sz w:val="20"/>
                <w:szCs w:val="20"/>
                <w:lang w:eastAsia="es-ES"/>
              </w:rPr>
              <w:t>Cerdas criando o en reposo</w:t>
            </w:r>
          </w:p>
        </w:tc>
        <w:tc>
          <w:tcPr>
            <w:tcW w:w="1005" w:type="dxa"/>
            <w:tcBorders>
              <w:top w:val="nil"/>
              <w:left w:val="nil"/>
              <w:bottom w:val="single" w:sz="8" w:space="0" w:color="auto"/>
              <w:right w:val="single" w:sz="4" w:space="0" w:color="auto"/>
            </w:tcBorders>
            <w:noWrap/>
            <w:vAlign w:val="center"/>
            <w:hideMark/>
          </w:tcPr>
          <w:p w14:paraId="1188A045" w14:textId="77777777" w:rsidR="00330C05" w:rsidRPr="00BD7F00" w:rsidRDefault="00330C05" w:rsidP="00AA12E3">
            <w:pPr>
              <w:jc w:val="center"/>
              <w:rPr>
                <w:sz w:val="20"/>
                <w:szCs w:val="20"/>
                <w:lang w:eastAsia="es-ES"/>
              </w:rPr>
            </w:pPr>
            <w:r w:rsidRPr="00BD7F00">
              <w:rPr>
                <w:sz w:val="20"/>
                <w:szCs w:val="20"/>
                <w:lang w:eastAsia="es-ES"/>
              </w:rPr>
              <w:t>86.537</w:t>
            </w:r>
          </w:p>
        </w:tc>
        <w:tc>
          <w:tcPr>
            <w:tcW w:w="1227" w:type="dxa"/>
            <w:tcBorders>
              <w:top w:val="nil"/>
              <w:left w:val="nil"/>
              <w:bottom w:val="single" w:sz="8" w:space="0" w:color="auto"/>
              <w:right w:val="single" w:sz="4" w:space="0" w:color="auto"/>
            </w:tcBorders>
            <w:noWrap/>
            <w:vAlign w:val="bottom"/>
            <w:hideMark/>
          </w:tcPr>
          <w:p w14:paraId="41793F4C" w14:textId="77777777" w:rsidR="00330C05" w:rsidRPr="00BD7F00" w:rsidRDefault="00330C05" w:rsidP="00AA12E3">
            <w:pPr>
              <w:jc w:val="right"/>
              <w:rPr>
                <w:sz w:val="20"/>
                <w:szCs w:val="20"/>
                <w:lang w:eastAsia="es-ES"/>
              </w:rPr>
            </w:pPr>
            <w:r w:rsidRPr="00BD7F00">
              <w:rPr>
                <w:sz w:val="20"/>
                <w:szCs w:val="20"/>
                <w:lang w:eastAsia="es-ES"/>
              </w:rPr>
              <w:t>75.141</w:t>
            </w:r>
          </w:p>
        </w:tc>
        <w:tc>
          <w:tcPr>
            <w:tcW w:w="1393" w:type="dxa"/>
            <w:tcBorders>
              <w:top w:val="nil"/>
              <w:left w:val="nil"/>
              <w:bottom w:val="single" w:sz="8" w:space="0" w:color="auto"/>
              <w:right w:val="single" w:sz="8" w:space="0" w:color="auto"/>
            </w:tcBorders>
            <w:noWrap/>
            <w:vAlign w:val="bottom"/>
            <w:hideMark/>
          </w:tcPr>
          <w:p w14:paraId="637E2FD8" w14:textId="77777777" w:rsidR="00330C05" w:rsidRPr="00BD7F00" w:rsidRDefault="00330C05" w:rsidP="00AA12E3">
            <w:pPr>
              <w:jc w:val="right"/>
              <w:rPr>
                <w:sz w:val="20"/>
                <w:szCs w:val="20"/>
                <w:lang w:eastAsia="es-ES"/>
              </w:rPr>
            </w:pPr>
            <w:r w:rsidRPr="00BD7F00">
              <w:rPr>
                <w:sz w:val="20"/>
                <w:szCs w:val="20"/>
                <w:lang w:eastAsia="es-ES"/>
              </w:rPr>
              <w:t>-13,17</w:t>
            </w:r>
          </w:p>
        </w:tc>
      </w:tr>
    </w:tbl>
    <w:p w14:paraId="3BB8EFFE" w14:textId="77777777" w:rsidR="00BA32C4" w:rsidRDefault="00BA32C4" w:rsidP="00AA12E3">
      <w:pPr>
        <w:jc w:val="center"/>
        <w:rPr>
          <w:sz w:val="16"/>
          <w:szCs w:val="16"/>
        </w:rPr>
      </w:pPr>
    </w:p>
    <w:p w14:paraId="13200EEE" w14:textId="13FBBE1C" w:rsidR="00330C05" w:rsidRPr="00F125FD" w:rsidRDefault="00330C05" w:rsidP="00AA12E3">
      <w:pPr>
        <w:jc w:val="center"/>
        <w:rPr>
          <w:sz w:val="16"/>
          <w:szCs w:val="16"/>
        </w:rPr>
      </w:pPr>
      <w:r w:rsidRPr="00F125FD">
        <w:rPr>
          <w:sz w:val="16"/>
          <w:szCs w:val="16"/>
        </w:rPr>
        <w:t>Fuente: Elaboración propia a partir de las encuestas ganaderas del Ministerio de Agricultura, Pesca y Alimentación</w:t>
      </w:r>
    </w:p>
    <w:p w14:paraId="3B3EE6AB" w14:textId="77777777" w:rsidR="009A63CB" w:rsidRDefault="009A63CB" w:rsidP="00AA12E3">
      <w:pPr>
        <w:rPr>
          <w:b/>
        </w:rPr>
      </w:pPr>
    </w:p>
    <w:p w14:paraId="10FB170F" w14:textId="77777777" w:rsidR="00CA3D7D" w:rsidRDefault="00CA3D7D" w:rsidP="00AA12E3">
      <w:pPr>
        <w:rPr>
          <w:b/>
        </w:rPr>
      </w:pPr>
    </w:p>
    <w:p w14:paraId="0648173C" w14:textId="1A74E17C" w:rsidR="00F125FD" w:rsidRPr="00F125FD" w:rsidRDefault="00F125FD" w:rsidP="00AA12E3">
      <w:pPr>
        <w:rPr>
          <w:b/>
        </w:rPr>
      </w:pPr>
      <w:r w:rsidRPr="00F125FD">
        <w:rPr>
          <w:b/>
        </w:rPr>
        <w:t xml:space="preserve">El mercado de la producción de carne </w:t>
      </w:r>
    </w:p>
    <w:p w14:paraId="16AFFE57" w14:textId="77777777" w:rsidR="00F125FD" w:rsidRPr="00F125FD" w:rsidRDefault="00F125FD" w:rsidP="00AA12E3"/>
    <w:p w14:paraId="4C6B6F5A" w14:textId="6F5DED96" w:rsidR="0073657B" w:rsidRPr="00BD7F00" w:rsidRDefault="00F125FD" w:rsidP="00AA12E3">
      <w:r w:rsidRPr="00BD7F00">
        <w:t xml:space="preserve">La producción de carne con datos oficiales desagregados para Castilla y León, en </w:t>
      </w:r>
      <w:r w:rsidR="0073657B" w:rsidRPr="00BD7F00">
        <w:t>el periodo comprendido entre enero y agosto de 2025</w:t>
      </w:r>
      <w:r w:rsidRPr="00BD7F00">
        <w:t xml:space="preserve"> ascendió a </w:t>
      </w:r>
      <w:r w:rsidR="0073657B" w:rsidRPr="00BD7F00">
        <w:rPr>
          <w:lang w:eastAsia="es-ES"/>
        </w:rPr>
        <w:t>582.280</w:t>
      </w:r>
      <w:r w:rsidR="0073657B" w:rsidRPr="00BD7F00">
        <w:rPr>
          <w:rFonts w:ascii="Calibri" w:hAnsi="Calibri" w:cs="Calibri"/>
          <w:b/>
          <w:bCs/>
          <w:sz w:val="22"/>
          <w:szCs w:val="22"/>
          <w:lang w:eastAsia="es-ES"/>
        </w:rPr>
        <w:t xml:space="preserve"> </w:t>
      </w:r>
      <w:r w:rsidRPr="00BD7F00">
        <w:t>toneladas, que supone un</w:t>
      </w:r>
      <w:r w:rsidR="0073657B" w:rsidRPr="00BD7F00">
        <w:t xml:space="preserve"> incremento</w:t>
      </w:r>
      <w:r w:rsidRPr="00BD7F00">
        <w:t xml:space="preserve"> del </w:t>
      </w:r>
      <w:r w:rsidR="0073657B" w:rsidRPr="00BD7F00">
        <w:t xml:space="preserve">1,48 </w:t>
      </w:r>
      <w:r w:rsidRPr="00BD7F00">
        <w:t xml:space="preserve">% en relación con el mismo periodo del año anterior, con un número de animales sacrificados reducido en un </w:t>
      </w:r>
      <w:r w:rsidR="0073657B" w:rsidRPr="00BD7F00">
        <w:t>4,12</w:t>
      </w:r>
      <w:r w:rsidRPr="00BD7F00">
        <w:t>%.</w:t>
      </w:r>
    </w:p>
    <w:p w14:paraId="73DE5B82" w14:textId="41C45993" w:rsidR="00B51F2F" w:rsidRDefault="00F125FD" w:rsidP="00AA12E3">
      <w:r w:rsidRPr="00BD7F00">
        <w:t>La distribución de animales sacrificados y producción de carne, por especie, se puede ver en la tabla siguiente</w:t>
      </w:r>
      <w:r w:rsidR="00CA3D7D">
        <w:t>:</w:t>
      </w:r>
    </w:p>
    <w:p w14:paraId="13A93B4A" w14:textId="0D9335A4" w:rsidR="004C3114" w:rsidRDefault="00B01FD9" w:rsidP="00AA12E3">
      <w:pPr>
        <w:rPr>
          <w:sz w:val="20"/>
          <w:szCs w:val="20"/>
        </w:rPr>
      </w:pPr>
      <w:r>
        <w:rPr>
          <w:sz w:val="20"/>
          <w:szCs w:val="20"/>
        </w:rPr>
        <w:t xml:space="preserve">  </w:t>
      </w:r>
    </w:p>
    <w:p w14:paraId="6537ABF5" w14:textId="77777777" w:rsidR="00B01FD9" w:rsidRPr="00BD7F00" w:rsidRDefault="00B01FD9" w:rsidP="00AA12E3">
      <w:pPr>
        <w:rPr>
          <w:sz w:val="20"/>
          <w:szCs w:val="20"/>
        </w:rPr>
      </w:pPr>
    </w:p>
    <w:tbl>
      <w:tblPr>
        <w:tblW w:w="8124" w:type="dxa"/>
        <w:tblInd w:w="427" w:type="dxa"/>
        <w:tblCellMar>
          <w:left w:w="70" w:type="dxa"/>
          <w:right w:w="70" w:type="dxa"/>
        </w:tblCellMar>
        <w:tblLook w:val="04A0" w:firstRow="1" w:lastRow="0" w:firstColumn="1" w:lastColumn="0" w:noHBand="0" w:noVBand="1"/>
      </w:tblPr>
      <w:tblGrid>
        <w:gridCol w:w="847"/>
        <w:gridCol w:w="1230"/>
        <w:gridCol w:w="1230"/>
        <w:gridCol w:w="1041"/>
        <w:gridCol w:w="1218"/>
        <w:gridCol w:w="1359"/>
        <w:gridCol w:w="1042"/>
        <w:gridCol w:w="157"/>
      </w:tblGrid>
      <w:tr w:rsidR="00BD7F00" w:rsidRPr="00BD7F00" w14:paraId="44CC63DE" w14:textId="77777777" w:rsidTr="00B01FD9">
        <w:trPr>
          <w:gridAfter w:val="1"/>
          <w:wAfter w:w="157" w:type="dxa"/>
          <w:trHeight w:val="203"/>
        </w:trPr>
        <w:tc>
          <w:tcPr>
            <w:tcW w:w="848" w:type="dxa"/>
            <w:tcBorders>
              <w:top w:val="nil"/>
              <w:left w:val="nil"/>
              <w:bottom w:val="nil"/>
              <w:right w:val="single" w:sz="8" w:space="0" w:color="auto"/>
            </w:tcBorders>
            <w:vAlign w:val="center"/>
            <w:hideMark/>
          </w:tcPr>
          <w:p w14:paraId="0EF791D0" w14:textId="16ABE6F4" w:rsidR="0073657B" w:rsidRPr="00BD7F00" w:rsidRDefault="0073657B" w:rsidP="00AA12E3">
            <w:pPr>
              <w:ind w:left="-495"/>
              <w:jc w:val="center"/>
              <w:rPr>
                <w:b/>
                <w:bCs/>
                <w:sz w:val="20"/>
                <w:szCs w:val="20"/>
                <w:lang w:eastAsia="es-ES"/>
              </w:rPr>
            </w:pPr>
          </w:p>
        </w:tc>
        <w:tc>
          <w:tcPr>
            <w:tcW w:w="3397" w:type="dxa"/>
            <w:gridSpan w:val="3"/>
            <w:tcBorders>
              <w:top w:val="single" w:sz="8" w:space="0" w:color="auto"/>
              <w:left w:val="nil"/>
              <w:bottom w:val="single" w:sz="8" w:space="0" w:color="auto"/>
              <w:right w:val="single" w:sz="8" w:space="0" w:color="000000"/>
            </w:tcBorders>
            <w:vAlign w:val="center"/>
            <w:hideMark/>
          </w:tcPr>
          <w:p w14:paraId="4AA1921B" w14:textId="77777777" w:rsidR="0073657B" w:rsidRPr="00BD7F00" w:rsidRDefault="0073657B" w:rsidP="00AA12E3">
            <w:pPr>
              <w:jc w:val="center"/>
              <w:rPr>
                <w:b/>
                <w:bCs/>
                <w:sz w:val="20"/>
                <w:szCs w:val="20"/>
                <w:lang w:eastAsia="es-ES"/>
              </w:rPr>
            </w:pPr>
            <w:r w:rsidRPr="00BD7F00">
              <w:rPr>
                <w:b/>
                <w:bCs/>
                <w:sz w:val="20"/>
                <w:szCs w:val="20"/>
                <w:lang w:eastAsia="es-ES"/>
              </w:rPr>
              <w:t>Animales sacrificados (</w:t>
            </w:r>
            <w:proofErr w:type="spellStart"/>
            <w:r w:rsidRPr="00BD7F00">
              <w:rPr>
                <w:b/>
                <w:bCs/>
                <w:sz w:val="20"/>
                <w:szCs w:val="20"/>
                <w:lang w:eastAsia="es-ES"/>
              </w:rPr>
              <w:t>Nº</w:t>
            </w:r>
            <w:proofErr w:type="spellEnd"/>
            <w:r w:rsidRPr="00BD7F00">
              <w:rPr>
                <w:b/>
                <w:bCs/>
                <w:sz w:val="20"/>
                <w:szCs w:val="20"/>
                <w:lang w:eastAsia="es-ES"/>
              </w:rPr>
              <w:t>)</w:t>
            </w:r>
          </w:p>
        </w:tc>
        <w:tc>
          <w:tcPr>
            <w:tcW w:w="3722" w:type="dxa"/>
            <w:gridSpan w:val="3"/>
            <w:tcBorders>
              <w:top w:val="single" w:sz="8" w:space="0" w:color="auto"/>
              <w:left w:val="nil"/>
              <w:bottom w:val="single" w:sz="8" w:space="0" w:color="auto"/>
              <w:right w:val="single" w:sz="8" w:space="0" w:color="000000"/>
            </w:tcBorders>
            <w:vAlign w:val="center"/>
            <w:hideMark/>
          </w:tcPr>
          <w:p w14:paraId="336F02D5" w14:textId="77777777" w:rsidR="0073657B" w:rsidRPr="00BD7F00" w:rsidRDefault="0073657B" w:rsidP="00AA12E3">
            <w:pPr>
              <w:jc w:val="center"/>
              <w:rPr>
                <w:b/>
                <w:bCs/>
                <w:sz w:val="20"/>
                <w:szCs w:val="20"/>
                <w:lang w:eastAsia="es-ES"/>
              </w:rPr>
            </w:pPr>
            <w:r w:rsidRPr="00BD7F00">
              <w:rPr>
                <w:b/>
                <w:bCs/>
                <w:sz w:val="20"/>
                <w:szCs w:val="20"/>
                <w:lang w:eastAsia="es-ES"/>
              </w:rPr>
              <w:t>Peso total (toneladas)</w:t>
            </w:r>
          </w:p>
        </w:tc>
      </w:tr>
      <w:tr w:rsidR="00714630" w:rsidRPr="00BD7F00" w14:paraId="04026271" w14:textId="77777777" w:rsidTr="00B01FD9">
        <w:trPr>
          <w:gridAfter w:val="1"/>
          <w:wAfter w:w="157" w:type="dxa"/>
          <w:trHeight w:val="503"/>
        </w:trPr>
        <w:tc>
          <w:tcPr>
            <w:tcW w:w="848" w:type="dxa"/>
            <w:tcBorders>
              <w:top w:val="nil"/>
              <w:left w:val="nil"/>
              <w:bottom w:val="single" w:sz="8" w:space="0" w:color="auto"/>
              <w:right w:val="single" w:sz="8" w:space="0" w:color="auto"/>
            </w:tcBorders>
            <w:vAlign w:val="center"/>
            <w:hideMark/>
          </w:tcPr>
          <w:p w14:paraId="70202838" w14:textId="77777777" w:rsidR="0073657B" w:rsidRPr="00BD7F00" w:rsidRDefault="0073657B" w:rsidP="00AA12E3">
            <w:pPr>
              <w:rPr>
                <w:sz w:val="20"/>
                <w:szCs w:val="20"/>
                <w:lang w:eastAsia="es-ES"/>
              </w:rPr>
            </w:pPr>
            <w:r w:rsidRPr="00BD7F00">
              <w:rPr>
                <w:sz w:val="20"/>
                <w:szCs w:val="20"/>
                <w:lang w:eastAsia="es-ES"/>
              </w:rPr>
              <w:t> </w:t>
            </w:r>
          </w:p>
        </w:tc>
        <w:tc>
          <w:tcPr>
            <w:tcW w:w="1277" w:type="dxa"/>
            <w:tcBorders>
              <w:top w:val="nil"/>
              <w:left w:val="nil"/>
              <w:bottom w:val="single" w:sz="8" w:space="0" w:color="auto"/>
              <w:right w:val="single" w:sz="8" w:space="0" w:color="auto"/>
            </w:tcBorders>
            <w:vAlign w:val="center"/>
            <w:hideMark/>
          </w:tcPr>
          <w:p w14:paraId="1CB3CDC1" w14:textId="77777777" w:rsidR="0073657B" w:rsidRPr="00BD7F00" w:rsidRDefault="0073657B" w:rsidP="00AA12E3">
            <w:pPr>
              <w:jc w:val="center"/>
              <w:rPr>
                <w:b/>
                <w:bCs/>
                <w:sz w:val="20"/>
                <w:szCs w:val="20"/>
                <w:lang w:eastAsia="es-ES"/>
              </w:rPr>
            </w:pPr>
            <w:r w:rsidRPr="00BD7F00">
              <w:rPr>
                <w:b/>
                <w:bCs/>
                <w:sz w:val="20"/>
                <w:szCs w:val="20"/>
                <w:lang w:eastAsia="es-ES"/>
              </w:rPr>
              <w:t>Enero-</w:t>
            </w:r>
            <w:proofErr w:type="gramStart"/>
            <w:r w:rsidRPr="00BD7F00">
              <w:rPr>
                <w:b/>
                <w:bCs/>
                <w:sz w:val="20"/>
                <w:szCs w:val="20"/>
                <w:lang w:eastAsia="es-ES"/>
              </w:rPr>
              <w:t>Octubre</w:t>
            </w:r>
            <w:proofErr w:type="gramEnd"/>
            <w:r w:rsidRPr="00BD7F00">
              <w:rPr>
                <w:b/>
                <w:bCs/>
                <w:sz w:val="20"/>
                <w:szCs w:val="20"/>
                <w:lang w:eastAsia="es-ES"/>
              </w:rPr>
              <w:t xml:space="preserve"> 2024</w:t>
            </w:r>
          </w:p>
        </w:tc>
        <w:tc>
          <w:tcPr>
            <w:tcW w:w="1276" w:type="dxa"/>
            <w:tcBorders>
              <w:top w:val="nil"/>
              <w:left w:val="nil"/>
              <w:bottom w:val="single" w:sz="8" w:space="0" w:color="auto"/>
              <w:right w:val="single" w:sz="8" w:space="0" w:color="auto"/>
            </w:tcBorders>
            <w:vAlign w:val="center"/>
            <w:hideMark/>
          </w:tcPr>
          <w:p w14:paraId="38E91DAF" w14:textId="77777777" w:rsidR="0073657B" w:rsidRPr="00BD7F00" w:rsidRDefault="0073657B" w:rsidP="00AA12E3">
            <w:pPr>
              <w:jc w:val="center"/>
              <w:rPr>
                <w:b/>
                <w:bCs/>
                <w:sz w:val="20"/>
                <w:szCs w:val="20"/>
                <w:lang w:eastAsia="es-ES"/>
              </w:rPr>
            </w:pPr>
            <w:r w:rsidRPr="00BD7F00">
              <w:rPr>
                <w:b/>
                <w:bCs/>
                <w:sz w:val="20"/>
                <w:szCs w:val="20"/>
                <w:lang w:eastAsia="es-ES"/>
              </w:rPr>
              <w:t>Enero-</w:t>
            </w:r>
            <w:proofErr w:type="gramStart"/>
            <w:r w:rsidRPr="00BD7F00">
              <w:rPr>
                <w:b/>
                <w:bCs/>
                <w:sz w:val="20"/>
                <w:szCs w:val="20"/>
                <w:lang w:eastAsia="es-ES"/>
              </w:rPr>
              <w:t>Octubre</w:t>
            </w:r>
            <w:proofErr w:type="gramEnd"/>
            <w:r w:rsidRPr="00BD7F00">
              <w:rPr>
                <w:b/>
                <w:bCs/>
                <w:sz w:val="20"/>
                <w:szCs w:val="20"/>
                <w:lang w:eastAsia="es-ES"/>
              </w:rPr>
              <w:t xml:space="preserve"> 2025</w:t>
            </w:r>
          </w:p>
        </w:tc>
        <w:tc>
          <w:tcPr>
            <w:tcW w:w="844" w:type="dxa"/>
            <w:tcBorders>
              <w:top w:val="nil"/>
              <w:left w:val="nil"/>
              <w:bottom w:val="single" w:sz="8" w:space="0" w:color="auto"/>
              <w:right w:val="single" w:sz="8" w:space="0" w:color="auto"/>
            </w:tcBorders>
            <w:vAlign w:val="center"/>
            <w:hideMark/>
          </w:tcPr>
          <w:p w14:paraId="6224A1BB" w14:textId="77777777" w:rsidR="0073657B" w:rsidRPr="00BD7F00" w:rsidRDefault="0073657B" w:rsidP="00AA12E3">
            <w:pPr>
              <w:jc w:val="center"/>
              <w:rPr>
                <w:b/>
                <w:bCs/>
                <w:sz w:val="20"/>
                <w:szCs w:val="20"/>
                <w:lang w:eastAsia="es-ES"/>
              </w:rPr>
            </w:pPr>
            <w:r w:rsidRPr="00BD7F00">
              <w:rPr>
                <w:b/>
                <w:bCs/>
                <w:sz w:val="20"/>
                <w:szCs w:val="20"/>
                <w:lang w:eastAsia="es-ES"/>
              </w:rPr>
              <w:t>Variación (%)</w:t>
            </w:r>
          </w:p>
        </w:tc>
        <w:tc>
          <w:tcPr>
            <w:tcW w:w="1301" w:type="dxa"/>
            <w:tcBorders>
              <w:top w:val="nil"/>
              <w:left w:val="nil"/>
              <w:bottom w:val="single" w:sz="8" w:space="0" w:color="auto"/>
              <w:right w:val="single" w:sz="8" w:space="0" w:color="auto"/>
            </w:tcBorders>
            <w:vAlign w:val="center"/>
            <w:hideMark/>
          </w:tcPr>
          <w:p w14:paraId="325D7700" w14:textId="77777777" w:rsidR="0073657B" w:rsidRPr="00BD7F00" w:rsidRDefault="0073657B" w:rsidP="00AA12E3">
            <w:pPr>
              <w:ind w:hanging="39"/>
              <w:jc w:val="center"/>
              <w:rPr>
                <w:b/>
                <w:bCs/>
                <w:sz w:val="20"/>
                <w:szCs w:val="20"/>
                <w:lang w:eastAsia="es-ES"/>
              </w:rPr>
            </w:pPr>
            <w:r w:rsidRPr="00BD7F00">
              <w:rPr>
                <w:b/>
                <w:bCs/>
                <w:sz w:val="20"/>
                <w:szCs w:val="20"/>
                <w:lang w:eastAsia="es-ES"/>
              </w:rPr>
              <w:t>Enero-</w:t>
            </w:r>
            <w:proofErr w:type="gramStart"/>
            <w:r w:rsidRPr="00BD7F00">
              <w:rPr>
                <w:b/>
                <w:bCs/>
                <w:sz w:val="20"/>
                <w:szCs w:val="20"/>
                <w:lang w:eastAsia="es-ES"/>
              </w:rPr>
              <w:t>Agosto</w:t>
            </w:r>
            <w:proofErr w:type="gramEnd"/>
            <w:r w:rsidRPr="00BD7F00">
              <w:rPr>
                <w:b/>
                <w:bCs/>
                <w:sz w:val="20"/>
                <w:szCs w:val="20"/>
                <w:lang w:eastAsia="es-ES"/>
              </w:rPr>
              <w:t xml:space="preserve"> 2024</w:t>
            </w:r>
          </w:p>
        </w:tc>
        <w:tc>
          <w:tcPr>
            <w:tcW w:w="1379" w:type="dxa"/>
            <w:tcBorders>
              <w:top w:val="nil"/>
              <w:left w:val="nil"/>
              <w:bottom w:val="single" w:sz="8" w:space="0" w:color="auto"/>
              <w:right w:val="single" w:sz="8" w:space="0" w:color="auto"/>
            </w:tcBorders>
            <w:vAlign w:val="center"/>
            <w:hideMark/>
          </w:tcPr>
          <w:p w14:paraId="46AAFC56" w14:textId="77777777" w:rsidR="0073657B" w:rsidRPr="00BD7F00" w:rsidRDefault="0073657B" w:rsidP="00AA12E3">
            <w:pPr>
              <w:jc w:val="center"/>
              <w:rPr>
                <w:b/>
                <w:bCs/>
                <w:sz w:val="20"/>
                <w:szCs w:val="20"/>
                <w:lang w:eastAsia="es-ES"/>
              </w:rPr>
            </w:pPr>
            <w:r w:rsidRPr="00BD7F00">
              <w:rPr>
                <w:b/>
                <w:bCs/>
                <w:sz w:val="20"/>
                <w:szCs w:val="20"/>
                <w:lang w:eastAsia="es-ES"/>
              </w:rPr>
              <w:t>Enero-Agosto2025</w:t>
            </w:r>
          </w:p>
        </w:tc>
        <w:tc>
          <w:tcPr>
            <w:tcW w:w="1042" w:type="dxa"/>
            <w:tcBorders>
              <w:top w:val="nil"/>
              <w:left w:val="nil"/>
              <w:bottom w:val="single" w:sz="8" w:space="0" w:color="auto"/>
              <w:right w:val="single" w:sz="8" w:space="0" w:color="auto"/>
            </w:tcBorders>
            <w:vAlign w:val="center"/>
            <w:hideMark/>
          </w:tcPr>
          <w:p w14:paraId="289F5812" w14:textId="77777777" w:rsidR="0073657B" w:rsidRPr="00BD7F00" w:rsidRDefault="0073657B" w:rsidP="00AA12E3">
            <w:pPr>
              <w:jc w:val="center"/>
              <w:rPr>
                <w:b/>
                <w:bCs/>
                <w:sz w:val="20"/>
                <w:szCs w:val="20"/>
                <w:lang w:eastAsia="es-ES"/>
              </w:rPr>
            </w:pPr>
            <w:r w:rsidRPr="00BD7F00">
              <w:rPr>
                <w:b/>
                <w:bCs/>
                <w:sz w:val="20"/>
                <w:szCs w:val="20"/>
                <w:lang w:eastAsia="es-ES"/>
              </w:rPr>
              <w:t>Variación (%)</w:t>
            </w:r>
          </w:p>
        </w:tc>
      </w:tr>
      <w:tr w:rsidR="00714630" w:rsidRPr="00BD7F00" w14:paraId="3BA83B03" w14:textId="77777777" w:rsidTr="00B01FD9">
        <w:trPr>
          <w:gridAfter w:val="1"/>
          <w:wAfter w:w="157" w:type="dxa"/>
          <w:trHeight w:val="276"/>
        </w:trPr>
        <w:tc>
          <w:tcPr>
            <w:tcW w:w="848" w:type="dxa"/>
            <w:vMerge w:val="restart"/>
            <w:tcBorders>
              <w:top w:val="nil"/>
              <w:left w:val="single" w:sz="8" w:space="0" w:color="auto"/>
              <w:bottom w:val="single" w:sz="8" w:space="0" w:color="000000"/>
              <w:right w:val="single" w:sz="8" w:space="0" w:color="auto"/>
            </w:tcBorders>
            <w:vAlign w:val="center"/>
            <w:hideMark/>
          </w:tcPr>
          <w:p w14:paraId="6A87297E" w14:textId="77777777" w:rsidR="0073657B" w:rsidRPr="00BD7F00" w:rsidRDefault="0073657B" w:rsidP="00AA12E3">
            <w:pPr>
              <w:rPr>
                <w:sz w:val="20"/>
                <w:szCs w:val="20"/>
                <w:lang w:eastAsia="es-ES"/>
              </w:rPr>
            </w:pPr>
            <w:r w:rsidRPr="00BD7F00">
              <w:rPr>
                <w:sz w:val="20"/>
                <w:szCs w:val="20"/>
                <w:lang w:eastAsia="es-ES"/>
              </w:rPr>
              <w:t>Bovino</w:t>
            </w:r>
          </w:p>
        </w:tc>
        <w:tc>
          <w:tcPr>
            <w:tcW w:w="1277" w:type="dxa"/>
            <w:vMerge w:val="restart"/>
            <w:tcBorders>
              <w:top w:val="nil"/>
              <w:left w:val="single" w:sz="8" w:space="0" w:color="auto"/>
              <w:bottom w:val="single" w:sz="8" w:space="0" w:color="000000"/>
              <w:right w:val="single" w:sz="8" w:space="0" w:color="auto"/>
            </w:tcBorders>
            <w:vAlign w:val="center"/>
            <w:hideMark/>
          </w:tcPr>
          <w:p w14:paraId="5E4FB990" w14:textId="77777777" w:rsidR="0073657B" w:rsidRPr="00BD7F00" w:rsidRDefault="0073657B" w:rsidP="00AA12E3">
            <w:pPr>
              <w:jc w:val="center"/>
              <w:rPr>
                <w:sz w:val="20"/>
                <w:szCs w:val="20"/>
                <w:lang w:eastAsia="es-ES"/>
              </w:rPr>
            </w:pPr>
            <w:r w:rsidRPr="00BD7F00">
              <w:rPr>
                <w:sz w:val="20"/>
                <w:szCs w:val="20"/>
                <w:lang w:eastAsia="es-ES"/>
              </w:rPr>
              <w:t>351.897</w:t>
            </w:r>
          </w:p>
        </w:tc>
        <w:tc>
          <w:tcPr>
            <w:tcW w:w="1276" w:type="dxa"/>
            <w:vMerge w:val="restart"/>
            <w:tcBorders>
              <w:top w:val="nil"/>
              <w:left w:val="single" w:sz="8" w:space="0" w:color="auto"/>
              <w:bottom w:val="single" w:sz="8" w:space="0" w:color="000000"/>
              <w:right w:val="single" w:sz="8" w:space="0" w:color="auto"/>
            </w:tcBorders>
            <w:vAlign w:val="center"/>
            <w:hideMark/>
          </w:tcPr>
          <w:p w14:paraId="338EADA4" w14:textId="77777777" w:rsidR="0073657B" w:rsidRPr="00BD7F00" w:rsidRDefault="0073657B" w:rsidP="00AA12E3">
            <w:pPr>
              <w:jc w:val="center"/>
              <w:rPr>
                <w:sz w:val="20"/>
                <w:szCs w:val="20"/>
                <w:lang w:eastAsia="es-ES"/>
              </w:rPr>
            </w:pPr>
            <w:r w:rsidRPr="00BD7F00">
              <w:rPr>
                <w:sz w:val="20"/>
                <w:szCs w:val="20"/>
                <w:lang w:eastAsia="es-ES"/>
              </w:rPr>
              <w:t>335.736</w:t>
            </w:r>
          </w:p>
        </w:tc>
        <w:tc>
          <w:tcPr>
            <w:tcW w:w="844" w:type="dxa"/>
            <w:vMerge w:val="restart"/>
            <w:tcBorders>
              <w:top w:val="nil"/>
              <w:left w:val="single" w:sz="8" w:space="0" w:color="auto"/>
              <w:bottom w:val="single" w:sz="8" w:space="0" w:color="000000"/>
              <w:right w:val="single" w:sz="8" w:space="0" w:color="auto"/>
            </w:tcBorders>
            <w:vAlign w:val="center"/>
            <w:hideMark/>
          </w:tcPr>
          <w:p w14:paraId="03A84EBD" w14:textId="77777777" w:rsidR="0073657B" w:rsidRPr="00BD7F00" w:rsidRDefault="0073657B" w:rsidP="00AA12E3">
            <w:pPr>
              <w:jc w:val="center"/>
              <w:rPr>
                <w:sz w:val="20"/>
                <w:szCs w:val="20"/>
                <w:lang w:eastAsia="es-ES"/>
              </w:rPr>
            </w:pPr>
            <w:r w:rsidRPr="00BD7F00">
              <w:rPr>
                <w:sz w:val="20"/>
                <w:szCs w:val="20"/>
                <w:lang w:eastAsia="es-ES"/>
              </w:rPr>
              <w:t>4,16</w:t>
            </w:r>
          </w:p>
        </w:tc>
        <w:tc>
          <w:tcPr>
            <w:tcW w:w="1301" w:type="dxa"/>
            <w:vMerge w:val="restart"/>
            <w:tcBorders>
              <w:top w:val="nil"/>
              <w:left w:val="single" w:sz="8" w:space="0" w:color="auto"/>
              <w:bottom w:val="single" w:sz="8" w:space="0" w:color="000000"/>
              <w:right w:val="single" w:sz="8" w:space="0" w:color="auto"/>
            </w:tcBorders>
            <w:vAlign w:val="center"/>
            <w:hideMark/>
          </w:tcPr>
          <w:p w14:paraId="6AE15A2F" w14:textId="77777777" w:rsidR="0073657B" w:rsidRPr="00BD7F00" w:rsidRDefault="0073657B" w:rsidP="00AA12E3">
            <w:pPr>
              <w:jc w:val="center"/>
              <w:rPr>
                <w:sz w:val="20"/>
                <w:szCs w:val="20"/>
                <w:lang w:eastAsia="es-ES"/>
              </w:rPr>
            </w:pPr>
            <w:r w:rsidRPr="00BD7F00">
              <w:rPr>
                <w:sz w:val="20"/>
                <w:szCs w:val="20"/>
                <w:lang w:eastAsia="es-ES"/>
              </w:rPr>
              <w:t>80.864</w:t>
            </w:r>
          </w:p>
        </w:tc>
        <w:tc>
          <w:tcPr>
            <w:tcW w:w="1379" w:type="dxa"/>
            <w:vMerge w:val="restart"/>
            <w:tcBorders>
              <w:top w:val="nil"/>
              <w:left w:val="single" w:sz="8" w:space="0" w:color="auto"/>
              <w:bottom w:val="single" w:sz="8" w:space="0" w:color="000000"/>
              <w:right w:val="single" w:sz="8" w:space="0" w:color="auto"/>
            </w:tcBorders>
            <w:vAlign w:val="center"/>
            <w:hideMark/>
          </w:tcPr>
          <w:p w14:paraId="624DBFBF" w14:textId="77777777" w:rsidR="0073657B" w:rsidRPr="00BD7F00" w:rsidRDefault="0073657B" w:rsidP="00AA12E3">
            <w:pPr>
              <w:jc w:val="center"/>
              <w:rPr>
                <w:sz w:val="20"/>
                <w:szCs w:val="20"/>
                <w:lang w:eastAsia="es-ES"/>
              </w:rPr>
            </w:pPr>
            <w:r w:rsidRPr="00BD7F00">
              <w:rPr>
                <w:sz w:val="20"/>
                <w:szCs w:val="20"/>
                <w:lang w:eastAsia="es-ES"/>
              </w:rPr>
              <w:t>79.815</w:t>
            </w:r>
          </w:p>
        </w:tc>
        <w:tc>
          <w:tcPr>
            <w:tcW w:w="1042" w:type="dxa"/>
            <w:vMerge w:val="restart"/>
            <w:tcBorders>
              <w:top w:val="nil"/>
              <w:left w:val="single" w:sz="8" w:space="0" w:color="auto"/>
              <w:bottom w:val="single" w:sz="8" w:space="0" w:color="000000"/>
              <w:right w:val="single" w:sz="8" w:space="0" w:color="auto"/>
            </w:tcBorders>
            <w:vAlign w:val="center"/>
            <w:hideMark/>
          </w:tcPr>
          <w:p w14:paraId="5BC1FA32" w14:textId="77777777" w:rsidR="0073657B" w:rsidRPr="00BD7F00" w:rsidRDefault="0073657B" w:rsidP="00AA12E3">
            <w:pPr>
              <w:jc w:val="center"/>
              <w:rPr>
                <w:sz w:val="20"/>
                <w:szCs w:val="20"/>
                <w:lang w:eastAsia="es-ES"/>
              </w:rPr>
            </w:pPr>
            <w:r w:rsidRPr="00BD7F00">
              <w:rPr>
                <w:sz w:val="20"/>
                <w:szCs w:val="20"/>
                <w:lang w:eastAsia="es-ES"/>
              </w:rPr>
              <w:t>-1,3</w:t>
            </w:r>
          </w:p>
        </w:tc>
      </w:tr>
      <w:tr w:rsidR="00714630" w:rsidRPr="00BD7F00" w14:paraId="4AE3D95B" w14:textId="77777777" w:rsidTr="00B01FD9">
        <w:trPr>
          <w:trHeight w:val="203"/>
        </w:trPr>
        <w:tc>
          <w:tcPr>
            <w:tcW w:w="848" w:type="dxa"/>
            <w:vMerge/>
            <w:tcBorders>
              <w:top w:val="nil"/>
              <w:left w:val="single" w:sz="8" w:space="0" w:color="auto"/>
              <w:bottom w:val="single" w:sz="8" w:space="0" w:color="000000"/>
              <w:right w:val="single" w:sz="8" w:space="0" w:color="auto"/>
            </w:tcBorders>
            <w:vAlign w:val="center"/>
            <w:hideMark/>
          </w:tcPr>
          <w:p w14:paraId="3FECBCAE" w14:textId="77777777" w:rsidR="0073657B" w:rsidRPr="00BD7F00" w:rsidRDefault="0073657B" w:rsidP="00AA12E3">
            <w:pPr>
              <w:jc w:val="left"/>
              <w:rPr>
                <w:sz w:val="20"/>
                <w:szCs w:val="20"/>
                <w:lang w:eastAsia="es-ES"/>
              </w:rPr>
            </w:pPr>
          </w:p>
        </w:tc>
        <w:tc>
          <w:tcPr>
            <w:tcW w:w="1277" w:type="dxa"/>
            <w:vMerge/>
            <w:tcBorders>
              <w:top w:val="nil"/>
              <w:left w:val="single" w:sz="8" w:space="0" w:color="auto"/>
              <w:bottom w:val="single" w:sz="8" w:space="0" w:color="000000"/>
              <w:right w:val="single" w:sz="8" w:space="0" w:color="auto"/>
            </w:tcBorders>
            <w:vAlign w:val="center"/>
            <w:hideMark/>
          </w:tcPr>
          <w:p w14:paraId="780F29D6" w14:textId="77777777" w:rsidR="0073657B" w:rsidRPr="00BD7F00" w:rsidRDefault="0073657B" w:rsidP="00AA12E3">
            <w:pPr>
              <w:jc w:val="left"/>
              <w:rPr>
                <w:sz w:val="20"/>
                <w:szCs w:val="2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78C4F3A5" w14:textId="77777777" w:rsidR="0073657B" w:rsidRPr="00BD7F00" w:rsidRDefault="0073657B" w:rsidP="00AA12E3">
            <w:pPr>
              <w:jc w:val="left"/>
              <w:rPr>
                <w:sz w:val="20"/>
                <w:szCs w:val="20"/>
                <w:lang w:eastAsia="es-ES"/>
              </w:rPr>
            </w:pPr>
          </w:p>
        </w:tc>
        <w:tc>
          <w:tcPr>
            <w:tcW w:w="844" w:type="dxa"/>
            <w:vMerge/>
            <w:tcBorders>
              <w:top w:val="nil"/>
              <w:left w:val="single" w:sz="8" w:space="0" w:color="auto"/>
              <w:bottom w:val="single" w:sz="8" w:space="0" w:color="000000"/>
              <w:right w:val="single" w:sz="8" w:space="0" w:color="auto"/>
            </w:tcBorders>
            <w:vAlign w:val="center"/>
            <w:hideMark/>
          </w:tcPr>
          <w:p w14:paraId="36C3F95A" w14:textId="77777777" w:rsidR="0073657B" w:rsidRPr="00BD7F00" w:rsidRDefault="0073657B" w:rsidP="00AA12E3">
            <w:pPr>
              <w:jc w:val="left"/>
              <w:rPr>
                <w:sz w:val="20"/>
                <w:szCs w:val="20"/>
                <w:lang w:eastAsia="es-ES"/>
              </w:rPr>
            </w:pPr>
          </w:p>
        </w:tc>
        <w:tc>
          <w:tcPr>
            <w:tcW w:w="1301" w:type="dxa"/>
            <w:vMerge/>
            <w:tcBorders>
              <w:top w:val="nil"/>
              <w:left w:val="single" w:sz="8" w:space="0" w:color="auto"/>
              <w:bottom w:val="single" w:sz="8" w:space="0" w:color="000000"/>
              <w:right w:val="single" w:sz="8" w:space="0" w:color="auto"/>
            </w:tcBorders>
            <w:vAlign w:val="center"/>
            <w:hideMark/>
          </w:tcPr>
          <w:p w14:paraId="1741C7A4" w14:textId="77777777" w:rsidR="0073657B" w:rsidRPr="00BD7F00" w:rsidRDefault="0073657B" w:rsidP="00AA12E3">
            <w:pPr>
              <w:jc w:val="left"/>
              <w:rPr>
                <w:sz w:val="20"/>
                <w:szCs w:val="20"/>
                <w:lang w:eastAsia="es-ES"/>
              </w:rPr>
            </w:pPr>
          </w:p>
        </w:tc>
        <w:tc>
          <w:tcPr>
            <w:tcW w:w="1379" w:type="dxa"/>
            <w:vMerge/>
            <w:tcBorders>
              <w:top w:val="nil"/>
              <w:left w:val="single" w:sz="8" w:space="0" w:color="auto"/>
              <w:bottom w:val="single" w:sz="8" w:space="0" w:color="000000"/>
              <w:right w:val="single" w:sz="8" w:space="0" w:color="auto"/>
            </w:tcBorders>
            <w:vAlign w:val="center"/>
            <w:hideMark/>
          </w:tcPr>
          <w:p w14:paraId="51949F2A" w14:textId="77777777" w:rsidR="0073657B" w:rsidRPr="00BD7F00" w:rsidRDefault="0073657B" w:rsidP="00AA12E3">
            <w:pPr>
              <w:jc w:val="left"/>
              <w:rPr>
                <w:sz w:val="20"/>
                <w:szCs w:val="20"/>
                <w:lang w:eastAsia="es-ES"/>
              </w:rPr>
            </w:pPr>
          </w:p>
        </w:tc>
        <w:tc>
          <w:tcPr>
            <w:tcW w:w="1042" w:type="dxa"/>
            <w:vMerge/>
            <w:tcBorders>
              <w:top w:val="nil"/>
              <w:left w:val="single" w:sz="8" w:space="0" w:color="auto"/>
              <w:bottom w:val="single" w:sz="8" w:space="0" w:color="000000"/>
              <w:right w:val="single" w:sz="8" w:space="0" w:color="auto"/>
            </w:tcBorders>
            <w:vAlign w:val="center"/>
            <w:hideMark/>
          </w:tcPr>
          <w:p w14:paraId="4DAAFE20" w14:textId="77777777" w:rsidR="0073657B" w:rsidRPr="00BD7F00" w:rsidRDefault="0073657B" w:rsidP="00AA12E3">
            <w:pPr>
              <w:jc w:val="left"/>
              <w:rPr>
                <w:sz w:val="20"/>
                <w:szCs w:val="20"/>
                <w:lang w:eastAsia="es-ES"/>
              </w:rPr>
            </w:pPr>
          </w:p>
        </w:tc>
        <w:tc>
          <w:tcPr>
            <w:tcW w:w="157" w:type="dxa"/>
            <w:tcBorders>
              <w:top w:val="nil"/>
              <w:left w:val="nil"/>
              <w:bottom w:val="nil"/>
              <w:right w:val="nil"/>
            </w:tcBorders>
            <w:noWrap/>
            <w:vAlign w:val="bottom"/>
            <w:hideMark/>
          </w:tcPr>
          <w:p w14:paraId="33E3F2BC" w14:textId="77777777" w:rsidR="0073657B" w:rsidRPr="00BD7F00" w:rsidRDefault="0073657B" w:rsidP="00AA12E3">
            <w:pPr>
              <w:jc w:val="center"/>
              <w:rPr>
                <w:sz w:val="20"/>
                <w:szCs w:val="20"/>
                <w:lang w:eastAsia="es-ES"/>
              </w:rPr>
            </w:pPr>
          </w:p>
        </w:tc>
      </w:tr>
      <w:tr w:rsidR="00714630" w:rsidRPr="00BD7F00" w14:paraId="3E562DA6" w14:textId="77777777" w:rsidTr="00B01FD9">
        <w:trPr>
          <w:trHeight w:val="191"/>
        </w:trPr>
        <w:tc>
          <w:tcPr>
            <w:tcW w:w="848" w:type="dxa"/>
            <w:vMerge w:val="restart"/>
            <w:tcBorders>
              <w:top w:val="nil"/>
              <w:left w:val="single" w:sz="8" w:space="0" w:color="auto"/>
              <w:bottom w:val="single" w:sz="8" w:space="0" w:color="000000"/>
              <w:right w:val="single" w:sz="8" w:space="0" w:color="auto"/>
            </w:tcBorders>
            <w:vAlign w:val="center"/>
            <w:hideMark/>
          </w:tcPr>
          <w:p w14:paraId="221667B4" w14:textId="77777777" w:rsidR="0073657B" w:rsidRPr="00BD7F00" w:rsidRDefault="0073657B" w:rsidP="00AA12E3">
            <w:pPr>
              <w:rPr>
                <w:sz w:val="20"/>
                <w:szCs w:val="20"/>
                <w:lang w:eastAsia="es-ES"/>
              </w:rPr>
            </w:pPr>
            <w:r w:rsidRPr="00BD7F00">
              <w:rPr>
                <w:sz w:val="20"/>
                <w:szCs w:val="20"/>
                <w:lang w:eastAsia="es-ES"/>
              </w:rPr>
              <w:t>Ovino</w:t>
            </w:r>
          </w:p>
        </w:tc>
        <w:tc>
          <w:tcPr>
            <w:tcW w:w="1277" w:type="dxa"/>
            <w:vMerge w:val="restart"/>
            <w:tcBorders>
              <w:top w:val="nil"/>
              <w:left w:val="single" w:sz="8" w:space="0" w:color="auto"/>
              <w:bottom w:val="single" w:sz="8" w:space="0" w:color="000000"/>
              <w:right w:val="single" w:sz="8" w:space="0" w:color="auto"/>
            </w:tcBorders>
            <w:vAlign w:val="center"/>
            <w:hideMark/>
          </w:tcPr>
          <w:p w14:paraId="50953098" w14:textId="77777777" w:rsidR="0073657B" w:rsidRPr="00BD7F00" w:rsidRDefault="0073657B" w:rsidP="00AA12E3">
            <w:pPr>
              <w:jc w:val="center"/>
              <w:rPr>
                <w:sz w:val="20"/>
                <w:szCs w:val="20"/>
                <w:lang w:eastAsia="es-ES"/>
              </w:rPr>
            </w:pPr>
            <w:r w:rsidRPr="00BD7F00">
              <w:rPr>
                <w:sz w:val="20"/>
                <w:szCs w:val="20"/>
                <w:lang w:eastAsia="es-ES"/>
              </w:rPr>
              <w:t>2.089.318</w:t>
            </w:r>
          </w:p>
        </w:tc>
        <w:tc>
          <w:tcPr>
            <w:tcW w:w="1276" w:type="dxa"/>
            <w:vMerge w:val="restart"/>
            <w:tcBorders>
              <w:top w:val="nil"/>
              <w:left w:val="single" w:sz="8" w:space="0" w:color="auto"/>
              <w:bottom w:val="single" w:sz="8" w:space="0" w:color="000000"/>
              <w:right w:val="single" w:sz="8" w:space="0" w:color="auto"/>
            </w:tcBorders>
            <w:vAlign w:val="center"/>
            <w:hideMark/>
          </w:tcPr>
          <w:p w14:paraId="067606A6" w14:textId="77777777" w:rsidR="0073657B" w:rsidRPr="00BD7F00" w:rsidRDefault="0073657B" w:rsidP="00AA12E3">
            <w:pPr>
              <w:jc w:val="center"/>
              <w:rPr>
                <w:sz w:val="20"/>
                <w:szCs w:val="20"/>
                <w:lang w:eastAsia="es-ES"/>
              </w:rPr>
            </w:pPr>
            <w:r w:rsidRPr="00BD7F00">
              <w:rPr>
                <w:sz w:val="20"/>
                <w:szCs w:val="20"/>
                <w:lang w:eastAsia="es-ES"/>
              </w:rPr>
              <w:t>1.845.077</w:t>
            </w:r>
          </w:p>
        </w:tc>
        <w:tc>
          <w:tcPr>
            <w:tcW w:w="844" w:type="dxa"/>
            <w:vMerge w:val="restart"/>
            <w:tcBorders>
              <w:top w:val="nil"/>
              <w:left w:val="single" w:sz="8" w:space="0" w:color="auto"/>
              <w:bottom w:val="single" w:sz="8" w:space="0" w:color="000000"/>
              <w:right w:val="single" w:sz="8" w:space="0" w:color="auto"/>
            </w:tcBorders>
            <w:vAlign w:val="center"/>
            <w:hideMark/>
          </w:tcPr>
          <w:p w14:paraId="78E9B018" w14:textId="77777777" w:rsidR="0073657B" w:rsidRPr="00BD7F00" w:rsidRDefault="0073657B" w:rsidP="00AA12E3">
            <w:pPr>
              <w:jc w:val="center"/>
              <w:rPr>
                <w:sz w:val="20"/>
                <w:szCs w:val="20"/>
                <w:lang w:eastAsia="es-ES"/>
              </w:rPr>
            </w:pPr>
            <w:r w:rsidRPr="00BD7F00">
              <w:rPr>
                <w:sz w:val="20"/>
                <w:szCs w:val="20"/>
                <w:lang w:eastAsia="es-ES"/>
              </w:rPr>
              <w:t>-11,69</w:t>
            </w:r>
          </w:p>
        </w:tc>
        <w:tc>
          <w:tcPr>
            <w:tcW w:w="1301" w:type="dxa"/>
            <w:vMerge w:val="restart"/>
            <w:tcBorders>
              <w:top w:val="nil"/>
              <w:left w:val="single" w:sz="8" w:space="0" w:color="auto"/>
              <w:bottom w:val="single" w:sz="8" w:space="0" w:color="000000"/>
              <w:right w:val="single" w:sz="8" w:space="0" w:color="auto"/>
            </w:tcBorders>
            <w:vAlign w:val="center"/>
            <w:hideMark/>
          </w:tcPr>
          <w:p w14:paraId="381585DA" w14:textId="77777777" w:rsidR="0073657B" w:rsidRPr="00BD7F00" w:rsidRDefault="0073657B" w:rsidP="00AA12E3">
            <w:pPr>
              <w:jc w:val="center"/>
              <w:rPr>
                <w:sz w:val="20"/>
                <w:szCs w:val="20"/>
                <w:lang w:eastAsia="es-ES"/>
              </w:rPr>
            </w:pPr>
            <w:r w:rsidRPr="00BD7F00">
              <w:rPr>
                <w:sz w:val="20"/>
                <w:szCs w:val="20"/>
                <w:lang w:eastAsia="es-ES"/>
              </w:rPr>
              <w:t>18.846</w:t>
            </w:r>
          </w:p>
        </w:tc>
        <w:tc>
          <w:tcPr>
            <w:tcW w:w="1379" w:type="dxa"/>
            <w:vMerge w:val="restart"/>
            <w:tcBorders>
              <w:top w:val="nil"/>
              <w:left w:val="single" w:sz="8" w:space="0" w:color="auto"/>
              <w:bottom w:val="single" w:sz="8" w:space="0" w:color="000000"/>
              <w:right w:val="single" w:sz="8" w:space="0" w:color="auto"/>
            </w:tcBorders>
            <w:vAlign w:val="center"/>
            <w:hideMark/>
          </w:tcPr>
          <w:p w14:paraId="2CBCBCDC" w14:textId="77777777" w:rsidR="0073657B" w:rsidRPr="00BD7F00" w:rsidRDefault="0073657B" w:rsidP="00AA12E3">
            <w:pPr>
              <w:jc w:val="center"/>
              <w:rPr>
                <w:sz w:val="20"/>
                <w:szCs w:val="20"/>
                <w:lang w:eastAsia="es-ES"/>
              </w:rPr>
            </w:pPr>
            <w:r w:rsidRPr="00BD7F00">
              <w:rPr>
                <w:sz w:val="20"/>
                <w:szCs w:val="20"/>
                <w:lang w:eastAsia="es-ES"/>
              </w:rPr>
              <w:t>16.555</w:t>
            </w:r>
          </w:p>
        </w:tc>
        <w:tc>
          <w:tcPr>
            <w:tcW w:w="1042" w:type="dxa"/>
            <w:vMerge w:val="restart"/>
            <w:tcBorders>
              <w:top w:val="nil"/>
              <w:left w:val="single" w:sz="8" w:space="0" w:color="auto"/>
              <w:bottom w:val="single" w:sz="8" w:space="0" w:color="000000"/>
              <w:right w:val="single" w:sz="8" w:space="0" w:color="auto"/>
            </w:tcBorders>
            <w:vAlign w:val="center"/>
            <w:hideMark/>
          </w:tcPr>
          <w:p w14:paraId="5FA61465" w14:textId="77777777" w:rsidR="0073657B" w:rsidRPr="00BD7F00" w:rsidRDefault="0073657B" w:rsidP="00AA12E3">
            <w:pPr>
              <w:jc w:val="center"/>
              <w:rPr>
                <w:sz w:val="20"/>
                <w:szCs w:val="20"/>
                <w:lang w:eastAsia="es-ES"/>
              </w:rPr>
            </w:pPr>
            <w:r w:rsidRPr="00BD7F00">
              <w:rPr>
                <w:sz w:val="20"/>
                <w:szCs w:val="20"/>
                <w:lang w:eastAsia="es-ES"/>
              </w:rPr>
              <w:t>-12,16</w:t>
            </w:r>
          </w:p>
        </w:tc>
        <w:tc>
          <w:tcPr>
            <w:tcW w:w="157" w:type="dxa"/>
            <w:vAlign w:val="center"/>
            <w:hideMark/>
          </w:tcPr>
          <w:p w14:paraId="016943AE" w14:textId="77777777" w:rsidR="0073657B" w:rsidRPr="00BD7F00" w:rsidRDefault="0073657B" w:rsidP="00AA12E3">
            <w:pPr>
              <w:jc w:val="left"/>
              <w:rPr>
                <w:sz w:val="20"/>
                <w:szCs w:val="20"/>
                <w:lang w:eastAsia="es-ES"/>
              </w:rPr>
            </w:pPr>
          </w:p>
        </w:tc>
      </w:tr>
      <w:tr w:rsidR="00714630" w:rsidRPr="00BD7F00" w14:paraId="2C9ACE1D" w14:textId="77777777" w:rsidTr="00B01FD9">
        <w:trPr>
          <w:trHeight w:val="203"/>
        </w:trPr>
        <w:tc>
          <w:tcPr>
            <w:tcW w:w="848" w:type="dxa"/>
            <w:vMerge/>
            <w:tcBorders>
              <w:top w:val="nil"/>
              <w:left w:val="single" w:sz="8" w:space="0" w:color="auto"/>
              <w:bottom w:val="single" w:sz="8" w:space="0" w:color="000000"/>
              <w:right w:val="single" w:sz="8" w:space="0" w:color="auto"/>
            </w:tcBorders>
            <w:vAlign w:val="center"/>
            <w:hideMark/>
          </w:tcPr>
          <w:p w14:paraId="0B21FF11" w14:textId="77777777" w:rsidR="0073657B" w:rsidRPr="00BD7F00" w:rsidRDefault="0073657B" w:rsidP="00AA12E3">
            <w:pPr>
              <w:jc w:val="left"/>
              <w:rPr>
                <w:sz w:val="20"/>
                <w:szCs w:val="20"/>
                <w:lang w:eastAsia="es-ES"/>
              </w:rPr>
            </w:pPr>
          </w:p>
        </w:tc>
        <w:tc>
          <w:tcPr>
            <w:tcW w:w="1277" w:type="dxa"/>
            <w:vMerge/>
            <w:tcBorders>
              <w:top w:val="nil"/>
              <w:left w:val="single" w:sz="8" w:space="0" w:color="auto"/>
              <w:bottom w:val="single" w:sz="8" w:space="0" w:color="000000"/>
              <w:right w:val="single" w:sz="8" w:space="0" w:color="auto"/>
            </w:tcBorders>
            <w:vAlign w:val="center"/>
            <w:hideMark/>
          </w:tcPr>
          <w:p w14:paraId="3242F23D" w14:textId="77777777" w:rsidR="0073657B" w:rsidRPr="00BD7F00" w:rsidRDefault="0073657B" w:rsidP="00AA12E3">
            <w:pPr>
              <w:jc w:val="left"/>
              <w:rPr>
                <w:sz w:val="20"/>
                <w:szCs w:val="2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4D53D771" w14:textId="77777777" w:rsidR="0073657B" w:rsidRPr="00BD7F00" w:rsidRDefault="0073657B" w:rsidP="00AA12E3">
            <w:pPr>
              <w:jc w:val="left"/>
              <w:rPr>
                <w:sz w:val="20"/>
                <w:szCs w:val="20"/>
                <w:lang w:eastAsia="es-ES"/>
              </w:rPr>
            </w:pPr>
          </w:p>
        </w:tc>
        <w:tc>
          <w:tcPr>
            <w:tcW w:w="844" w:type="dxa"/>
            <w:vMerge/>
            <w:tcBorders>
              <w:top w:val="nil"/>
              <w:left w:val="single" w:sz="8" w:space="0" w:color="auto"/>
              <w:bottom w:val="single" w:sz="8" w:space="0" w:color="000000"/>
              <w:right w:val="single" w:sz="8" w:space="0" w:color="auto"/>
            </w:tcBorders>
            <w:vAlign w:val="center"/>
            <w:hideMark/>
          </w:tcPr>
          <w:p w14:paraId="247CD641" w14:textId="77777777" w:rsidR="0073657B" w:rsidRPr="00BD7F00" w:rsidRDefault="0073657B" w:rsidP="00AA12E3">
            <w:pPr>
              <w:jc w:val="left"/>
              <w:rPr>
                <w:sz w:val="20"/>
                <w:szCs w:val="20"/>
                <w:lang w:eastAsia="es-ES"/>
              </w:rPr>
            </w:pPr>
          </w:p>
        </w:tc>
        <w:tc>
          <w:tcPr>
            <w:tcW w:w="1301" w:type="dxa"/>
            <w:vMerge/>
            <w:tcBorders>
              <w:top w:val="nil"/>
              <w:left w:val="single" w:sz="8" w:space="0" w:color="auto"/>
              <w:bottom w:val="single" w:sz="8" w:space="0" w:color="000000"/>
              <w:right w:val="single" w:sz="8" w:space="0" w:color="auto"/>
            </w:tcBorders>
            <w:vAlign w:val="center"/>
            <w:hideMark/>
          </w:tcPr>
          <w:p w14:paraId="64344B09" w14:textId="77777777" w:rsidR="0073657B" w:rsidRPr="00BD7F00" w:rsidRDefault="0073657B" w:rsidP="00AA12E3">
            <w:pPr>
              <w:jc w:val="left"/>
              <w:rPr>
                <w:sz w:val="20"/>
                <w:szCs w:val="20"/>
                <w:lang w:eastAsia="es-ES"/>
              </w:rPr>
            </w:pPr>
          </w:p>
        </w:tc>
        <w:tc>
          <w:tcPr>
            <w:tcW w:w="1379" w:type="dxa"/>
            <w:vMerge/>
            <w:tcBorders>
              <w:top w:val="nil"/>
              <w:left w:val="single" w:sz="8" w:space="0" w:color="auto"/>
              <w:bottom w:val="single" w:sz="8" w:space="0" w:color="000000"/>
              <w:right w:val="single" w:sz="8" w:space="0" w:color="auto"/>
            </w:tcBorders>
            <w:vAlign w:val="center"/>
            <w:hideMark/>
          </w:tcPr>
          <w:p w14:paraId="452F86CA" w14:textId="77777777" w:rsidR="0073657B" w:rsidRPr="00BD7F00" w:rsidRDefault="0073657B" w:rsidP="00AA12E3">
            <w:pPr>
              <w:jc w:val="left"/>
              <w:rPr>
                <w:sz w:val="20"/>
                <w:szCs w:val="20"/>
                <w:lang w:eastAsia="es-ES"/>
              </w:rPr>
            </w:pPr>
          </w:p>
        </w:tc>
        <w:tc>
          <w:tcPr>
            <w:tcW w:w="1042" w:type="dxa"/>
            <w:vMerge/>
            <w:tcBorders>
              <w:top w:val="nil"/>
              <w:left w:val="single" w:sz="8" w:space="0" w:color="auto"/>
              <w:bottom w:val="single" w:sz="8" w:space="0" w:color="000000"/>
              <w:right w:val="single" w:sz="8" w:space="0" w:color="auto"/>
            </w:tcBorders>
            <w:vAlign w:val="center"/>
            <w:hideMark/>
          </w:tcPr>
          <w:p w14:paraId="4B52CA26" w14:textId="77777777" w:rsidR="0073657B" w:rsidRPr="00BD7F00" w:rsidRDefault="0073657B" w:rsidP="00AA12E3">
            <w:pPr>
              <w:jc w:val="left"/>
              <w:rPr>
                <w:sz w:val="20"/>
                <w:szCs w:val="20"/>
                <w:lang w:eastAsia="es-ES"/>
              </w:rPr>
            </w:pPr>
          </w:p>
        </w:tc>
        <w:tc>
          <w:tcPr>
            <w:tcW w:w="157" w:type="dxa"/>
            <w:tcBorders>
              <w:top w:val="nil"/>
              <w:left w:val="nil"/>
              <w:bottom w:val="nil"/>
              <w:right w:val="nil"/>
            </w:tcBorders>
            <w:noWrap/>
            <w:vAlign w:val="bottom"/>
            <w:hideMark/>
          </w:tcPr>
          <w:p w14:paraId="4221FAAE" w14:textId="77777777" w:rsidR="0073657B" w:rsidRPr="00BD7F00" w:rsidRDefault="0073657B" w:rsidP="00AA12E3">
            <w:pPr>
              <w:jc w:val="center"/>
              <w:rPr>
                <w:sz w:val="20"/>
                <w:szCs w:val="20"/>
                <w:lang w:eastAsia="es-ES"/>
              </w:rPr>
            </w:pPr>
          </w:p>
        </w:tc>
      </w:tr>
      <w:tr w:rsidR="00714630" w:rsidRPr="00BD7F00" w14:paraId="2B6BE43B" w14:textId="77777777" w:rsidTr="00B01FD9">
        <w:trPr>
          <w:trHeight w:val="191"/>
        </w:trPr>
        <w:tc>
          <w:tcPr>
            <w:tcW w:w="848" w:type="dxa"/>
            <w:vMerge w:val="restart"/>
            <w:tcBorders>
              <w:top w:val="nil"/>
              <w:left w:val="single" w:sz="8" w:space="0" w:color="auto"/>
              <w:bottom w:val="single" w:sz="8" w:space="0" w:color="000000"/>
              <w:right w:val="single" w:sz="8" w:space="0" w:color="auto"/>
            </w:tcBorders>
            <w:vAlign w:val="center"/>
            <w:hideMark/>
          </w:tcPr>
          <w:p w14:paraId="49E1ED66" w14:textId="77777777" w:rsidR="0073657B" w:rsidRPr="00BD7F00" w:rsidRDefault="0073657B" w:rsidP="00AA12E3">
            <w:pPr>
              <w:rPr>
                <w:sz w:val="20"/>
                <w:szCs w:val="20"/>
                <w:lang w:eastAsia="es-ES"/>
              </w:rPr>
            </w:pPr>
            <w:r w:rsidRPr="00BD7F00">
              <w:rPr>
                <w:sz w:val="20"/>
                <w:szCs w:val="20"/>
                <w:lang w:eastAsia="es-ES"/>
              </w:rPr>
              <w:t>Caprino</w:t>
            </w:r>
          </w:p>
        </w:tc>
        <w:tc>
          <w:tcPr>
            <w:tcW w:w="1277" w:type="dxa"/>
            <w:vMerge w:val="restart"/>
            <w:tcBorders>
              <w:top w:val="nil"/>
              <w:left w:val="single" w:sz="8" w:space="0" w:color="auto"/>
              <w:bottom w:val="single" w:sz="8" w:space="0" w:color="000000"/>
              <w:right w:val="single" w:sz="8" w:space="0" w:color="auto"/>
            </w:tcBorders>
            <w:vAlign w:val="center"/>
            <w:hideMark/>
          </w:tcPr>
          <w:p w14:paraId="7B5D4B1A" w14:textId="77777777" w:rsidR="0073657B" w:rsidRPr="00BD7F00" w:rsidRDefault="0073657B" w:rsidP="00AA12E3">
            <w:pPr>
              <w:jc w:val="center"/>
              <w:rPr>
                <w:sz w:val="20"/>
                <w:szCs w:val="20"/>
                <w:lang w:eastAsia="es-ES"/>
              </w:rPr>
            </w:pPr>
            <w:r w:rsidRPr="00BD7F00">
              <w:rPr>
                <w:sz w:val="20"/>
                <w:szCs w:val="20"/>
                <w:lang w:eastAsia="es-ES"/>
              </w:rPr>
              <w:t>55.887</w:t>
            </w:r>
          </w:p>
        </w:tc>
        <w:tc>
          <w:tcPr>
            <w:tcW w:w="1276" w:type="dxa"/>
            <w:vMerge w:val="restart"/>
            <w:tcBorders>
              <w:top w:val="nil"/>
              <w:left w:val="single" w:sz="8" w:space="0" w:color="auto"/>
              <w:bottom w:val="single" w:sz="8" w:space="0" w:color="000000"/>
              <w:right w:val="single" w:sz="8" w:space="0" w:color="auto"/>
            </w:tcBorders>
            <w:vAlign w:val="center"/>
            <w:hideMark/>
          </w:tcPr>
          <w:p w14:paraId="4517179C" w14:textId="77777777" w:rsidR="0073657B" w:rsidRPr="00BD7F00" w:rsidRDefault="0073657B" w:rsidP="00AA12E3">
            <w:pPr>
              <w:jc w:val="center"/>
              <w:rPr>
                <w:sz w:val="20"/>
                <w:szCs w:val="20"/>
                <w:lang w:eastAsia="es-ES"/>
              </w:rPr>
            </w:pPr>
            <w:r w:rsidRPr="00BD7F00">
              <w:rPr>
                <w:sz w:val="20"/>
                <w:szCs w:val="20"/>
                <w:lang w:eastAsia="es-ES"/>
              </w:rPr>
              <w:t>59.134</w:t>
            </w:r>
          </w:p>
        </w:tc>
        <w:tc>
          <w:tcPr>
            <w:tcW w:w="844" w:type="dxa"/>
            <w:vMerge w:val="restart"/>
            <w:tcBorders>
              <w:top w:val="nil"/>
              <w:left w:val="single" w:sz="8" w:space="0" w:color="auto"/>
              <w:bottom w:val="single" w:sz="8" w:space="0" w:color="000000"/>
              <w:right w:val="single" w:sz="8" w:space="0" w:color="auto"/>
            </w:tcBorders>
            <w:vAlign w:val="center"/>
            <w:hideMark/>
          </w:tcPr>
          <w:p w14:paraId="21F19C8E" w14:textId="77777777" w:rsidR="0073657B" w:rsidRPr="00BD7F00" w:rsidRDefault="0073657B" w:rsidP="00AA12E3">
            <w:pPr>
              <w:jc w:val="center"/>
              <w:rPr>
                <w:sz w:val="20"/>
                <w:szCs w:val="20"/>
                <w:lang w:eastAsia="es-ES"/>
              </w:rPr>
            </w:pPr>
            <w:r w:rsidRPr="00BD7F00">
              <w:rPr>
                <w:sz w:val="20"/>
                <w:szCs w:val="20"/>
                <w:lang w:eastAsia="es-ES"/>
              </w:rPr>
              <w:t>-5,49</w:t>
            </w:r>
          </w:p>
        </w:tc>
        <w:tc>
          <w:tcPr>
            <w:tcW w:w="1301" w:type="dxa"/>
            <w:vMerge w:val="restart"/>
            <w:tcBorders>
              <w:top w:val="nil"/>
              <w:left w:val="single" w:sz="8" w:space="0" w:color="auto"/>
              <w:bottom w:val="single" w:sz="8" w:space="0" w:color="000000"/>
              <w:right w:val="single" w:sz="8" w:space="0" w:color="auto"/>
            </w:tcBorders>
            <w:vAlign w:val="center"/>
            <w:hideMark/>
          </w:tcPr>
          <w:p w14:paraId="4D0FC81B" w14:textId="77777777" w:rsidR="0073657B" w:rsidRPr="00BD7F00" w:rsidRDefault="0073657B" w:rsidP="00AA12E3">
            <w:pPr>
              <w:jc w:val="center"/>
              <w:rPr>
                <w:sz w:val="20"/>
                <w:szCs w:val="20"/>
                <w:lang w:eastAsia="es-ES"/>
              </w:rPr>
            </w:pPr>
            <w:r w:rsidRPr="00BD7F00">
              <w:rPr>
                <w:sz w:val="20"/>
                <w:szCs w:val="20"/>
                <w:lang w:eastAsia="es-ES"/>
              </w:rPr>
              <w:t>460</w:t>
            </w:r>
          </w:p>
        </w:tc>
        <w:tc>
          <w:tcPr>
            <w:tcW w:w="1379" w:type="dxa"/>
            <w:vMerge w:val="restart"/>
            <w:tcBorders>
              <w:top w:val="nil"/>
              <w:left w:val="single" w:sz="8" w:space="0" w:color="auto"/>
              <w:bottom w:val="single" w:sz="8" w:space="0" w:color="000000"/>
              <w:right w:val="single" w:sz="8" w:space="0" w:color="auto"/>
            </w:tcBorders>
            <w:vAlign w:val="center"/>
            <w:hideMark/>
          </w:tcPr>
          <w:p w14:paraId="717C8973" w14:textId="77777777" w:rsidR="0073657B" w:rsidRPr="00BD7F00" w:rsidRDefault="0073657B" w:rsidP="00AA12E3">
            <w:pPr>
              <w:jc w:val="center"/>
              <w:rPr>
                <w:sz w:val="20"/>
                <w:szCs w:val="20"/>
                <w:lang w:eastAsia="es-ES"/>
              </w:rPr>
            </w:pPr>
            <w:r w:rsidRPr="00BD7F00">
              <w:rPr>
                <w:sz w:val="20"/>
                <w:szCs w:val="20"/>
                <w:lang w:eastAsia="es-ES"/>
              </w:rPr>
              <w:t>426</w:t>
            </w:r>
          </w:p>
        </w:tc>
        <w:tc>
          <w:tcPr>
            <w:tcW w:w="1042" w:type="dxa"/>
            <w:vMerge w:val="restart"/>
            <w:tcBorders>
              <w:top w:val="nil"/>
              <w:left w:val="single" w:sz="8" w:space="0" w:color="auto"/>
              <w:bottom w:val="single" w:sz="8" w:space="0" w:color="000000"/>
              <w:right w:val="single" w:sz="8" w:space="0" w:color="auto"/>
            </w:tcBorders>
            <w:vAlign w:val="center"/>
            <w:hideMark/>
          </w:tcPr>
          <w:p w14:paraId="51B1F238" w14:textId="77777777" w:rsidR="0073657B" w:rsidRPr="00BD7F00" w:rsidRDefault="0073657B" w:rsidP="00AA12E3">
            <w:pPr>
              <w:jc w:val="center"/>
              <w:rPr>
                <w:sz w:val="20"/>
                <w:szCs w:val="20"/>
                <w:lang w:eastAsia="es-ES"/>
              </w:rPr>
            </w:pPr>
            <w:r w:rsidRPr="00BD7F00">
              <w:rPr>
                <w:sz w:val="20"/>
                <w:szCs w:val="20"/>
                <w:lang w:eastAsia="es-ES"/>
              </w:rPr>
              <w:t>-7,33</w:t>
            </w:r>
          </w:p>
        </w:tc>
        <w:tc>
          <w:tcPr>
            <w:tcW w:w="157" w:type="dxa"/>
            <w:vAlign w:val="center"/>
            <w:hideMark/>
          </w:tcPr>
          <w:p w14:paraId="32A6287C" w14:textId="77777777" w:rsidR="0073657B" w:rsidRPr="00BD7F00" w:rsidRDefault="0073657B" w:rsidP="00AA12E3">
            <w:pPr>
              <w:jc w:val="left"/>
              <w:rPr>
                <w:sz w:val="20"/>
                <w:szCs w:val="20"/>
                <w:lang w:eastAsia="es-ES"/>
              </w:rPr>
            </w:pPr>
          </w:p>
        </w:tc>
      </w:tr>
      <w:tr w:rsidR="00714630" w:rsidRPr="00BD7F00" w14:paraId="6626E4CA" w14:textId="77777777" w:rsidTr="00B01FD9">
        <w:trPr>
          <w:trHeight w:val="203"/>
        </w:trPr>
        <w:tc>
          <w:tcPr>
            <w:tcW w:w="848" w:type="dxa"/>
            <w:vMerge/>
            <w:tcBorders>
              <w:top w:val="nil"/>
              <w:left w:val="single" w:sz="8" w:space="0" w:color="auto"/>
              <w:bottom w:val="single" w:sz="8" w:space="0" w:color="000000"/>
              <w:right w:val="single" w:sz="8" w:space="0" w:color="auto"/>
            </w:tcBorders>
            <w:vAlign w:val="center"/>
            <w:hideMark/>
          </w:tcPr>
          <w:p w14:paraId="651F7456" w14:textId="77777777" w:rsidR="0073657B" w:rsidRPr="00BD7F00" w:rsidRDefault="0073657B" w:rsidP="00AA12E3">
            <w:pPr>
              <w:jc w:val="left"/>
              <w:rPr>
                <w:sz w:val="20"/>
                <w:szCs w:val="20"/>
                <w:lang w:eastAsia="es-ES"/>
              </w:rPr>
            </w:pPr>
          </w:p>
        </w:tc>
        <w:tc>
          <w:tcPr>
            <w:tcW w:w="1277" w:type="dxa"/>
            <w:vMerge/>
            <w:tcBorders>
              <w:top w:val="nil"/>
              <w:left w:val="single" w:sz="8" w:space="0" w:color="auto"/>
              <w:bottom w:val="single" w:sz="8" w:space="0" w:color="000000"/>
              <w:right w:val="single" w:sz="8" w:space="0" w:color="auto"/>
            </w:tcBorders>
            <w:vAlign w:val="center"/>
            <w:hideMark/>
          </w:tcPr>
          <w:p w14:paraId="02BEFD55" w14:textId="77777777" w:rsidR="0073657B" w:rsidRPr="00BD7F00" w:rsidRDefault="0073657B" w:rsidP="00AA12E3">
            <w:pPr>
              <w:jc w:val="left"/>
              <w:rPr>
                <w:sz w:val="20"/>
                <w:szCs w:val="2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7409638B" w14:textId="77777777" w:rsidR="0073657B" w:rsidRPr="00BD7F00" w:rsidRDefault="0073657B" w:rsidP="00AA12E3">
            <w:pPr>
              <w:jc w:val="left"/>
              <w:rPr>
                <w:sz w:val="20"/>
                <w:szCs w:val="20"/>
                <w:lang w:eastAsia="es-ES"/>
              </w:rPr>
            </w:pPr>
          </w:p>
        </w:tc>
        <w:tc>
          <w:tcPr>
            <w:tcW w:w="844" w:type="dxa"/>
            <w:vMerge/>
            <w:tcBorders>
              <w:top w:val="nil"/>
              <w:left w:val="single" w:sz="8" w:space="0" w:color="auto"/>
              <w:bottom w:val="single" w:sz="8" w:space="0" w:color="000000"/>
              <w:right w:val="single" w:sz="8" w:space="0" w:color="auto"/>
            </w:tcBorders>
            <w:vAlign w:val="center"/>
            <w:hideMark/>
          </w:tcPr>
          <w:p w14:paraId="273CB825" w14:textId="77777777" w:rsidR="0073657B" w:rsidRPr="00BD7F00" w:rsidRDefault="0073657B" w:rsidP="00AA12E3">
            <w:pPr>
              <w:jc w:val="left"/>
              <w:rPr>
                <w:sz w:val="20"/>
                <w:szCs w:val="20"/>
                <w:lang w:eastAsia="es-ES"/>
              </w:rPr>
            </w:pPr>
          </w:p>
        </w:tc>
        <w:tc>
          <w:tcPr>
            <w:tcW w:w="1301" w:type="dxa"/>
            <w:vMerge/>
            <w:tcBorders>
              <w:top w:val="nil"/>
              <w:left w:val="single" w:sz="8" w:space="0" w:color="auto"/>
              <w:bottom w:val="single" w:sz="8" w:space="0" w:color="000000"/>
              <w:right w:val="single" w:sz="8" w:space="0" w:color="auto"/>
            </w:tcBorders>
            <w:vAlign w:val="center"/>
            <w:hideMark/>
          </w:tcPr>
          <w:p w14:paraId="5F713C88" w14:textId="77777777" w:rsidR="0073657B" w:rsidRPr="00BD7F00" w:rsidRDefault="0073657B" w:rsidP="00AA12E3">
            <w:pPr>
              <w:jc w:val="left"/>
              <w:rPr>
                <w:sz w:val="20"/>
                <w:szCs w:val="20"/>
                <w:lang w:eastAsia="es-ES"/>
              </w:rPr>
            </w:pPr>
          </w:p>
        </w:tc>
        <w:tc>
          <w:tcPr>
            <w:tcW w:w="1379" w:type="dxa"/>
            <w:vMerge/>
            <w:tcBorders>
              <w:top w:val="nil"/>
              <w:left w:val="single" w:sz="8" w:space="0" w:color="auto"/>
              <w:bottom w:val="single" w:sz="8" w:space="0" w:color="000000"/>
              <w:right w:val="single" w:sz="8" w:space="0" w:color="auto"/>
            </w:tcBorders>
            <w:vAlign w:val="center"/>
            <w:hideMark/>
          </w:tcPr>
          <w:p w14:paraId="162C0620" w14:textId="77777777" w:rsidR="0073657B" w:rsidRPr="00BD7F00" w:rsidRDefault="0073657B" w:rsidP="00AA12E3">
            <w:pPr>
              <w:jc w:val="left"/>
              <w:rPr>
                <w:sz w:val="20"/>
                <w:szCs w:val="20"/>
                <w:lang w:eastAsia="es-ES"/>
              </w:rPr>
            </w:pPr>
          </w:p>
        </w:tc>
        <w:tc>
          <w:tcPr>
            <w:tcW w:w="1042" w:type="dxa"/>
            <w:vMerge/>
            <w:tcBorders>
              <w:top w:val="nil"/>
              <w:left w:val="single" w:sz="8" w:space="0" w:color="auto"/>
              <w:bottom w:val="single" w:sz="8" w:space="0" w:color="000000"/>
              <w:right w:val="single" w:sz="8" w:space="0" w:color="auto"/>
            </w:tcBorders>
            <w:vAlign w:val="center"/>
            <w:hideMark/>
          </w:tcPr>
          <w:p w14:paraId="31F3AF80" w14:textId="77777777" w:rsidR="0073657B" w:rsidRPr="00BD7F00" w:rsidRDefault="0073657B" w:rsidP="00AA12E3">
            <w:pPr>
              <w:jc w:val="left"/>
              <w:rPr>
                <w:sz w:val="20"/>
                <w:szCs w:val="20"/>
                <w:lang w:eastAsia="es-ES"/>
              </w:rPr>
            </w:pPr>
          </w:p>
        </w:tc>
        <w:tc>
          <w:tcPr>
            <w:tcW w:w="157" w:type="dxa"/>
            <w:tcBorders>
              <w:top w:val="nil"/>
              <w:left w:val="nil"/>
              <w:bottom w:val="nil"/>
              <w:right w:val="nil"/>
            </w:tcBorders>
            <w:noWrap/>
            <w:vAlign w:val="bottom"/>
            <w:hideMark/>
          </w:tcPr>
          <w:p w14:paraId="6CA08BFA" w14:textId="77777777" w:rsidR="0073657B" w:rsidRPr="00BD7F00" w:rsidRDefault="0073657B" w:rsidP="00AA12E3">
            <w:pPr>
              <w:jc w:val="center"/>
              <w:rPr>
                <w:sz w:val="20"/>
                <w:szCs w:val="20"/>
                <w:lang w:eastAsia="es-ES"/>
              </w:rPr>
            </w:pPr>
          </w:p>
        </w:tc>
      </w:tr>
      <w:tr w:rsidR="00714630" w:rsidRPr="00BD7F00" w14:paraId="7EDD360E" w14:textId="77777777" w:rsidTr="00B01FD9">
        <w:trPr>
          <w:trHeight w:val="191"/>
        </w:trPr>
        <w:tc>
          <w:tcPr>
            <w:tcW w:w="848" w:type="dxa"/>
            <w:vMerge w:val="restart"/>
            <w:tcBorders>
              <w:top w:val="nil"/>
              <w:left w:val="single" w:sz="8" w:space="0" w:color="auto"/>
              <w:bottom w:val="single" w:sz="8" w:space="0" w:color="000000"/>
              <w:right w:val="single" w:sz="8" w:space="0" w:color="auto"/>
            </w:tcBorders>
            <w:vAlign w:val="center"/>
            <w:hideMark/>
          </w:tcPr>
          <w:p w14:paraId="7D23F3AB" w14:textId="77777777" w:rsidR="0073657B" w:rsidRPr="00BD7F00" w:rsidRDefault="0073657B" w:rsidP="00AA12E3">
            <w:pPr>
              <w:rPr>
                <w:sz w:val="20"/>
                <w:szCs w:val="20"/>
                <w:lang w:eastAsia="es-ES"/>
              </w:rPr>
            </w:pPr>
            <w:r w:rsidRPr="00BD7F00">
              <w:rPr>
                <w:sz w:val="20"/>
                <w:szCs w:val="20"/>
                <w:lang w:eastAsia="es-ES"/>
              </w:rPr>
              <w:t>Porcino</w:t>
            </w:r>
          </w:p>
        </w:tc>
        <w:tc>
          <w:tcPr>
            <w:tcW w:w="1277" w:type="dxa"/>
            <w:vMerge w:val="restart"/>
            <w:tcBorders>
              <w:top w:val="nil"/>
              <w:left w:val="single" w:sz="8" w:space="0" w:color="auto"/>
              <w:bottom w:val="single" w:sz="8" w:space="0" w:color="000000"/>
              <w:right w:val="single" w:sz="8" w:space="0" w:color="auto"/>
            </w:tcBorders>
            <w:vAlign w:val="center"/>
            <w:hideMark/>
          </w:tcPr>
          <w:p w14:paraId="6747E29A" w14:textId="77777777" w:rsidR="0073657B" w:rsidRPr="00BD7F00" w:rsidRDefault="0073657B" w:rsidP="00AA12E3">
            <w:pPr>
              <w:jc w:val="center"/>
              <w:rPr>
                <w:sz w:val="20"/>
                <w:szCs w:val="20"/>
                <w:lang w:eastAsia="es-ES"/>
              </w:rPr>
            </w:pPr>
            <w:r w:rsidRPr="00BD7F00">
              <w:rPr>
                <w:sz w:val="20"/>
                <w:szCs w:val="20"/>
                <w:lang w:eastAsia="es-ES"/>
              </w:rPr>
              <w:t>5.143.181</w:t>
            </w:r>
          </w:p>
        </w:tc>
        <w:tc>
          <w:tcPr>
            <w:tcW w:w="1276" w:type="dxa"/>
            <w:vMerge w:val="restart"/>
            <w:tcBorders>
              <w:top w:val="nil"/>
              <w:left w:val="single" w:sz="8" w:space="0" w:color="auto"/>
              <w:bottom w:val="single" w:sz="8" w:space="0" w:color="000000"/>
              <w:right w:val="single" w:sz="8" w:space="0" w:color="auto"/>
            </w:tcBorders>
            <w:vAlign w:val="center"/>
            <w:hideMark/>
          </w:tcPr>
          <w:p w14:paraId="4BCD14F9" w14:textId="77777777" w:rsidR="0073657B" w:rsidRPr="00BD7F00" w:rsidRDefault="0073657B" w:rsidP="00AA12E3">
            <w:pPr>
              <w:jc w:val="center"/>
              <w:rPr>
                <w:sz w:val="20"/>
                <w:szCs w:val="20"/>
                <w:lang w:eastAsia="es-ES"/>
              </w:rPr>
            </w:pPr>
            <w:r w:rsidRPr="00BD7F00">
              <w:rPr>
                <w:sz w:val="20"/>
                <w:szCs w:val="20"/>
                <w:lang w:eastAsia="es-ES"/>
              </w:rPr>
              <w:t>5.085.874</w:t>
            </w:r>
          </w:p>
        </w:tc>
        <w:tc>
          <w:tcPr>
            <w:tcW w:w="844" w:type="dxa"/>
            <w:vMerge w:val="restart"/>
            <w:tcBorders>
              <w:top w:val="nil"/>
              <w:left w:val="single" w:sz="8" w:space="0" w:color="auto"/>
              <w:bottom w:val="single" w:sz="8" w:space="0" w:color="000000"/>
              <w:right w:val="single" w:sz="8" w:space="0" w:color="auto"/>
            </w:tcBorders>
            <w:vAlign w:val="center"/>
            <w:hideMark/>
          </w:tcPr>
          <w:p w14:paraId="15AA64EF" w14:textId="77777777" w:rsidR="0073657B" w:rsidRPr="00BD7F00" w:rsidRDefault="0073657B" w:rsidP="00AA12E3">
            <w:pPr>
              <w:jc w:val="center"/>
              <w:rPr>
                <w:sz w:val="20"/>
                <w:szCs w:val="20"/>
                <w:lang w:eastAsia="es-ES"/>
              </w:rPr>
            </w:pPr>
            <w:r w:rsidRPr="00BD7F00">
              <w:rPr>
                <w:sz w:val="20"/>
                <w:szCs w:val="20"/>
                <w:lang w:eastAsia="es-ES"/>
              </w:rPr>
              <w:t>-1,11</w:t>
            </w:r>
          </w:p>
        </w:tc>
        <w:tc>
          <w:tcPr>
            <w:tcW w:w="1301" w:type="dxa"/>
            <w:vMerge w:val="restart"/>
            <w:tcBorders>
              <w:top w:val="nil"/>
              <w:left w:val="single" w:sz="8" w:space="0" w:color="auto"/>
              <w:bottom w:val="single" w:sz="8" w:space="0" w:color="000000"/>
              <w:right w:val="single" w:sz="8" w:space="0" w:color="auto"/>
            </w:tcBorders>
            <w:vAlign w:val="center"/>
            <w:hideMark/>
          </w:tcPr>
          <w:p w14:paraId="44EEDB72" w14:textId="77777777" w:rsidR="0073657B" w:rsidRPr="00BD7F00" w:rsidRDefault="0073657B" w:rsidP="00AA12E3">
            <w:pPr>
              <w:jc w:val="center"/>
              <w:rPr>
                <w:sz w:val="20"/>
                <w:szCs w:val="20"/>
                <w:lang w:eastAsia="es-ES"/>
              </w:rPr>
            </w:pPr>
            <w:r w:rsidRPr="00BD7F00">
              <w:rPr>
                <w:sz w:val="20"/>
                <w:szCs w:val="20"/>
                <w:lang w:eastAsia="es-ES"/>
              </w:rPr>
              <w:t>473.597</w:t>
            </w:r>
          </w:p>
        </w:tc>
        <w:tc>
          <w:tcPr>
            <w:tcW w:w="1379" w:type="dxa"/>
            <w:vMerge w:val="restart"/>
            <w:tcBorders>
              <w:top w:val="nil"/>
              <w:left w:val="single" w:sz="8" w:space="0" w:color="auto"/>
              <w:bottom w:val="single" w:sz="8" w:space="0" w:color="000000"/>
              <w:right w:val="single" w:sz="8" w:space="0" w:color="auto"/>
            </w:tcBorders>
            <w:vAlign w:val="center"/>
            <w:hideMark/>
          </w:tcPr>
          <w:p w14:paraId="1A658E37" w14:textId="77777777" w:rsidR="0073657B" w:rsidRPr="00BD7F00" w:rsidRDefault="0073657B" w:rsidP="00AA12E3">
            <w:pPr>
              <w:jc w:val="center"/>
              <w:rPr>
                <w:sz w:val="20"/>
                <w:szCs w:val="20"/>
                <w:lang w:eastAsia="es-ES"/>
              </w:rPr>
            </w:pPr>
            <w:r w:rsidRPr="00BD7F00">
              <w:rPr>
                <w:sz w:val="20"/>
                <w:szCs w:val="20"/>
                <w:lang w:eastAsia="es-ES"/>
              </w:rPr>
              <w:t>485.484</w:t>
            </w:r>
          </w:p>
        </w:tc>
        <w:tc>
          <w:tcPr>
            <w:tcW w:w="1042" w:type="dxa"/>
            <w:vMerge w:val="restart"/>
            <w:tcBorders>
              <w:top w:val="nil"/>
              <w:left w:val="single" w:sz="8" w:space="0" w:color="auto"/>
              <w:bottom w:val="single" w:sz="8" w:space="0" w:color="000000"/>
              <w:right w:val="single" w:sz="8" w:space="0" w:color="auto"/>
            </w:tcBorders>
            <w:vAlign w:val="center"/>
            <w:hideMark/>
          </w:tcPr>
          <w:p w14:paraId="450D99BD" w14:textId="77777777" w:rsidR="0073657B" w:rsidRPr="00BD7F00" w:rsidRDefault="0073657B" w:rsidP="00AA12E3">
            <w:pPr>
              <w:jc w:val="center"/>
              <w:rPr>
                <w:sz w:val="20"/>
                <w:szCs w:val="20"/>
                <w:lang w:eastAsia="es-ES"/>
              </w:rPr>
            </w:pPr>
            <w:r w:rsidRPr="00BD7F00">
              <w:rPr>
                <w:sz w:val="20"/>
                <w:szCs w:val="20"/>
                <w:lang w:eastAsia="es-ES"/>
              </w:rPr>
              <w:t>2,51</w:t>
            </w:r>
          </w:p>
        </w:tc>
        <w:tc>
          <w:tcPr>
            <w:tcW w:w="157" w:type="dxa"/>
            <w:vAlign w:val="center"/>
            <w:hideMark/>
          </w:tcPr>
          <w:p w14:paraId="35CFC59F" w14:textId="77777777" w:rsidR="0073657B" w:rsidRPr="00BD7F00" w:rsidRDefault="0073657B" w:rsidP="00AA12E3">
            <w:pPr>
              <w:jc w:val="left"/>
              <w:rPr>
                <w:sz w:val="20"/>
                <w:szCs w:val="20"/>
                <w:lang w:eastAsia="es-ES"/>
              </w:rPr>
            </w:pPr>
          </w:p>
        </w:tc>
      </w:tr>
      <w:tr w:rsidR="00714630" w:rsidRPr="00BD7F00" w14:paraId="681275EC" w14:textId="77777777" w:rsidTr="00B01FD9">
        <w:trPr>
          <w:trHeight w:val="203"/>
        </w:trPr>
        <w:tc>
          <w:tcPr>
            <w:tcW w:w="848" w:type="dxa"/>
            <w:vMerge/>
            <w:tcBorders>
              <w:top w:val="nil"/>
              <w:left w:val="single" w:sz="8" w:space="0" w:color="auto"/>
              <w:bottom w:val="single" w:sz="8" w:space="0" w:color="000000"/>
              <w:right w:val="single" w:sz="8" w:space="0" w:color="auto"/>
            </w:tcBorders>
            <w:vAlign w:val="center"/>
            <w:hideMark/>
          </w:tcPr>
          <w:p w14:paraId="076FBA5D" w14:textId="77777777" w:rsidR="0073657B" w:rsidRPr="00BD7F00" w:rsidRDefault="0073657B" w:rsidP="00AA12E3">
            <w:pPr>
              <w:jc w:val="left"/>
              <w:rPr>
                <w:sz w:val="20"/>
                <w:szCs w:val="20"/>
                <w:lang w:eastAsia="es-ES"/>
              </w:rPr>
            </w:pPr>
          </w:p>
        </w:tc>
        <w:tc>
          <w:tcPr>
            <w:tcW w:w="1277" w:type="dxa"/>
            <w:vMerge/>
            <w:tcBorders>
              <w:top w:val="nil"/>
              <w:left w:val="single" w:sz="8" w:space="0" w:color="auto"/>
              <w:bottom w:val="single" w:sz="8" w:space="0" w:color="000000"/>
              <w:right w:val="single" w:sz="8" w:space="0" w:color="auto"/>
            </w:tcBorders>
            <w:vAlign w:val="center"/>
            <w:hideMark/>
          </w:tcPr>
          <w:p w14:paraId="644D3E40" w14:textId="77777777" w:rsidR="0073657B" w:rsidRPr="00BD7F00" w:rsidRDefault="0073657B" w:rsidP="00AA12E3">
            <w:pPr>
              <w:jc w:val="left"/>
              <w:rPr>
                <w:sz w:val="20"/>
                <w:szCs w:val="20"/>
                <w:lang w:eastAsia="es-ES"/>
              </w:rPr>
            </w:pPr>
          </w:p>
        </w:tc>
        <w:tc>
          <w:tcPr>
            <w:tcW w:w="1276" w:type="dxa"/>
            <w:vMerge/>
            <w:tcBorders>
              <w:top w:val="nil"/>
              <w:left w:val="single" w:sz="8" w:space="0" w:color="auto"/>
              <w:bottom w:val="single" w:sz="8" w:space="0" w:color="000000"/>
              <w:right w:val="single" w:sz="8" w:space="0" w:color="auto"/>
            </w:tcBorders>
            <w:vAlign w:val="center"/>
            <w:hideMark/>
          </w:tcPr>
          <w:p w14:paraId="025A0D7F" w14:textId="77777777" w:rsidR="0073657B" w:rsidRPr="00BD7F00" w:rsidRDefault="0073657B" w:rsidP="00AA12E3">
            <w:pPr>
              <w:jc w:val="left"/>
              <w:rPr>
                <w:sz w:val="20"/>
                <w:szCs w:val="20"/>
                <w:lang w:eastAsia="es-ES"/>
              </w:rPr>
            </w:pPr>
          </w:p>
        </w:tc>
        <w:tc>
          <w:tcPr>
            <w:tcW w:w="844" w:type="dxa"/>
            <w:vMerge/>
            <w:tcBorders>
              <w:top w:val="nil"/>
              <w:left w:val="single" w:sz="8" w:space="0" w:color="auto"/>
              <w:bottom w:val="single" w:sz="8" w:space="0" w:color="000000"/>
              <w:right w:val="single" w:sz="8" w:space="0" w:color="auto"/>
            </w:tcBorders>
            <w:vAlign w:val="center"/>
            <w:hideMark/>
          </w:tcPr>
          <w:p w14:paraId="53C4785C" w14:textId="77777777" w:rsidR="0073657B" w:rsidRPr="00BD7F00" w:rsidRDefault="0073657B" w:rsidP="00AA12E3">
            <w:pPr>
              <w:jc w:val="left"/>
              <w:rPr>
                <w:sz w:val="20"/>
                <w:szCs w:val="20"/>
                <w:lang w:eastAsia="es-ES"/>
              </w:rPr>
            </w:pPr>
          </w:p>
        </w:tc>
        <w:tc>
          <w:tcPr>
            <w:tcW w:w="1301" w:type="dxa"/>
            <w:vMerge/>
            <w:tcBorders>
              <w:top w:val="nil"/>
              <w:left w:val="single" w:sz="8" w:space="0" w:color="auto"/>
              <w:bottom w:val="single" w:sz="8" w:space="0" w:color="000000"/>
              <w:right w:val="single" w:sz="8" w:space="0" w:color="auto"/>
            </w:tcBorders>
            <w:vAlign w:val="center"/>
            <w:hideMark/>
          </w:tcPr>
          <w:p w14:paraId="334A363F" w14:textId="77777777" w:rsidR="0073657B" w:rsidRPr="00BD7F00" w:rsidRDefault="0073657B" w:rsidP="00AA12E3">
            <w:pPr>
              <w:jc w:val="left"/>
              <w:rPr>
                <w:sz w:val="20"/>
                <w:szCs w:val="20"/>
                <w:lang w:eastAsia="es-ES"/>
              </w:rPr>
            </w:pPr>
          </w:p>
        </w:tc>
        <w:tc>
          <w:tcPr>
            <w:tcW w:w="1379" w:type="dxa"/>
            <w:vMerge/>
            <w:tcBorders>
              <w:top w:val="nil"/>
              <w:left w:val="single" w:sz="8" w:space="0" w:color="auto"/>
              <w:bottom w:val="single" w:sz="8" w:space="0" w:color="000000"/>
              <w:right w:val="single" w:sz="8" w:space="0" w:color="auto"/>
            </w:tcBorders>
            <w:vAlign w:val="center"/>
            <w:hideMark/>
          </w:tcPr>
          <w:p w14:paraId="410FCAAE" w14:textId="77777777" w:rsidR="0073657B" w:rsidRPr="00BD7F00" w:rsidRDefault="0073657B" w:rsidP="00AA12E3">
            <w:pPr>
              <w:jc w:val="left"/>
              <w:rPr>
                <w:sz w:val="20"/>
                <w:szCs w:val="20"/>
                <w:lang w:eastAsia="es-ES"/>
              </w:rPr>
            </w:pPr>
          </w:p>
        </w:tc>
        <w:tc>
          <w:tcPr>
            <w:tcW w:w="1042" w:type="dxa"/>
            <w:vMerge/>
            <w:tcBorders>
              <w:top w:val="nil"/>
              <w:left w:val="single" w:sz="8" w:space="0" w:color="auto"/>
              <w:bottom w:val="single" w:sz="8" w:space="0" w:color="000000"/>
              <w:right w:val="single" w:sz="8" w:space="0" w:color="auto"/>
            </w:tcBorders>
            <w:vAlign w:val="center"/>
            <w:hideMark/>
          </w:tcPr>
          <w:p w14:paraId="15DF4D1B" w14:textId="77777777" w:rsidR="0073657B" w:rsidRPr="00BD7F00" w:rsidRDefault="0073657B" w:rsidP="00AA12E3">
            <w:pPr>
              <w:jc w:val="left"/>
              <w:rPr>
                <w:sz w:val="20"/>
                <w:szCs w:val="20"/>
                <w:lang w:eastAsia="es-ES"/>
              </w:rPr>
            </w:pPr>
          </w:p>
        </w:tc>
        <w:tc>
          <w:tcPr>
            <w:tcW w:w="157" w:type="dxa"/>
            <w:tcBorders>
              <w:top w:val="nil"/>
              <w:left w:val="nil"/>
              <w:bottom w:val="nil"/>
              <w:right w:val="nil"/>
            </w:tcBorders>
            <w:noWrap/>
            <w:vAlign w:val="bottom"/>
            <w:hideMark/>
          </w:tcPr>
          <w:p w14:paraId="329DBAC2" w14:textId="77777777" w:rsidR="0073657B" w:rsidRPr="00BD7F00" w:rsidRDefault="0073657B" w:rsidP="00AA12E3">
            <w:pPr>
              <w:jc w:val="center"/>
              <w:rPr>
                <w:sz w:val="20"/>
                <w:szCs w:val="20"/>
                <w:lang w:eastAsia="es-ES"/>
              </w:rPr>
            </w:pPr>
          </w:p>
        </w:tc>
      </w:tr>
      <w:tr w:rsidR="00714630" w:rsidRPr="00BD7F00" w14:paraId="7D37A4FA" w14:textId="77777777" w:rsidTr="00B01FD9">
        <w:trPr>
          <w:trHeight w:val="203"/>
        </w:trPr>
        <w:tc>
          <w:tcPr>
            <w:tcW w:w="848" w:type="dxa"/>
            <w:tcBorders>
              <w:top w:val="nil"/>
              <w:left w:val="single" w:sz="8" w:space="0" w:color="auto"/>
              <w:bottom w:val="nil"/>
              <w:right w:val="single" w:sz="8" w:space="0" w:color="auto"/>
            </w:tcBorders>
            <w:vAlign w:val="center"/>
            <w:hideMark/>
          </w:tcPr>
          <w:p w14:paraId="2742C995" w14:textId="77777777" w:rsidR="0073657B" w:rsidRPr="00BD7F00" w:rsidRDefault="0073657B" w:rsidP="00AA12E3">
            <w:pPr>
              <w:rPr>
                <w:b/>
                <w:bCs/>
                <w:sz w:val="20"/>
                <w:szCs w:val="20"/>
                <w:lang w:eastAsia="es-ES"/>
              </w:rPr>
            </w:pPr>
            <w:r w:rsidRPr="00BD7F00">
              <w:rPr>
                <w:b/>
                <w:bCs/>
                <w:sz w:val="20"/>
                <w:szCs w:val="20"/>
                <w:lang w:eastAsia="es-ES"/>
              </w:rPr>
              <w:t>Total</w:t>
            </w:r>
          </w:p>
        </w:tc>
        <w:tc>
          <w:tcPr>
            <w:tcW w:w="1277" w:type="dxa"/>
            <w:tcBorders>
              <w:top w:val="nil"/>
              <w:left w:val="nil"/>
              <w:bottom w:val="nil"/>
              <w:right w:val="single" w:sz="8" w:space="0" w:color="auto"/>
            </w:tcBorders>
            <w:vAlign w:val="center"/>
            <w:hideMark/>
          </w:tcPr>
          <w:p w14:paraId="483C33B8" w14:textId="77777777" w:rsidR="0073657B" w:rsidRPr="00BD7F00" w:rsidRDefault="0073657B" w:rsidP="00AA12E3">
            <w:pPr>
              <w:jc w:val="center"/>
              <w:rPr>
                <w:b/>
                <w:bCs/>
                <w:sz w:val="20"/>
                <w:szCs w:val="20"/>
                <w:lang w:eastAsia="es-ES"/>
              </w:rPr>
            </w:pPr>
            <w:r w:rsidRPr="00BD7F00">
              <w:rPr>
                <w:b/>
                <w:bCs/>
                <w:sz w:val="20"/>
                <w:szCs w:val="20"/>
                <w:lang w:eastAsia="es-ES"/>
              </w:rPr>
              <w:t>7.640.283</w:t>
            </w:r>
          </w:p>
        </w:tc>
        <w:tc>
          <w:tcPr>
            <w:tcW w:w="1276" w:type="dxa"/>
            <w:tcBorders>
              <w:top w:val="nil"/>
              <w:left w:val="nil"/>
              <w:bottom w:val="nil"/>
              <w:right w:val="single" w:sz="8" w:space="0" w:color="auto"/>
            </w:tcBorders>
            <w:vAlign w:val="center"/>
            <w:hideMark/>
          </w:tcPr>
          <w:p w14:paraId="4898E479" w14:textId="77777777" w:rsidR="0073657B" w:rsidRPr="00BD7F00" w:rsidRDefault="0073657B" w:rsidP="00AA12E3">
            <w:pPr>
              <w:jc w:val="center"/>
              <w:rPr>
                <w:b/>
                <w:bCs/>
                <w:sz w:val="20"/>
                <w:szCs w:val="20"/>
                <w:lang w:eastAsia="es-ES"/>
              </w:rPr>
            </w:pPr>
            <w:r w:rsidRPr="00BD7F00">
              <w:rPr>
                <w:b/>
                <w:bCs/>
                <w:sz w:val="20"/>
                <w:szCs w:val="20"/>
                <w:lang w:eastAsia="es-ES"/>
              </w:rPr>
              <w:t>7.325.821</w:t>
            </w:r>
          </w:p>
        </w:tc>
        <w:tc>
          <w:tcPr>
            <w:tcW w:w="844" w:type="dxa"/>
            <w:tcBorders>
              <w:top w:val="nil"/>
              <w:left w:val="nil"/>
              <w:bottom w:val="nil"/>
              <w:right w:val="nil"/>
            </w:tcBorders>
            <w:vAlign w:val="center"/>
            <w:hideMark/>
          </w:tcPr>
          <w:p w14:paraId="2C81CC80" w14:textId="77777777" w:rsidR="0073657B" w:rsidRPr="00BD7F00" w:rsidRDefault="0073657B" w:rsidP="00AA12E3">
            <w:pPr>
              <w:jc w:val="center"/>
              <w:rPr>
                <w:b/>
                <w:bCs/>
                <w:sz w:val="20"/>
                <w:szCs w:val="20"/>
                <w:lang w:eastAsia="es-ES"/>
              </w:rPr>
            </w:pPr>
            <w:r w:rsidRPr="00BD7F00">
              <w:rPr>
                <w:b/>
                <w:bCs/>
                <w:sz w:val="20"/>
                <w:szCs w:val="20"/>
                <w:lang w:eastAsia="es-ES"/>
              </w:rPr>
              <w:t>-4,12</w:t>
            </w:r>
          </w:p>
        </w:tc>
        <w:tc>
          <w:tcPr>
            <w:tcW w:w="1301" w:type="dxa"/>
            <w:tcBorders>
              <w:top w:val="nil"/>
              <w:left w:val="single" w:sz="8" w:space="0" w:color="auto"/>
              <w:bottom w:val="nil"/>
              <w:right w:val="single" w:sz="8" w:space="0" w:color="auto"/>
            </w:tcBorders>
            <w:vAlign w:val="center"/>
            <w:hideMark/>
          </w:tcPr>
          <w:p w14:paraId="0A8F1C7A" w14:textId="77777777" w:rsidR="0073657B" w:rsidRPr="00BD7F00" w:rsidRDefault="0073657B" w:rsidP="00AA12E3">
            <w:pPr>
              <w:jc w:val="center"/>
              <w:rPr>
                <w:b/>
                <w:bCs/>
                <w:sz w:val="20"/>
                <w:szCs w:val="20"/>
                <w:lang w:eastAsia="es-ES"/>
              </w:rPr>
            </w:pPr>
            <w:r w:rsidRPr="00BD7F00">
              <w:rPr>
                <w:b/>
                <w:bCs/>
                <w:sz w:val="20"/>
                <w:szCs w:val="20"/>
                <w:lang w:eastAsia="es-ES"/>
              </w:rPr>
              <w:t>573.767</w:t>
            </w:r>
          </w:p>
        </w:tc>
        <w:tc>
          <w:tcPr>
            <w:tcW w:w="1379" w:type="dxa"/>
            <w:tcBorders>
              <w:top w:val="nil"/>
              <w:left w:val="nil"/>
              <w:bottom w:val="nil"/>
              <w:right w:val="single" w:sz="8" w:space="0" w:color="auto"/>
            </w:tcBorders>
            <w:vAlign w:val="center"/>
            <w:hideMark/>
          </w:tcPr>
          <w:p w14:paraId="2F441CDC" w14:textId="77777777" w:rsidR="0073657B" w:rsidRPr="00BD7F00" w:rsidRDefault="0073657B" w:rsidP="00AA12E3">
            <w:pPr>
              <w:jc w:val="center"/>
              <w:rPr>
                <w:b/>
                <w:bCs/>
                <w:sz w:val="20"/>
                <w:szCs w:val="20"/>
                <w:lang w:eastAsia="es-ES"/>
              </w:rPr>
            </w:pPr>
            <w:r w:rsidRPr="00BD7F00">
              <w:rPr>
                <w:b/>
                <w:bCs/>
                <w:sz w:val="20"/>
                <w:szCs w:val="20"/>
                <w:lang w:eastAsia="es-ES"/>
              </w:rPr>
              <w:t>582.280</w:t>
            </w:r>
          </w:p>
        </w:tc>
        <w:tc>
          <w:tcPr>
            <w:tcW w:w="1042" w:type="dxa"/>
            <w:tcBorders>
              <w:top w:val="nil"/>
              <w:left w:val="nil"/>
              <w:bottom w:val="nil"/>
              <w:right w:val="single" w:sz="8" w:space="0" w:color="auto"/>
            </w:tcBorders>
            <w:vAlign w:val="center"/>
            <w:hideMark/>
          </w:tcPr>
          <w:p w14:paraId="6313E1A9" w14:textId="77777777" w:rsidR="0073657B" w:rsidRPr="00BD7F00" w:rsidRDefault="0073657B" w:rsidP="00AA12E3">
            <w:pPr>
              <w:jc w:val="center"/>
              <w:rPr>
                <w:b/>
                <w:bCs/>
                <w:sz w:val="20"/>
                <w:szCs w:val="20"/>
                <w:lang w:eastAsia="es-ES"/>
              </w:rPr>
            </w:pPr>
            <w:r w:rsidRPr="00BD7F00">
              <w:rPr>
                <w:b/>
                <w:bCs/>
                <w:sz w:val="20"/>
                <w:szCs w:val="20"/>
                <w:lang w:eastAsia="es-ES"/>
              </w:rPr>
              <w:t>1,48</w:t>
            </w:r>
          </w:p>
        </w:tc>
        <w:tc>
          <w:tcPr>
            <w:tcW w:w="157" w:type="dxa"/>
            <w:vAlign w:val="center"/>
            <w:hideMark/>
          </w:tcPr>
          <w:p w14:paraId="0CC50403" w14:textId="77777777" w:rsidR="0073657B" w:rsidRPr="00BD7F00" w:rsidRDefault="0073657B" w:rsidP="00AA12E3">
            <w:pPr>
              <w:jc w:val="left"/>
              <w:rPr>
                <w:sz w:val="20"/>
                <w:szCs w:val="20"/>
                <w:lang w:eastAsia="es-ES"/>
              </w:rPr>
            </w:pPr>
          </w:p>
        </w:tc>
      </w:tr>
      <w:tr w:rsidR="00714630" w:rsidRPr="00BD7F00" w14:paraId="77AF2F06" w14:textId="77777777" w:rsidTr="00B01FD9">
        <w:trPr>
          <w:trHeight w:val="203"/>
        </w:trPr>
        <w:tc>
          <w:tcPr>
            <w:tcW w:w="848" w:type="dxa"/>
            <w:tcBorders>
              <w:top w:val="nil"/>
              <w:left w:val="single" w:sz="8" w:space="0" w:color="auto"/>
              <w:bottom w:val="single" w:sz="8" w:space="0" w:color="auto"/>
              <w:right w:val="single" w:sz="8" w:space="0" w:color="auto"/>
            </w:tcBorders>
            <w:vAlign w:val="center"/>
          </w:tcPr>
          <w:p w14:paraId="2145FE44" w14:textId="77777777" w:rsidR="00702195" w:rsidRPr="00BD7F00" w:rsidRDefault="00702195" w:rsidP="00AA12E3">
            <w:pPr>
              <w:rPr>
                <w:b/>
                <w:bCs/>
                <w:sz w:val="20"/>
                <w:szCs w:val="20"/>
                <w:lang w:eastAsia="es-ES"/>
              </w:rPr>
            </w:pPr>
          </w:p>
        </w:tc>
        <w:tc>
          <w:tcPr>
            <w:tcW w:w="1277" w:type="dxa"/>
            <w:tcBorders>
              <w:top w:val="nil"/>
              <w:left w:val="nil"/>
              <w:bottom w:val="single" w:sz="8" w:space="0" w:color="auto"/>
              <w:right w:val="single" w:sz="8" w:space="0" w:color="auto"/>
            </w:tcBorders>
            <w:vAlign w:val="center"/>
          </w:tcPr>
          <w:p w14:paraId="15382A55" w14:textId="77777777" w:rsidR="00702195" w:rsidRPr="00BD7F00" w:rsidRDefault="00702195" w:rsidP="00AA12E3">
            <w:pPr>
              <w:jc w:val="center"/>
              <w:rPr>
                <w:b/>
                <w:bCs/>
                <w:sz w:val="20"/>
                <w:szCs w:val="20"/>
                <w:lang w:eastAsia="es-ES"/>
              </w:rPr>
            </w:pPr>
          </w:p>
        </w:tc>
        <w:tc>
          <w:tcPr>
            <w:tcW w:w="1276" w:type="dxa"/>
            <w:tcBorders>
              <w:top w:val="nil"/>
              <w:left w:val="nil"/>
              <w:bottom w:val="single" w:sz="8" w:space="0" w:color="auto"/>
              <w:right w:val="single" w:sz="8" w:space="0" w:color="auto"/>
            </w:tcBorders>
            <w:vAlign w:val="center"/>
          </w:tcPr>
          <w:p w14:paraId="26BCB820" w14:textId="77777777" w:rsidR="00702195" w:rsidRPr="00BD7F00" w:rsidRDefault="00702195" w:rsidP="00AA12E3">
            <w:pPr>
              <w:jc w:val="center"/>
              <w:rPr>
                <w:b/>
                <w:bCs/>
                <w:sz w:val="20"/>
                <w:szCs w:val="20"/>
                <w:lang w:eastAsia="es-ES"/>
              </w:rPr>
            </w:pPr>
          </w:p>
        </w:tc>
        <w:tc>
          <w:tcPr>
            <w:tcW w:w="844" w:type="dxa"/>
            <w:tcBorders>
              <w:top w:val="nil"/>
              <w:left w:val="nil"/>
              <w:bottom w:val="single" w:sz="8" w:space="0" w:color="auto"/>
              <w:right w:val="nil"/>
            </w:tcBorders>
            <w:vAlign w:val="center"/>
          </w:tcPr>
          <w:p w14:paraId="30F074C6" w14:textId="77777777" w:rsidR="00702195" w:rsidRPr="00BD7F00" w:rsidRDefault="00702195" w:rsidP="00AA12E3">
            <w:pPr>
              <w:jc w:val="center"/>
              <w:rPr>
                <w:b/>
                <w:bCs/>
                <w:sz w:val="20"/>
                <w:szCs w:val="20"/>
                <w:lang w:eastAsia="es-ES"/>
              </w:rPr>
            </w:pPr>
          </w:p>
        </w:tc>
        <w:tc>
          <w:tcPr>
            <w:tcW w:w="1301" w:type="dxa"/>
            <w:tcBorders>
              <w:top w:val="nil"/>
              <w:left w:val="single" w:sz="8" w:space="0" w:color="auto"/>
              <w:bottom w:val="single" w:sz="8" w:space="0" w:color="auto"/>
              <w:right w:val="single" w:sz="8" w:space="0" w:color="auto"/>
            </w:tcBorders>
            <w:vAlign w:val="center"/>
          </w:tcPr>
          <w:p w14:paraId="13BC9EE8" w14:textId="77777777" w:rsidR="00702195" w:rsidRPr="00BD7F00" w:rsidRDefault="00702195" w:rsidP="00AA12E3">
            <w:pPr>
              <w:jc w:val="center"/>
              <w:rPr>
                <w:b/>
                <w:bCs/>
                <w:sz w:val="20"/>
                <w:szCs w:val="20"/>
                <w:lang w:eastAsia="es-ES"/>
              </w:rPr>
            </w:pPr>
          </w:p>
        </w:tc>
        <w:tc>
          <w:tcPr>
            <w:tcW w:w="1379" w:type="dxa"/>
            <w:tcBorders>
              <w:top w:val="nil"/>
              <w:left w:val="nil"/>
              <w:bottom w:val="single" w:sz="8" w:space="0" w:color="auto"/>
              <w:right w:val="single" w:sz="8" w:space="0" w:color="auto"/>
            </w:tcBorders>
            <w:vAlign w:val="center"/>
          </w:tcPr>
          <w:p w14:paraId="4628EEFE" w14:textId="77777777" w:rsidR="00702195" w:rsidRPr="00BD7F00" w:rsidRDefault="00702195" w:rsidP="00AA12E3">
            <w:pPr>
              <w:jc w:val="center"/>
              <w:rPr>
                <w:b/>
                <w:bCs/>
                <w:sz w:val="20"/>
                <w:szCs w:val="20"/>
                <w:lang w:eastAsia="es-ES"/>
              </w:rPr>
            </w:pPr>
          </w:p>
        </w:tc>
        <w:tc>
          <w:tcPr>
            <w:tcW w:w="1042" w:type="dxa"/>
            <w:tcBorders>
              <w:top w:val="nil"/>
              <w:left w:val="nil"/>
              <w:bottom w:val="single" w:sz="8" w:space="0" w:color="auto"/>
              <w:right w:val="single" w:sz="8" w:space="0" w:color="auto"/>
            </w:tcBorders>
            <w:vAlign w:val="center"/>
          </w:tcPr>
          <w:p w14:paraId="2B654F68" w14:textId="77777777" w:rsidR="00702195" w:rsidRPr="00BD7F00" w:rsidRDefault="00702195" w:rsidP="00AA12E3">
            <w:pPr>
              <w:jc w:val="center"/>
              <w:rPr>
                <w:b/>
                <w:bCs/>
                <w:sz w:val="20"/>
                <w:szCs w:val="20"/>
                <w:lang w:eastAsia="es-ES"/>
              </w:rPr>
            </w:pPr>
          </w:p>
        </w:tc>
        <w:tc>
          <w:tcPr>
            <w:tcW w:w="157" w:type="dxa"/>
            <w:vAlign w:val="center"/>
          </w:tcPr>
          <w:p w14:paraId="68A4070B" w14:textId="77777777" w:rsidR="00702195" w:rsidRPr="00BD7F00" w:rsidRDefault="00702195" w:rsidP="00AA12E3">
            <w:pPr>
              <w:jc w:val="left"/>
              <w:rPr>
                <w:sz w:val="20"/>
                <w:szCs w:val="20"/>
                <w:lang w:eastAsia="es-ES"/>
              </w:rPr>
            </w:pPr>
          </w:p>
        </w:tc>
      </w:tr>
    </w:tbl>
    <w:p w14:paraId="6D7EB159" w14:textId="77777777" w:rsidR="00702195" w:rsidRDefault="00702195" w:rsidP="00AA12E3">
      <w:pPr>
        <w:jc w:val="center"/>
        <w:rPr>
          <w:sz w:val="16"/>
          <w:szCs w:val="16"/>
        </w:rPr>
      </w:pPr>
    </w:p>
    <w:p w14:paraId="3E3AE40E" w14:textId="306698BF" w:rsidR="009A63CB" w:rsidRPr="00702195" w:rsidRDefault="0073657B" w:rsidP="00AA12E3">
      <w:pPr>
        <w:jc w:val="center"/>
        <w:rPr>
          <w:sz w:val="16"/>
          <w:szCs w:val="16"/>
        </w:rPr>
      </w:pPr>
      <w:r w:rsidRPr="00BD7F00">
        <w:rPr>
          <w:sz w:val="16"/>
          <w:szCs w:val="16"/>
        </w:rPr>
        <w:t>Fuente: Elaboración propia a partir de las encuestas de sacrificio de ganado del Ministerio de Agricultura, Pesca y Alimentación</w:t>
      </w:r>
    </w:p>
    <w:p w14:paraId="760A2637" w14:textId="77777777" w:rsidR="00B51F2F" w:rsidRDefault="00B51F2F" w:rsidP="00AA12E3"/>
    <w:p w14:paraId="6FF9FE15" w14:textId="170A0262" w:rsidR="00646C77" w:rsidRPr="00BD7F00" w:rsidRDefault="00F125FD" w:rsidP="00AA12E3">
      <w:r w:rsidRPr="00BD7F00">
        <w:t>Se ha producido un descenso en la producción de carne en casi todas las especies, con la excepción d</w:t>
      </w:r>
      <w:r w:rsidR="00646C77" w:rsidRPr="00BD7F00">
        <w:t>el</w:t>
      </w:r>
      <w:r w:rsidRPr="00BD7F00">
        <w:t xml:space="preserve"> </w:t>
      </w:r>
      <w:r w:rsidR="00646C77" w:rsidRPr="00BD7F00">
        <w:t>porcino</w:t>
      </w:r>
      <w:r w:rsidRPr="00BD7F00">
        <w:t xml:space="preserve">, que ha aumentado un </w:t>
      </w:r>
      <w:r w:rsidR="00646C77" w:rsidRPr="00BD7F00">
        <w:t>2,51</w:t>
      </w:r>
      <w:r w:rsidRPr="00BD7F00">
        <w:t xml:space="preserve">%. </w:t>
      </w:r>
    </w:p>
    <w:p w14:paraId="3A94A268" w14:textId="1C07E4DF" w:rsidR="00F125FD" w:rsidRPr="00BD7F00" w:rsidRDefault="00F125FD" w:rsidP="00AA12E3">
      <w:r w:rsidRPr="00BD7F00">
        <w:lastRenderedPageBreak/>
        <w:t>También se ha producido un descenso generalizado en el número de animales sacrificados, con la excepción del ganado bovino</w:t>
      </w:r>
      <w:r w:rsidR="00646C77" w:rsidRPr="00BD7F00">
        <w:t>,</w:t>
      </w:r>
      <w:r w:rsidRPr="00BD7F00">
        <w:t xml:space="preserve"> </w:t>
      </w:r>
      <w:r w:rsidR="00646C77" w:rsidRPr="00BD7F00">
        <w:t xml:space="preserve">que </w:t>
      </w:r>
      <w:r w:rsidRPr="00BD7F00">
        <w:t>ha aumentado un 4,</w:t>
      </w:r>
      <w:r w:rsidR="00646C77" w:rsidRPr="00BD7F00">
        <w:t>16</w:t>
      </w:r>
      <w:r w:rsidRPr="00BD7F00">
        <w:t>%</w:t>
      </w:r>
      <w:r w:rsidR="00646C77" w:rsidRPr="00BD7F00">
        <w:t>.</w:t>
      </w:r>
    </w:p>
    <w:p w14:paraId="732751A3" w14:textId="3E4359C1" w:rsidR="00F125FD" w:rsidRPr="00BD7F00" w:rsidRDefault="00F125FD" w:rsidP="00AA12E3">
      <w:r w:rsidRPr="00BD7F00">
        <w:t>El cambio de elaboración de las encuestas de sacrificio de ganado del Ministerio de Agricultura, Pesca y Alimentación para aves, equinos y conejos</w:t>
      </w:r>
      <w:r w:rsidR="00745A51" w:rsidRPr="00BD7F00">
        <w:t>,</w:t>
      </w:r>
      <w:r w:rsidRPr="00BD7F00">
        <w:t xml:space="preserve"> no ofrece los datos por comunidades autónomas, si bien con la información del grupo en el que se encuentra Castilla y León</w:t>
      </w:r>
      <w:r w:rsidR="006A11C6">
        <w:t xml:space="preserve"> (junto con Madrid, Castilla La-Mancha y Extremadura) </w:t>
      </w:r>
      <w:r w:rsidR="00745A51" w:rsidRPr="00BD7F00">
        <w:t>en el periodo de enero a agosto de 2025,</w:t>
      </w:r>
      <w:r w:rsidRPr="00BD7F00">
        <w:t xml:space="preserve"> se estima </w:t>
      </w:r>
      <w:r w:rsidR="00745A51" w:rsidRPr="00BD7F00">
        <w:t>una</w:t>
      </w:r>
      <w:r w:rsidRPr="00BD7F00">
        <w:t xml:space="preserve"> subida en el número de animales sacrificados para aves, y bajada en el caso</w:t>
      </w:r>
      <w:r w:rsidR="00DB4B66" w:rsidRPr="00BD7F00">
        <w:t xml:space="preserve"> de equinos</w:t>
      </w:r>
      <w:r w:rsidR="004B498B" w:rsidRPr="00BD7F00">
        <w:t>, permaneciendo el sector cunícola</w:t>
      </w:r>
      <w:r w:rsidR="00DB4B66" w:rsidRPr="00BD7F00">
        <w:t xml:space="preserve"> </w:t>
      </w:r>
      <w:r w:rsidR="004B498B" w:rsidRPr="00BD7F00">
        <w:t>prácticamente invariable</w:t>
      </w:r>
      <w:r w:rsidR="00745A51" w:rsidRPr="00BD7F00">
        <w:t xml:space="preserve"> respecto al mismo periodo del año anterior.</w:t>
      </w:r>
    </w:p>
    <w:p w14:paraId="61170016" w14:textId="77777777" w:rsidR="00F125FD" w:rsidRDefault="00F125FD" w:rsidP="00AA12E3">
      <w:pPr>
        <w:tabs>
          <w:tab w:val="left" w:pos="1701"/>
        </w:tabs>
      </w:pPr>
    </w:p>
    <w:p w14:paraId="71139EEF" w14:textId="77777777" w:rsidR="00070779" w:rsidRPr="00BD7F00" w:rsidRDefault="00070779" w:rsidP="00AA12E3">
      <w:pPr>
        <w:tabs>
          <w:tab w:val="left" w:pos="1701"/>
        </w:tabs>
        <w:rPr>
          <w:vanish/>
        </w:rPr>
      </w:pPr>
    </w:p>
    <w:p w14:paraId="5F0ED8F5" w14:textId="04885E69" w:rsidR="00A431DD" w:rsidRPr="00BD7F00" w:rsidRDefault="00A431DD" w:rsidP="00AA12E3">
      <w:r w:rsidRPr="00BD7F00">
        <w:t xml:space="preserve">Respecto a los </w:t>
      </w:r>
      <w:r w:rsidRPr="00BD7F00">
        <w:rPr>
          <w:b/>
        </w:rPr>
        <w:t>precios</w:t>
      </w:r>
      <w:r w:rsidRPr="00BD7F00">
        <w:t xml:space="preserve">, el de la </w:t>
      </w:r>
      <w:r w:rsidRPr="00BD7F00">
        <w:rPr>
          <w:b/>
          <w:bCs/>
        </w:rPr>
        <w:t>carne de vacuno</w:t>
      </w:r>
      <w:r w:rsidRPr="00BD7F00">
        <w:t xml:space="preserve">, </w:t>
      </w:r>
      <w:r w:rsidR="0090013A" w:rsidRPr="00BD7F00">
        <w:t>en el mes de enero se situó de media un 18% por encima respecto al precio del año pasado</w:t>
      </w:r>
      <w:r w:rsidR="00881A0F" w:rsidRPr="00BD7F00">
        <w:t>, con una tendencia al alza a lo largo de la primera mitad de año.</w:t>
      </w:r>
    </w:p>
    <w:p w14:paraId="57092EB7" w14:textId="3CD8C83B" w:rsidR="0026408F" w:rsidRDefault="00A431DD" w:rsidP="00AA12E3">
      <w:pPr>
        <w:rPr>
          <w:rFonts w:ascii="Aptos Narrow" w:hAnsi="Aptos Narrow" w:cs="Times New Roman"/>
          <w:sz w:val="22"/>
          <w:szCs w:val="22"/>
          <w:lang w:eastAsia="es-ES"/>
        </w:rPr>
      </w:pPr>
      <w:r w:rsidRPr="00BD7F00">
        <w:t>En la segunda mitad de año</w:t>
      </w:r>
      <w:r w:rsidR="00CE7B58" w:rsidRPr="00BD7F00">
        <w:t>,</w:t>
      </w:r>
      <w:r w:rsidRPr="00BD7F00">
        <w:t xml:space="preserve"> </w:t>
      </w:r>
      <w:r w:rsidR="00881A0F" w:rsidRPr="00BD7F00">
        <w:t>continuaba</w:t>
      </w:r>
      <w:r w:rsidRPr="00BD7F00">
        <w:t xml:space="preserve"> la tendencia alcista de precios, </w:t>
      </w:r>
      <w:r w:rsidRPr="00BD7F00">
        <w:rPr>
          <w:lang w:eastAsia="es-ES"/>
        </w:rPr>
        <w:t xml:space="preserve">situándose el precio en septiembre en un 30% por encima respecto al pasado año, y alcanzándose en noviembre los </w:t>
      </w:r>
      <w:r w:rsidRPr="00BD7F00">
        <w:t>435 €/100 Kg vivo</w:t>
      </w:r>
      <w:r w:rsidRPr="00BD7F00">
        <w:rPr>
          <w:rFonts w:ascii="Aptos Narrow" w:hAnsi="Aptos Narrow" w:cs="Times New Roman"/>
          <w:sz w:val="22"/>
          <w:szCs w:val="22"/>
          <w:lang w:eastAsia="es-ES"/>
        </w:rPr>
        <w:t>.</w:t>
      </w:r>
    </w:p>
    <w:p w14:paraId="35EC9525" w14:textId="77777777" w:rsidR="00A608F7" w:rsidRDefault="00A608F7" w:rsidP="00AA12E3">
      <w:pPr>
        <w:rPr>
          <w:lang w:eastAsia="es-ES"/>
        </w:rPr>
      </w:pPr>
    </w:p>
    <w:p w14:paraId="1AEE7FF9" w14:textId="5DADF356" w:rsidR="005B5DF6" w:rsidRDefault="00376485" w:rsidP="00AA12E3">
      <w:pPr>
        <w:jc w:val="center"/>
      </w:pPr>
      <w:r>
        <w:rPr>
          <w:noProof/>
        </w:rPr>
        <w:drawing>
          <wp:inline distT="0" distB="0" distL="0" distR="0" wp14:anchorId="40AEE91C" wp14:editId="29E4EAB9">
            <wp:extent cx="4114800" cy="1857375"/>
            <wp:effectExtent l="0" t="0" r="0" b="9525"/>
            <wp:docPr id="1493283246" name="Gráfico 1">
              <a:extLst xmlns:a="http://schemas.openxmlformats.org/drawingml/2006/main">
                <a:ext uri="{FF2B5EF4-FFF2-40B4-BE49-F238E27FC236}">
                  <a16:creationId xmlns:a16="http://schemas.microsoft.com/office/drawing/2014/main" id="{76CDDDEB-3C35-73A2-9700-92DB10D27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AB3D31C" w14:textId="77777777" w:rsidR="00AB5877" w:rsidRPr="003902B5" w:rsidRDefault="00AB5877" w:rsidP="00AA12E3">
      <w:pPr>
        <w:jc w:val="left"/>
        <w:rPr>
          <w:sz w:val="14"/>
          <w:szCs w:val="14"/>
        </w:rPr>
      </w:pPr>
    </w:p>
    <w:p w14:paraId="03DA795D" w14:textId="36587601" w:rsidR="00AB5877" w:rsidRPr="00702195" w:rsidRDefault="00AB5877" w:rsidP="00AA12E3">
      <w:pPr>
        <w:jc w:val="center"/>
        <w:rPr>
          <w:sz w:val="16"/>
          <w:szCs w:val="16"/>
        </w:rPr>
      </w:pPr>
      <w:r w:rsidRPr="00702195">
        <w:rPr>
          <w:sz w:val="16"/>
          <w:szCs w:val="16"/>
        </w:rPr>
        <w:t>Fuente: Elaboración propia a partir del observatorio de precios de los productos agrícolas y ganaderos de Castilla y León</w:t>
      </w:r>
    </w:p>
    <w:p w14:paraId="6F6E9B41" w14:textId="6D9FD15E" w:rsidR="00AB5877" w:rsidRPr="00702195" w:rsidRDefault="003902B5" w:rsidP="00AA12E3">
      <w:pPr>
        <w:jc w:val="center"/>
        <w:rPr>
          <w:sz w:val="16"/>
          <w:szCs w:val="16"/>
        </w:rPr>
      </w:pPr>
      <w:r w:rsidRPr="00702195">
        <w:rPr>
          <w:sz w:val="16"/>
          <w:szCs w:val="16"/>
        </w:rPr>
        <w:t>(Precio pagado a la salida de la granja del ganadero, sin incluir los gastos de transporte ni subvenciones ni impuestos indirectos)</w:t>
      </w:r>
    </w:p>
    <w:p w14:paraId="428FCD88" w14:textId="77777777" w:rsidR="00AA12E3" w:rsidRDefault="00AA12E3" w:rsidP="00AA12E3">
      <w:pPr>
        <w:rPr>
          <w:color w:val="1F497D" w:themeColor="text2"/>
        </w:rPr>
      </w:pPr>
    </w:p>
    <w:p w14:paraId="61AEB761" w14:textId="77777777" w:rsidR="00AA12E3" w:rsidRDefault="00AA12E3" w:rsidP="00AA12E3"/>
    <w:p w14:paraId="4D0D7676" w14:textId="1C67863D" w:rsidR="00D337D7" w:rsidRPr="00A92DCA" w:rsidRDefault="00D337D7" w:rsidP="00AA12E3">
      <w:r w:rsidRPr="00A92DCA">
        <w:t xml:space="preserve">En </w:t>
      </w:r>
      <w:r w:rsidRPr="00A92DCA">
        <w:rPr>
          <w:b/>
          <w:bCs/>
        </w:rPr>
        <w:t>ovino</w:t>
      </w:r>
      <w:r w:rsidRPr="00A92DCA">
        <w:t xml:space="preserve">, el precio del cordero lechal comenzó el año en torno a los 6,58 euros por kilo de canal, un 23,4% por encima respecto al </w:t>
      </w:r>
      <w:r w:rsidR="008A4BB1" w:rsidRPr="00A92DCA">
        <w:t>añ</w:t>
      </w:r>
      <w:r w:rsidR="008A4BB1">
        <w:t>o</w:t>
      </w:r>
      <w:r w:rsidRPr="00A92DCA">
        <w:t xml:space="preserve"> anterior. Los precios se han mantenido todo el año por encima a los de 2024, con tendencia alcista a partir del mes de julio, alca</w:t>
      </w:r>
      <w:r w:rsidR="00A608F7">
        <w:t>n</w:t>
      </w:r>
      <w:r w:rsidRPr="00A92DCA">
        <w:t>zándose en noviembre un precio de 7,76 euros por kilo, un 10,3% más que en 2024 por las mismas fechas.</w:t>
      </w:r>
    </w:p>
    <w:p w14:paraId="754E6E30" w14:textId="77777777" w:rsidR="00702195" w:rsidRDefault="00702195" w:rsidP="00AA12E3"/>
    <w:p w14:paraId="51920721" w14:textId="7738AF42" w:rsidR="002D11D2" w:rsidRPr="00A92DCA" w:rsidRDefault="00F0112F" w:rsidP="00AA12E3">
      <w:r w:rsidRPr="00A92DCA">
        <w:t xml:space="preserve">En cuanto al cordero recental, el precio </w:t>
      </w:r>
      <w:r w:rsidR="002D11D2" w:rsidRPr="00A92DCA">
        <w:t>se situó</w:t>
      </w:r>
      <w:r w:rsidRPr="00A92DCA">
        <w:t xml:space="preserve"> en </w:t>
      </w:r>
      <w:r w:rsidR="002D11D2" w:rsidRPr="00A92DCA">
        <w:t xml:space="preserve">el mes de </w:t>
      </w:r>
      <w:r w:rsidRPr="00A92DCA">
        <w:t>enero en 5,14 euros por kilo de canal, un 10,8% superior</w:t>
      </w:r>
      <w:r w:rsidR="002D11D2" w:rsidRPr="00A92DCA">
        <w:t xml:space="preserve"> </w:t>
      </w:r>
      <w:r w:rsidRPr="00A92DCA">
        <w:t>al pasado año</w:t>
      </w:r>
      <w:r w:rsidR="002D11D2" w:rsidRPr="00A92DCA">
        <w:t>, manteniéndose también los precios durante todo el año por encima de los registrados en 2024, con un precio de 5,76 euros por kilo en el mes de noviembre, casi un 9% por encima del precio de 2024 en esa fecha.</w:t>
      </w:r>
    </w:p>
    <w:p w14:paraId="095856AE" w14:textId="3363F09E" w:rsidR="00AD2807" w:rsidRDefault="00AD2807" w:rsidP="00AA12E3"/>
    <w:p w14:paraId="5B698D01" w14:textId="669EA800" w:rsidR="00A07C9D" w:rsidRDefault="00A07C9D" w:rsidP="00AA12E3">
      <w:pPr>
        <w:jc w:val="center"/>
      </w:pPr>
    </w:p>
    <w:p w14:paraId="2EB28004" w14:textId="17E4069D" w:rsidR="00695615" w:rsidRDefault="00695615" w:rsidP="00AA12E3">
      <w:pPr>
        <w:jc w:val="center"/>
      </w:pPr>
      <w:r>
        <w:rPr>
          <w:noProof/>
        </w:rPr>
        <w:lastRenderedPageBreak/>
        <w:drawing>
          <wp:inline distT="0" distB="0" distL="0" distR="0" wp14:anchorId="21DE7CD2" wp14:editId="5E9C47BE">
            <wp:extent cx="4562475" cy="1857375"/>
            <wp:effectExtent l="0" t="0" r="9525" b="9525"/>
            <wp:docPr id="13178092" name="Gráfico 1">
              <a:extLst xmlns:a="http://schemas.openxmlformats.org/drawingml/2006/main">
                <a:ext uri="{FF2B5EF4-FFF2-40B4-BE49-F238E27FC236}">
                  <a16:creationId xmlns:a16="http://schemas.microsoft.com/office/drawing/2014/main" id="{5A81EC48-DB6E-A7FA-FE63-195FDE414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827CCD" w14:textId="7CDA84EC" w:rsidR="00AD2807" w:rsidRPr="001D4B57" w:rsidRDefault="001D4B57" w:rsidP="00AA12E3">
      <w:pPr>
        <w:spacing w:before="240"/>
        <w:ind w:left="993" w:right="993"/>
        <w:jc w:val="center"/>
        <w:rPr>
          <w:sz w:val="16"/>
          <w:szCs w:val="16"/>
        </w:rPr>
      </w:pPr>
      <w:r>
        <w:rPr>
          <w:sz w:val="16"/>
          <w:szCs w:val="16"/>
        </w:rPr>
        <w:t xml:space="preserve"> F</w:t>
      </w:r>
      <w:r w:rsidR="00AD2807" w:rsidRPr="001D4B57">
        <w:rPr>
          <w:sz w:val="16"/>
          <w:szCs w:val="16"/>
        </w:rPr>
        <w:t>uente: Elaboración propia a partir del observatorio de precios de los productos agrícolas y ganaderos de Castilla y León</w:t>
      </w:r>
      <w:r>
        <w:rPr>
          <w:sz w:val="16"/>
          <w:szCs w:val="16"/>
        </w:rPr>
        <w:t xml:space="preserve"> </w:t>
      </w:r>
      <w:r w:rsidRPr="001D4B57">
        <w:rPr>
          <w:sz w:val="16"/>
          <w:szCs w:val="16"/>
        </w:rPr>
        <w:t xml:space="preserve">(Precio pagado a la salida de la granja del ganadero, sin incluir los gastos de transporte ni subvenciones ni impuestos indirectos. </w:t>
      </w:r>
    </w:p>
    <w:p w14:paraId="0C1C2B57" w14:textId="405E1673" w:rsidR="00A608F7" w:rsidRDefault="00A608F7" w:rsidP="00AA12E3"/>
    <w:p w14:paraId="5E5F512F" w14:textId="70BD78E9" w:rsidR="0000454D" w:rsidRDefault="00A608F7" w:rsidP="00AA12E3">
      <w:pPr>
        <w:jc w:val="center"/>
      </w:pPr>
      <w:r>
        <w:rPr>
          <w:noProof/>
        </w:rPr>
        <w:drawing>
          <wp:inline distT="0" distB="0" distL="0" distR="0" wp14:anchorId="12EB097C" wp14:editId="6019048C">
            <wp:extent cx="4629150" cy="1876425"/>
            <wp:effectExtent l="0" t="0" r="0" b="9525"/>
            <wp:docPr id="1213970650" name="Gráfico 1">
              <a:extLst xmlns:a="http://schemas.openxmlformats.org/drawingml/2006/main">
                <a:ext uri="{FF2B5EF4-FFF2-40B4-BE49-F238E27FC236}">
                  <a16:creationId xmlns:a16="http://schemas.microsoft.com/office/drawing/2014/main" id="{8DCB053A-A357-8A84-5C14-82BA2596E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001D0C4" w14:textId="66CE6C48" w:rsidR="00D337D7" w:rsidRPr="00070779" w:rsidRDefault="00D91463" w:rsidP="00AA12E3">
      <w:pPr>
        <w:spacing w:before="240"/>
        <w:ind w:left="1276" w:right="1134"/>
        <w:jc w:val="center"/>
        <w:rPr>
          <w:sz w:val="16"/>
          <w:szCs w:val="16"/>
        </w:rPr>
      </w:pPr>
      <w:r w:rsidRPr="00070779">
        <w:rPr>
          <w:sz w:val="16"/>
          <w:szCs w:val="16"/>
        </w:rPr>
        <w:t xml:space="preserve">Fuente: Elaboración propia a partir del observatorio de precios de los productos agrícolas </w:t>
      </w:r>
      <w:r w:rsidR="00070779">
        <w:rPr>
          <w:sz w:val="16"/>
          <w:szCs w:val="16"/>
        </w:rPr>
        <w:t xml:space="preserve">y </w:t>
      </w:r>
      <w:r w:rsidRPr="00070779">
        <w:rPr>
          <w:sz w:val="16"/>
          <w:szCs w:val="16"/>
        </w:rPr>
        <w:t>ganaderos de Castilla y León</w:t>
      </w:r>
      <w:r w:rsidR="00070779">
        <w:rPr>
          <w:sz w:val="16"/>
          <w:szCs w:val="16"/>
        </w:rPr>
        <w:t xml:space="preserve">. </w:t>
      </w:r>
      <w:r w:rsidR="00F0112F" w:rsidRPr="00070779">
        <w:rPr>
          <w:sz w:val="16"/>
          <w:szCs w:val="16"/>
        </w:rPr>
        <w:t>(Precio pagado a la salida de la granja del ganadero, sin incluir los gastos de transporte ni subvenciones ni impuestos indirectos)</w:t>
      </w:r>
    </w:p>
    <w:p w14:paraId="7838D4C1" w14:textId="77777777" w:rsidR="007476FD" w:rsidRDefault="007476FD" w:rsidP="00AA12E3"/>
    <w:p w14:paraId="090FF63C" w14:textId="21CCA7CF" w:rsidR="00E53A9D" w:rsidRDefault="00A037AD" w:rsidP="00AA12E3">
      <w:r w:rsidRPr="00A92DCA">
        <w:t xml:space="preserve">El </w:t>
      </w:r>
      <w:r w:rsidRPr="00A92DCA">
        <w:rPr>
          <w:b/>
          <w:bCs/>
        </w:rPr>
        <w:t>cabrito lechal</w:t>
      </w:r>
      <w:r w:rsidRPr="00A92DCA">
        <w:t>, comenzó el año con una variación en precio en el mes de enero del 24% respecto al 2024. A lo largo del año, el precio se ha situado todos los meses por encima del pasado año, si bien a partir de la segunda mitad del 2025 la variación respecto a 2024 ha sido menos acusada, situándose el precio a final de año en 7,13 euros por kilo, lo que supone una variación del 11,43 % respecto a esa misma fecha el año pasado.</w:t>
      </w:r>
    </w:p>
    <w:p w14:paraId="54CE3CDD" w14:textId="77777777" w:rsidR="00AA12E3" w:rsidRDefault="00AA12E3" w:rsidP="00AA12E3"/>
    <w:p w14:paraId="597A7F1B" w14:textId="412DAC95" w:rsidR="00F25B2A" w:rsidRDefault="00F25B2A" w:rsidP="00AA12E3">
      <w:pPr>
        <w:jc w:val="center"/>
      </w:pPr>
      <w:r w:rsidRPr="00F25B2A">
        <w:rPr>
          <w:noProof/>
        </w:rPr>
        <w:t xml:space="preserve"> </w:t>
      </w:r>
      <w:r>
        <w:rPr>
          <w:noProof/>
        </w:rPr>
        <w:drawing>
          <wp:inline distT="0" distB="0" distL="0" distR="0" wp14:anchorId="159595DF" wp14:editId="549644D1">
            <wp:extent cx="4533900" cy="1952625"/>
            <wp:effectExtent l="0" t="0" r="0" b="9525"/>
            <wp:docPr id="1959667910" name="Gráfico 1">
              <a:extLst xmlns:a="http://schemas.openxmlformats.org/drawingml/2006/main">
                <a:ext uri="{FF2B5EF4-FFF2-40B4-BE49-F238E27FC236}">
                  <a16:creationId xmlns:a16="http://schemas.microsoft.com/office/drawing/2014/main" id="{F69C18FE-2114-1FAC-2B4A-538C7DACC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ACE2062" w14:textId="486B9C80" w:rsidR="00F23F37" w:rsidRPr="0007609E" w:rsidRDefault="00F23F37" w:rsidP="00AA12E3">
      <w:pPr>
        <w:spacing w:before="240"/>
        <w:ind w:left="851" w:right="851"/>
        <w:jc w:val="center"/>
        <w:rPr>
          <w:sz w:val="16"/>
          <w:szCs w:val="16"/>
        </w:rPr>
      </w:pPr>
      <w:r w:rsidRPr="0007609E">
        <w:rPr>
          <w:sz w:val="16"/>
          <w:szCs w:val="16"/>
        </w:rPr>
        <w:t>Fuente: Elaboración propia a partir del observatorio de precios de los productos agrícolas y ganaderos de Castilla y León</w:t>
      </w:r>
      <w:r w:rsidR="0007609E">
        <w:rPr>
          <w:sz w:val="16"/>
          <w:szCs w:val="16"/>
        </w:rPr>
        <w:t xml:space="preserve">. </w:t>
      </w:r>
      <w:r w:rsidRPr="0007609E">
        <w:rPr>
          <w:sz w:val="16"/>
          <w:szCs w:val="16"/>
        </w:rPr>
        <w:t>(Precio pagado a la salida de la granja del ganadero, sin incluir los gastos de transporte ni subvenciones ni impuestos indirectos)</w:t>
      </w:r>
    </w:p>
    <w:p w14:paraId="70BD107D" w14:textId="77777777" w:rsidR="00F23F37" w:rsidRPr="00F125FD" w:rsidRDefault="00F23F37" w:rsidP="00AA12E3"/>
    <w:p w14:paraId="0F59F902" w14:textId="77777777" w:rsidR="00D81FBD" w:rsidRDefault="00D81FBD" w:rsidP="00AA12E3"/>
    <w:p w14:paraId="131908C7" w14:textId="088D0756" w:rsidR="00B16415" w:rsidRPr="00A92DCA" w:rsidRDefault="00B16415" w:rsidP="00AA12E3">
      <w:r w:rsidRPr="00A92DCA">
        <w:t xml:space="preserve">El precio del </w:t>
      </w:r>
      <w:r w:rsidRPr="00B16415">
        <w:rPr>
          <w:b/>
          <w:bCs/>
        </w:rPr>
        <w:t>porcino blanco</w:t>
      </w:r>
      <w:r w:rsidRPr="00A92DCA">
        <w:t xml:space="preserve"> comenzó en 1,55 euros por kilo </w:t>
      </w:r>
      <w:r w:rsidR="00141D47">
        <w:t>vivo</w:t>
      </w:r>
      <w:r w:rsidRPr="00A92DCA">
        <w:t xml:space="preserve"> en el mes de enero, un 5,5% inferior al año anterior. Entre febrero y agosto</w:t>
      </w:r>
      <w:r w:rsidR="003E2D22">
        <w:t>,</w:t>
      </w:r>
      <w:r w:rsidRPr="00A92DCA">
        <w:t xml:space="preserve"> </w:t>
      </w:r>
      <w:r w:rsidR="003E2D22">
        <w:t xml:space="preserve">pese a que </w:t>
      </w:r>
      <w:r w:rsidRPr="00A92DCA">
        <w:t xml:space="preserve">las cotizaciones se </w:t>
      </w:r>
      <w:r w:rsidR="003E2D22">
        <w:t>vieron</w:t>
      </w:r>
      <w:r w:rsidRPr="00A92DCA">
        <w:t xml:space="preserve"> incrementadas, alcanzando los 1,71 euros por kilo de canal en el mes de agosto</w:t>
      </w:r>
      <w:r w:rsidR="003E2D22">
        <w:t>, se registró una reducción del 6,5% respecto a la misma fecha del año anterior.</w:t>
      </w:r>
      <w:r w:rsidRPr="00A92DCA">
        <w:t xml:space="preserve"> </w:t>
      </w:r>
    </w:p>
    <w:p w14:paraId="77C5F603" w14:textId="77777777" w:rsidR="00E0525A" w:rsidRDefault="00E0525A" w:rsidP="00AA12E3"/>
    <w:p w14:paraId="450EC9E2" w14:textId="23DAD700" w:rsidR="00D93281" w:rsidRDefault="00B16415" w:rsidP="00AA12E3">
      <w:r w:rsidRPr="00A92DCA">
        <w:t xml:space="preserve">De septiembre a noviembre el precio </w:t>
      </w:r>
      <w:r w:rsidR="00CD0CB6">
        <w:t>tuvo</w:t>
      </w:r>
      <w:r w:rsidRPr="00A92DCA">
        <w:t xml:space="preserve"> un descenso más acusado, con una cotización de 1,34 euros por kilo en noviembre</w:t>
      </w:r>
      <w:r w:rsidR="00CD0CB6">
        <w:t>, un 14,16% más bajo que el año anterior.</w:t>
      </w:r>
      <w:r w:rsidR="00AB4B50">
        <w:t xml:space="preserve"> </w:t>
      </w:r>
      <w:r w:rsidRPr="00A92DCA">
        <w:t>En el mes de diciembre, el precio del porcino en Castilla y León se ha visto afectado por la amenaza de la peste porcina africana, coincidiendo con la detección de focos de jabalíes en Cataluña. La caída del precio se sitúa en torno a un 30%</w:t>
      </w:r>
      <w:r w:rsidR="00CD0CB6">
        <w:t>.</w:t>
      </w:r>
    </w:p>
    <w:p w14:paraId="365D362D" w14:textId="77777777" w:rsidR="00AA12E3" w:rsidRDefault="00AA12E3" w:rsidP="00AA12E3"/>
    <w:p w14:paraId="029C6F03" w14:textId="77777777" w:rsidR="00D93281" w:rsidRDefault="00D93281" w:rsidP="00AA12E3"/>
    <w:p w14:paraId="375939C5" w14:textId="1963B146" w:rsidR="00BD1C8D" w:rsidRDefault="00BD1C8D" w:rsidP="00AA12E3">
      <w:pPr>
        <w:jc w:val="center"/>
      </w:pPr>
      <w:r>
        <w:rPr>
          <w:noProof/>
        </w:rPr>
        <w:drawing>
          <wp:inline distT="0" distB="0" distL="0" distR="0" wp14:anchorId="209481BB" wp14:editId="53BDF19F">
            <wp:extent cx="4733925" cy="2124075"/>
            <wp:effectExtent l="0" t="0" r="9525" b="9525"/>
            <wp:docPr id="978960657" name="Gráfico 1">
              <a:extLst xmlns:a="http://schemas.openxmlformats.org/drawingml/2006/main">
                <a:ext uri="{FF2B5EF4-FFF2-40B4-BE49-F238E27FC236}">
                  <a16:creationId xmlns:a16="http://schemas.microsoft.com/office/drawing/2014/main" id="{954C568A-5C26-C4AC-7619-4E2EF7059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E58C607" w14:textId="66D8171D" w:rsidR="00256179" w:rsidRPr="0007609E" w:rsidRDefault="00256179" w:rsidP="00AA12E3">
      <w:pPr>
        <w:spacing w:before="240"/>
        <w:ind w:left="851" w:right="851"/>
        <w:jc w:val="center"/>
        <w:rPr>
          <w:sz w:val="16"/>
          <w:szCs w:val="16"/>
        </w:rPr>
      </w:pPr>
      <w:r w:rsidRPr="0007609E">
        <w:rPr>
          <w:sz w:val="16"/>
          <w:szCs w:val="16"/>
        </w:rPr>
        <w:t>Fuente: Elaboración propia a partir del observatorio de precios de los productos agrícolas y ganaderos de Castilla y León</w:t>
      </w:r>
      <w:r w:rsidR="0007609E">
        <w:rPr>
          <w:sz w:val="16"/>
          <w:szCs w:val="16"/>
        </w:rPr>
        <w:t xml:space="preserve">. </w:t>
      </w:r>
      <w:r w:rsidRPr="0007609E">
        <w:rPr>
          <w:sz w:val="16"/>
          <w:szCs w:val="16"/>
        </w:rPr>
        <w:t>(Precio pagado a la salida de la granja del ganadero, sin incluir los gastos de transporte ni subvenciones ni impuestos indirectos)</w:t>
      </w:r>
    </w:p>
    <w:p w14:paraId="6DF95E1F" w14:textId="77777777" w:rsidR="00256179" w:rsidRDefault="00256179" w:rsidP="00AA12E3"/>
    <w:p w14:paraId="66F38C6E" w14:textId="77777777" w:rsidR="003E2D22" w:rsidRDefault="003E2D22" w:rsidP="00AA12E3"/>
    <w:p w14:paraId="62EE225C" w14:textId="77777777" w:rsidR="00E53A9D" w:rsidRDefault="00E53A9D" w:rsidP="00AA12E3"/>
    <w:p w14:paraId="03292269" w14:textId="7086DE8A" w:rsidR="003E2D22" w:rsidRPr="00A92DCA" w:rsidRDefault="003E2D22" w:rsidP="00AA12E3">
      <w:r w:rsidRPr="00A92DCA">
        <w:t xml:space="preserve">El </w:t>
      </w:r>
      <w:r w:rsidRPr="00B16415">
        <w:rPr>
          <w:b/>
          <w:bCs/>
        </w:rPr>
        <w:t>cerdo ibérico</w:t>
      </w:r>
      <w:r w:rsidRPr="00A92DCA">
        <w:t xml:space="preserve"> en Castilla y León empezó el año en torno a 2,63 euros por kilo vivo, un 21% por encima del año pasado. Los precios han ido incrementándose progresivamente hasta finales de año, alcanzando los 3,02 euros por kilo vivo en el mes de noviembre, un 16% más respecto al mismo periodo del 2024. A diferencia de la caída del precio experimentada en el mes de diciembre en porcino blanco debido a la incertidumbre generada por la PPA, en el caso del cerdo ibérico las cotizaciones no se han visto tan afectadas. </w:t>
      </w:r>
    </w:p>
    <w:p w14:paraId="5C200D01" w14:textId="77777777" w:rsidR="00256179" w:rsidRDefault="00256179" w:rsidP="00AA12E3"/>
    <w:p w14:paraId="115C915D" w14:textId="633CD7E0" w:rsidR="00256179" w:rsidRDefault="00256179" w:rsidP="00AA12E3">
      <w:pPr>
        <w:jc w:val="center"/>
      </w:pPr>
    </w:p>
    <w:p w14:paraId="401A82B3" w14:textId="0160DF2D" w:rsidR="00DD3CF5" w:rsidRDefault="00DD3CF5" w:rsidP="00AA12E3">
      <w:pPr>
        <w:jc w:val="center"/>
      </w:pPr>
      <w:r>
        <w:rPr>
          <w:noProof/>
        </w:rPr>
        <w:lastRenderedPageBreak/>
        <w:drawing>
          <wp:inline distT="0" distB="0" distL="0" distR="0" wp14:anchorId="7C5E7D36" wp14:editId="14562219">
            <wp:extent cx="4657725" cy="2200275"/>
            <wp:effectExtent l="0" t="0" r="9525" b="9525"/>
            <wp:docPr id="1443987210" name="Gráfico 1">
              <a:extLst xmlns:a="http://schemas.openxmlformats.org/drawingml/2006/main">
                <a:ext uri="{FF2B5EF4-FFF2-40B4-BE49-F238E27FC236}">
                  <a16:creationId xmlns:a16="http://schemas.microsoft.com/office/drawing/2014/main" id="{044BCCB2-D7C7-B20F-7BA2-42C27430E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B79C3D" w14:textId="1C08687D" w:rsidR="00B51F2F" w:rsidRDefault="00B453EC" w:rsidP="00AA12E3">
      <w:pPr>
        <w:spacing w:before="240"/>
        <w:ind w:left="851" w:right="851"/>
        <w:jc w:val="center"/>
        <w:rPr>
          <w:sz w:val="16"/>
          <w:szCs w:val="16"/>
        </w:rPr>
      </w:pPr>
      <w:bookmarkStart w:id="3" w:name="_Hlk216869958"/>
      <w:r w:rsidRPr="00E61036">
        <w:rPr>
          <w:sz w:val="16"/>
          <w:szCs w:val="16"/>
        </w:rPr>
        <w:t>Fuente: Elaboración propia a partir del observatorio de precios de los productos agrícolas y ganaderos de Castilla y León</w:t>
      </w:r>
      <w:r w:rsidR="002C53EE">
        <w:rPr>
          <w:sz w:val="16"/>
          <w:szCs w:val="16"/>
        </w:rPr>
        <w:t xml:space="preserve">. </w:t>
      </w:r>
      <w:r w:rsidRPr="00E61036">
        <w:rPr>
          <w:sz w:val="16"/>
          <w:szCs w:val="16"/>
        </w:rPr>
        <w:t>(Precio pagado a la salida de la granja del ganadero, sin incluir los gastos de transporte ni subvenciones ni impuestos indirectos)</w:t>
      </w:r>
      <w:bookmarkEnd w:id="3"/>
    </w:p>
    <w:p w14:paraId="71605C57" w14:textId="77777777" w:rsidR="00AB4B50" w:rsidRPr="00AB4B50" w:rsidRDefault="00AB4B50" w:rsidP="00AA12E3">
      <w:pPr>
        <w:spacing w:before="240"/>
        <w:ind w:left="851" w:right="851"/>
        <w:jc w:val="center"/>
        <w:rPr>
          <w:sz w:val="16"/>
          <w:szCs w:val="16"/>
        </w:rPr>
      </w:pPr>
    </w:p>
    <w:p w14:paraId="556E12C0" w14:textId="77777777" w:rsidR="00330672" w:rsidRDefault="00330672" w:rsidP="00AA12E3"/>
    <w:p w14:paraId="54571E5B" w14:textId="748CB7A4" w:rsidR="00F9775E" w:rsidRPr="00A92DCA" w:rsidRDefault="00DB32A9" w:rsidP="00AA12E3">
      <w:r w:rsidRPr="00A92DCA">
        <w:t xml:space="preserve">El precio de la </w:t>
      </w:r>
      <w:r w:rsidRPr="003E2D22">
        <w:rPr>
          <w:b/>
          <w:bCs/>
        </w:rPr>
        <w:t>carne de pollo</w:t>
      </w:r>
      <w:r w:rsidRPr="00A92DCA">
        <w:t xml:space="preserve"> comenzó el año situándose en una media 2,20 €/kg en enero, </w:t>
      </w:r>
      <w:r w:rsidR="00F9775E" w:rsidRPr="00A92DCA">
        <w:t xml:space="preserve">un 6,24 % por debajo al precio </w:t>
      </w:r>
      <w:r w:rsidRPr="00A92DCA">
        <w:t>del mismo periodo de</w:t>
      </w:r>
      <w:r w:rsidR="00F9775E" w:rsidRPr="00A92DCA">
        <w:t>l año anterior</w:t>
      </w:r>
      <w:r w:rsidRPr="00A92DCA">
        <w:t xml:space="preserve">. </w:t>
      </w:r>
    </w:p>
    <w:p w14:paraId="650F6E0C" w14:textId="04E159B5" w:rsidR="00F9775E" w:rsidRDefault="00DB32A9" w:rsidP="00AA12E3">
      <w:r w:rsidRPr="00A92DCA">
        <w:t>Entre junio y octubre se produjo una subida de precio, con una media de 2,36 €/kg, finalizando diciembre en los 2,29 €/kg</w:t>
      </w:r>
      <w:r w:rsidR="00F9775E" w:rsidRPr="00A92DCA">
        <w:t>, casi un 36% por encima del precio de 2024 en esa fecha.</w:t>
      </w:r>
    </w:p>
    <w:p w14:paraId="136C2210" w14:textId="77777777" w:rsidR="00D93281" w:rsidRPr="002C53EE" w:rsidRDefault="00D93281" w:rsidP="00AA12E3"/>
    <w:p w14:paraId="5DBEBFAD" w14:textId="4D39DD9C" w:rsidR="007A50EA" w:rsidRDefault="00D93281" w:rsidP="00AA12E3">
      <w:pPr>
        <w:rPr>
          <w:color w:val="4F81BD" w:themeColor="accent1"/>
        </w:rPr>
      </w:pPr>
      <w:r>
        <w:rPr>
          <w:color w:val="4F81BD" w:themeColor="accent1"/>
        </w:rPr>
        <w:t xml:space="preserve">        </w:t>
      </w:r>
      <w:r w:rsidR="007A50EA">
        <w:rPr>
          <w:noProof/>
        </w:rPr>
        <w:drawing>
          <wp:inline distT="0" distB="0" distL="0" distR="0" wp14:anchorId="155EF0E0" wp14:editId="20235DBB">
            <wp:extent cx="4962525" cy="1838325"/>
            <wp:effectExtent l="0" t="0" r="9525" b="9525"/>
            <wp:docPr id="1652663664" name="Gráfico 1">
              <a:extLst xmlns:a="http://schemas.openxmlformats.org/drawingml/2006/main">
                <a:ext uri="{FF2B5EF4-FFF2-40B4-BE49-F238E27FC236}">
                  <a16:creationId xmlns:a16="http://schemas.microsoft.com/office/drawing/2014/main" id="{4634E37F-6D5E-A8C5-453A-D3D338D21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5F34088" w14:textId="77777777" w:rsidR="00F9775E" w:rsidRDefault="00F9775E" w:rsidP="00AA12E3">
      <w:pPr>
        <w:spacing w:before="120"/>
        <w:jc w:val="center"/>
        <w:rPr>
          <w:sz w:val="16"/>
          <w:szCs w:val="16"/>
          <w:lang w:eastAsia="es-ES"/>
        </w:rPr>
      </w:pPr>
      <w:r w:rsidRPr="00F125FD">
        <w:rPr>
          <w:sz w:val="16"/>
          <w:szCs w:val="16"/>
          <w:lang w:eastAsia="es-ES"/>
        </w:rPr>
        <w:t>Fuente: Elaboración propia a partir de los precios medios nacionales del Ministerio de Agricultura, Pesca y Alimentación</w:t>
      </w:r>
    </w:p>
    <w:p w14:paraId="0A89A126" w14:textId="77777777" w:rsidR="00AB4B50" w:rsidRDefault="00AB4B50" w:rsidP="00AA12E3">
      <w:pPr>
        <w:spacing w:before="120"/>
        <w:jc w:val="center"/>
        <w:rPr>
          <w:sz w:val="16"/>
          <w:szCs w:val="16"/>
          <w:lang w:eastAsia="es-ES"/>
        </w:rPr>
      </w:pPr>
    </w:p>
    <w:p w14:paraId="18CE91BD" w14:textId="77777777" w:rsidR="00DB32A9" w:rsidRDefault="00DB32A9" w:rsidP="00AA12E3">
      <w:pPr>
        <w:rPr>
          <w:color w:val="4F81BD" w:themeColor="accent1"/>
        </w:rPr>
      </w:pPr>
    </w:p>
    <w:p w14:paraId="28487458" w14:textId="70B91E87" w:rsidR="00BD27CC" w:rsidRPr="00A92DCA" w:rsidRDefault="004603AC" w:rsidP="00AA12E3">
      <w:pPr>
        <w:spacing w:after="80"/>
        <w:contextualSpacing/>
        <w:rPr>
          <w:bCs/>
          <w:iCs/>
          <w:spacing w:val="-10"/>
          <w:kern w:val="28"/>
        </w:rPr>
      </w:pPr>
      <w:r w:rsidRPr="00A92DCA">
        <w:rPr>
          <w:bCs/>
          <w:iCs/>
          <w:spacing w:val="-10"/>
          <w:kern w:val="28"/>
        </w:rPr>
        <w:t xml:space="preserve">Respecto al precio de la </w:t>
      </w:r>
      <w:r w:rsidRPr="00AB4B50">
        <w:rPr>
          <w:b/>
          <w:iCs/>
          <w:spacing w:val="-10"/>
          <w:kern w:val="28"/>
        </w:rPr>
        <w:t>carne de conejo</w:t>
      </w:r>
      <w:r w:rsidRPr="00A92DCA">
        <w:rPr>
          <w:bCs/>
          <w:iCs/>
          <w:spacing w:val="-10"/>
          <w:kern w:val="28"/>
        </w:rPr>
        <w:t xml:space="preserve">, según los últimos datos publicados por la Subdirección General de Producciones Ganaderas y Cinegéticas del Ministerio de Agricultura, Pesca y Alimentación, en </w:t>
      </w:r>
      <w:r w:rsidR="00BD27CC" w:rsidRPr="00A92DCA">
        <w:rPr>
          <w:bCs/>
          <w:iCs/>
          <w:spacing w:val="-10"/>
          <w:kern w:val="28"/>
        </w:rPr>
        <w:t xml:space="preserve">el año 2024 </w:t>
      </w:r>
      <w:r w:rsidRPr="00A92DCA">
        <w:rPr>
          <w:bCs/>
          <w:iCs/>
          <w:spacing w:val="-10"/>
          <w:kern w:val="28"/>
        </w:rPr>
        <w:t xml:space="preserve">la carne de conejo </w:t>
      </w:r>
      <w:r w:rsidR="00BD27CC" w:rsidRPr="00A92DCA">
        <w:rPr>
          <w:bCs/>
          <w:iCs/>
          <w:spacing w:val="-10"/>
          <w:kern w:val="28"/>
        </w:rPr>
        <w:t>ha registrado, 2,355 €/Kg de media, un 7 % inferior a los registrados al año anterior, aunque siguen siendo precios notablemente altos, estando un 11% por encima de la media de los últimos 5 años</w:t>
      </w:r>
    </w:p>
    <w:p w14:paraId="5ECA9E30" w14:textId="6140B297" w:rsidR="008E4206" w:rsidRDefault="00BD27CC" w:rsidP="00AA12E3">
      <w:pPr>
        <w:spacing w:after="80"/>
        <w:contextualSpacing/>
        <w:rPr>
          <w:bCs/>
          <w:iCs/>
          <w:spacing w:val="-10"/>
          <w:kern w:val="28"/>
        </w:rPr>
      </w:pPr>
      <w:r w:rsidRPr="00A92DCA">
        <w:rPr>
          <w:bCs/>
          <w:iCs/>
          <w:spacing w:val="-10"/>
          <w:kern w:val="28"/>
        </w:rPr>
        <w:t xml:space="preserve">La producción de conejo continúa reduciéndose un año más en España, siguiendo con la tendencia descendente instaurada ya desde 2015. Concretamente, en la campaña 2024, se han sacrificado 27,5 millones de conejos, para un total de 33.927 toneladas de carne, lo que supone una caída del 8,1% y del 8,3%, respectivamente, en comparación con 2023. </w:t>
      </w:r>
    </w:p>
    <w:p w14:paraId="2A92D8DC" w14:textId="77777777" w:rsidR="00E53A9D" w:rsidRPr="00A92DCA" w:rsidRDefault="00E53A9D" w:rsidP="00AA12E3">
      <w:pPr>
        <w:spacing w:after="80"/>
        <w:contextualSpacing/>
        <w:rPr>
          <w:bCs/>
          <w:iCs/>
          <w:spacing w:val="-10"/>
          <w:kern w:val="28"/>
        </w:rPr>
      </w:pPr>
    </w:p>
    <w:p w14:paraId="074F7561" w14:textId="7AD23978" w:rsidR="00BD27CC" w:rsidRDefault="00BD27CC" w:rsidP="00AA12E3">
      <w:pPr>
        <w:spacing w:after="80"/>
        <w:contextualSpacing/>
        <w:rPr>
          <w:bCs/>
          <w:iCs/>
          <w:spacing w:val="-10"/>
          <w:kern w:val="28"/>
        </w:rPr>
      </w:pPr>
      <w:r w:rsidRPr="00A92DCA">
        <w:rPr>
          <w:bCs/>
          <w:iCs/>
          <w:spacing w:val="-10"/>
          <w:kern w:val="28"/>
        </w:rPr>
        <w:t xml:space="preserve">Por motivos de confidencialidad, dado el pequeño número de mataderos que existe en España, no se publica la producción de la mayoría de CCAA, sino que se hace por zonas de </w:t>
      </w:r>
      <w:r w:rsidRPr="00A92DCA">
        <w:rPr>
          <w:bCs/>
          <w:iCs/>
          <w:spacing w:val="-10"/>
          <w:kern w:val="28"/>
        </w:rPr>
        <w:lastRenderedPageBreak/>
        <w:t>España, donde la producción mayoritaria se concentra en la zona del Centro de España</w:t>
      </w:r>
      <w:r w:rsidR="008B077D">
        <w:rPr>
          <w:bCs/>
          <w:iCs/>
          <w:spacing w:val="-10"/>
          <w:kern w:val="28"/>
        </w:rPr>
        <w:t xml:space="preserve">, que </w:t>
      </w:r>
      <w:r w:rsidR="0070698C">
        <w:rPr>
          <w:bCs/>
          <w:iCs/>
          <w:spacing w:val="-10"/>
          <w:kern w:val="28"/>
        </w:rPr>
        <w:t>incluye Madrid, Castilla La-Mancha, Extremadura y Castilla y León</w:t>
      </w:r>
      <w:r w:rsidRPr="00A92DCA">
        <w:rPr>
          <w:bCs/>
          <w:iCs/>
          <w:spacing w:val="-10"/>
          <w:kern w:val="28"/>
        </w:rPr>
        <w:t>, con Castilla y León como principal productor.</w:t>
      </w:r>
      <w:bookmarkStart w:id="4" w:name="lacteo"/>
      <w:bookmarkEnd w:id="4"/>
    </w:p>
    <w:p w14:paraId="24E67491" w14:textId="77777777" w:rsidR="00AA12E3" w:rsidRDefault="00AA12E3" w:rsidP="00AA12E3">
      <w:pPr>
        <w:spacing w:after="80"/>
        <w:contextualSpacing/>
        <w:rPr>
          <w:bCs/>
          <w:iCs/>
          <w:spacing w:val="-10"/>
          <w:kern w:val="28"/>
        </w:rPr>
      </w:pPr>
    </w:p>
    <w:p w14:paraId="19134B6C" w14:textId="77777777" w:rsidR="00AB4B50" w:rsidRPr="00330672" w:rsidRDefault="00AB4B50" w:rsidP="00AA12E3">
      <w:pPr>
        <w:spacing w:after="80"/>
        <w:contextualSpacing/>
        <w:rPr>
          <w:bCs/>
          <w:iCs/>
          <w:spacing w:val="-10"/>
          <w:kern w:val="28"/>
        </w:rPr>
      </w:pPr>
    </w:p>
    <w:p w14:paraId="3702CE75" w14:textId="1A59EA8E" w:rsidR="001D4B57" w:rsidRDefault="001D4B57" w:rsidP="00AA12E3">
      <w:pPr>
        <w:suppressAutoHyphens/>
        <w:jc w:val="center"/>
        <w:rPr>
          <w:b/>
          <w:bCs/>
          <w:iCs/>
          <w:kern w:val="1"/>
          <w:lang w:eastAsia="ar-SA"/>
        </w:rPr>
      </w:pPr>
      <w:r>
        <w:rPr>
          <w:noProof/>
        </w:rPr>
        <w:drawing>
          <wp:inline distT="0" distB="0" distL="0" distR="0" wp14:anchorId="0687FF9D" wp14:editId="19A9AD22">
            <wp:extent cx="4133850" cy="1876425"/>
            <wp:effectExtent l="0" t="0" r="0" b="9525"/>
            <wp:docPr id="300665879" name="Gráfico 1">
              <a:extLst xmlns:a="http://schemas.openxmlformats.org/drawingml/2006/main">
                <a:ext uri="{FF2B5EF4-FFF2-40B4-BE49-F238E27FC236}">
                  <a16:creationId xmlns:a16="http://schemas.microsoft.com/office/drawing/2014/main" id="{3A6DA466-09BE-F10D-8197-F4FB6FF1F2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185D0CD" w14:textId="6EB0E1E3" w:rsidR="00E53A9D" w:rsidRDefault="00572382" w:rsidP="00AA12E3">
      <w:pPr>
        <w:spacing w:before="120"/>
        <w:jc w:val="center"/>
        <w:rPr>
          <w:sz w:val="16"/>
          <w:szCs w:val="16"/>
          <w:lang w:eastAsia="es-ES"/>
        </w:rPr>
      </w:pPr>
      <w:r w:rsidRPr="00F125FD">
        <w:rPr>
          <w:sz w:val="16"/>
          <w:szCs w:val="16"/>
          <w:lang w:eastAsia="es-ES"/>
        </w:rPr>
        <w:t>Fuente: Elaboración propia a partir de los precios medios nacionales del Ministerio de Agricultura, Pesca y Alimentación</w:t>
      </w:r>
    </w:p>
    <w:p w14:paraId="6F975A1D" w14:textId="77777777" w:rsidR="00E53A9D" w:rsidRDefault="00E53A9D" w:rsidP="00AA12E3">
      <w:pPr>
        <w:spacing w:before="120"/>
        <w:jc w:val="center"/>
        <w:rPr>
          <w:sz w:val="16"/>
          <w:szCs w:val="16"/>
          <w:lang w:eastAsia="es-ES"/>
        </w:rPr>
      </w:pPr>
    </w:p>
    <w:p w14:paraId="3EC22E35" w14:textId="77777777" w:rsidR="00AA12E3" w:rsidRDefault="00AA12E3" w:rsidP="00AA12E3">
      <w:pPr>
        <w:spacing w:before="120"/>
        <w:jc w:val="center"/>
        <w:rPr>
          <w:sz w:val="16"/>
          <w:szCs w:val="16"/>
          <w:lang w:eastAsia="es-ES"/>
        </w:rPr>
      </w:pPr>
    </w:p>
    <w:p w14:paraId="6C1A6C35" w14:textId="77777777" w:rsidR="00E53A9D" w:rsidRPr="00F125FD" w:rsidRDefault="00E53A9D" w:rsidP="00AA12E3">
      <w:pPr>
        <w:spacing w:before="120"/>
        <w:jc w:val="center"/>
        <w:rPr>
          <w:sz w:val="16"/>
          <w:szCs w:val="16"/>
          <w:lang w:eastAsia="es-ES"/>
        </w:rPr>
      </w:pPr>
    </w:p>
    <w:p w14:paraId="3428E6E2" w14:textId="0E56B1BB" w:rsidR="00F125FD" w:rsidRDefault="00F125FD" w:rsidP="00AA12E3">
      <w:pPr>
        <w:suppressAutoHyphens/>
        <w:rPr>
          <w:b/>
          <w:bCs/>
          <w:iCs/>
          <w:kern w:val="1"/>
          <w:lang w:eastAsia="ar-SA"/>
        </w:rPr>
      </w:pPr>
      <w:r w:rsidRPr="00F125FD">
        <w:rPr>
          <w:b/>
          <w:bCs/>
          <w:iCs/>
          <w:kern w:val="1"/>
          <w:lang w:eastAsia="ar-SA"/>
        </w:rPr>
        <w:t>El mercado en la producción de leche</w:t>
      </w:r>
    </w:p>
    <w:p w14:paraId="090239C3" w14:textId="77777777" w:rsidR="00C30D0E" w:rsidRDefault="00C30D0E" w:rsidP="00AA12E3">
      <w:pPr>
        <w:suppressAutoHyphens/>
        <w:rPr>
          <w:b/>
          <w:bCs/>
          <w:iCs/>
          <w:kern w:val="1"/>
          <w:lang w:eastAsia="ar-SA"/>
        </w:rPr>
      </w:pPr>
    </w:p>
    <w:p w14:paraId="3503302E" w14:textId="77777777" w:rsidR="00975CEA" w:rsidRPr="00A92DCA" w:rsidRDefault="00975CEA" w:rsidP="00AA12E3">
      <w:pPr>
        <w:rPr>
          <w:lang w:eastAsia="es-ES"/>
        </w:rPr>
      </w:pPr>
      <w:r w:rsidRPr="00A92DCA">
        <w:rPr>
          <w:bCs/>
          <w:iCs/>
          <w:kern w:val="1"/>
          <w:lang w:eastAsia="ar-SA"/>
        </w:rPr>
        <w:t xml:space="preserve">En Castilla y León, se han producido en el último año, hasta octubre, </w:t>
      </w:r>
      <w:r w:rsidRPr="00A92DCA">
        <w:rPr>
          <w:lang w:eastAsia="es-ES"/>
        </w:rPr>
        <w:t>762.748 toneladas de leche de vaca, lo cual representa un 12,31% del total de la producción nacional, un 1,17% por debajo de la producida en la comunidad en el mismo periodo del año pasado.</w:t>
      </w:r>
    </w:p>
    <w:p w14:paraId="1029F75C" w14:textId="660DB0F0" w:rsidR="00975CEA" w:rsidRDefault="00975CEA" w:rsidP="00AA12E3">
      <w:pPr>
        <w:suppressAutoHyphens/>
        <w:jc w:val="center"/>
        <w:rPr>
          <w:b/>
          <w:bCs/>
          <w:iCs/>
          <w:kern w:val="1"/>
          <w:lang w:eastAsia="ar-SA"/>
        </w:rPr>
      </w:pPr>
    </w:p>
    <w:p w14:paraId="0436419E" w14:textId="46CDCBDB" w:rsidR="00401800" w:rsidRDefault="00401800" w:rsidP="00AA12E3">
      <w:pPr>
        <w:suppressAutoHyphens/>
        <w:jc w:val="center"/>
        <w:rPr>
          <w:b/>
          <w:bCs/>
          <w:iCs/>
          <w:kern w:val="1"/>
          <w:lang w:eastAsia="ar-SA"/>
        </w:rPr>
      </w:pPr>
      <w:r>
        <w:rPr>
          <w:noProof/>
        </w:rPr>
        <w:drawing>
          <wp:inline distT="0" distB="0" distL="0" distR="0" wp14:anchorId="60126347" wp14:editId="645A8029">
            <wp:extent cx="4733925" cy="2409825"/>
            <wp:effectExtent l="0" t="0" r="9525" b="9525"/>
            <wp:docPr id="2076587493" name="Gráfico 1">
              <a:extLst xmlns:a="http://schemas.openxmlformats.org/drawingml/2006/main">
                <a:ext uri="{FF2B5EF4-FFF2-40B4-BE49-F238E27FC236}">
                  <a16:creationId xmlns:a16="http://schemas.microsoft.com/office/drawing/2014/main" id="{C1D4741C-0EC8-ACA1-1D38-8CD66A866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D01C99" w14:textId="64B9510F" w:rsidR="00401800" w:rsidRDefault="00975CEA" w:rsidP="00AA12E3">
      <w:pPr>
        <w:spacing w:before="120"/>
        <w:jc w:val="center"/>
        <w:rPr>
          <w:sz w:val="16"/>
          <w:szCs w:val="16"/>
          <w:lang w:eastAsia="es-ES"/>
        </w:rPr>
      </w:pPr>
      <w:r w:rsidRPr="00F125FD">
        <w:rPr>
          <w:sz w:val="16"/>
          <w:szCs w:val="16"/>
          <w:lang w:eastAsia="es-ES"/>
        </w:rPr>
        <w:t>Fuente: Elaboración propia a partir de datos del informe de declaraciones de entregas del MAPA</w:t>
      </w:r>
    </w:p>
    <w:p w14:paraId="16E47A95" w14:textId="77777777" w:rsidR="002C53EE" w:rsidRPr="00D81FBD" w:rsidRDefault="002C53EE" w:rsidP="00AA12E3">
      <w:pPr>
        <w:spacing w:before="120"/>
        <w:jc w:val="center"/>
        <w:rPr>
          <w:sz w:val="16"/>
          <w:szCs w:val="16"/>
          <w:lang w:eastAsia="es-ES"/>
        </w:rPr>
      </w:pPr>
    </w:p>
    <w:p w14:paraId="2AA1EEEE" w14:textId="1EC3D506" w:rsidR="00C30D0E" w:rsidRPr="00A92DCA" w:rsidRDefault="00D505AD" w:rsidP="00AA12E3">
      <w:pPr>
        <w:suppressAutoHyphens/>
        <w:rPr>
          <w:iCs/>
          <w:kern w:val="1"/>
          <w:lang w:eastAsia="ar-SA"/>
        </w:rPr>
      </w:pPr>
      <w:r w:rsidRPr="00A92DCA">
        <w:rPr>
          <w:iCs/>
          <w:kern w:val="1"/>
          <w:lang w:eastAsia="ar-SA"/>
        </w:rPr>
        <w:t>En cuanto al número de ganaderos de vacuno con entregas en Castilla y León, se ha producido un descenso del 3,9% en el periodo comprendido entre diciembre de 2024 (639) y octubre de 2025 (614).</w:t>
      </w:r>
    </w:p>
    <w:p w14:paraId="5AA24362" w14:textId="436D81C0" w:rsidR="00975CEA" w:rsidRDefault="00975CEA" w:rsidP="00AA12E3">
      <w:r w:rsidRPr="00A92DCA">
        <w:t xml:space="preserve">La leche de vaca comenzó el 2025 pagándose a 51 céntimos por litro, un 4,47% menos que en el mismo mes de 2024, donde se situaba en torno a 53 céntimos por litro. Entre enero y marzo los precios han estado por debajo del pasado año, siendo a partir de mayo cuando la leche se ha pagado por encima de los precios del 2024, </w:t>
      </w:r>
      <w:r w:rsidRPr="00A92DCA">
        <w:lastRenderedPageBreak/>
        <w:t xml:space="preserve">así en </w:t>
      </w:r>
      <w:r w:rsidR="007F7CE2">
        <w:t>noviembre</w:t>
      </w:r>
      <w:r w:rsidRPr="00A92DCA">
        <w:t xml:space="preserve"> el precio se ha situado en 55 céntimos por litro, lo cual supone un incremento 10% respecto al año pasado en esa fecha.</w:t>
      </w:r>
    </w:p>
    <w:p w14:paraId="68AA7301" w14:textId="17DCCB7D" w:rsidR="00020DB4" w:rsidRDefault="00020DB4" w:rsidP="00AA12E3">
      <w:pPr>
        <w:suppressAutoHyphens/>
        <w:jc w:val="center"/>
        <w:rPr>
          <w:b/>
          <w:bCs/>
          <w:iCs/>
          <w:kern w:val="1"/>
          <w:lang w:eastAsia="ar-SA"/>
        </w:rPr>
      </w:pPr>
    </w:p>
    <w:p w14:paraId="7207506B" w14:textId="155C41A3" w:rsidR="00872C79" w:rsidRDefault="002C53EE" w:rsidP="00AA12E3">
      <w:pPr>
        <w:suppressAutoHyphens/>
        <w:rPr>
          <w:b/>
          <w:bCs/>
          <w:iCs/>
          <w:kern w:val="1"/>
          <w:lang w:eastAsia="ar-SA"/>
        </w:rPr>
      </w:pPr>
      <w:r>
        <w:rPr>
          <w:b/>
          <w:bCs/>
          <w:iCs/>
          <w:kern w:val="1"/>
          <w:lang w:eastAsia="ar-SA"/>
        </w:rPr>
        <w:t xml:space="preserve">           </w:t>
      </w:r>
      <w:r w:rsidR="00872C79">
        <w:rPr>
          <w:noProof/>
        </w:rPr>
        <w:drawing>
          <wp:inline distT="0" distB="0" distL="0" distR="0" wp14:anchorId="25ADFE06" wp14:editId="3E90D641">
            <wp:extent cx="4400550" cy="2066925"/>
            <wp:effectExtent l="0" t="0" r="0" b="9525"/>
            <wp:docPr id="1520151609" name="Gráfico 1">
              <a:extLst xmlns:a="http://schemas.openxmlformats.org/drawingml/2006/main">
                <a:ext uri="{FF2B5EF4-FFF2-40B4-BE49-F238E27FC236}">
                  <a16:creationId xmlns:a16="http://schemas.microsoft.com/office/drawing/2014/main" id="{EDAEA1DB-7E89-3FCE-97A8-199779211E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A4BD012" w14:textId="1BB859C1" w:rsidR="004B1263" w:rsidRPr="002C53EE" w:rsidRDefault="004B1263" w:rsidP="00AA12E3">
      <w:pPr>
        <w:spacing w:before="240"/>
        <w:ind w:left="851" w:right="1276"/>
        <w:jc w:val="center"/>
        <w:rPr>
          <w:sz w:val="16"/>
          <w:szCs w:val="16"/>
        </w:rPr>
      </w:pPr>
      <w:r w:rsidRPr="002C53EE">
        <w:rPr>
          <w:sz w:val="16"/>
          <w:szCs w:val="16"/>
        </w:rPr>
        <w:t>Fuente: Elaboración propia a partir del observatorio de precios de los productos agrícolas y ganaderos de Castilla y León.</w:t>
      </w:r>
      <w:r w:rsidR="008312DF" w:rsidRPr="002C53EE">
        <w:rPr>
          <w:sz w:val="16"/>
          <w:szCs w:val="16"/>
        </w:rPr>
        <w:t xml:space="preserve"> </w:t>
      </w:r>
      <w:r w:rsidRPr="002C53EE">
        <w:rPr>
          <w:sz w:val="16"/>
          <w:szCs w:val="16"/>
        </w:rPr>
        <w:t>Precio pagado a la salida de la granja, sin incluir gastos de transporte ni impuestos directos e incluidas las bonificaciones o penalizaciones de la leche derivadas de su calidad y volumen producido.</w:t>
      </w:r>
    </w:p>
    <w:p w14:paraId="11984250" w14:textId="77777777" w:rsidR="005E24DB" w:rsidRDefault="005E24DB" w:rsidP="00AA12E3">
      <w:pPr>
        <w:rPr>
          <w:color w:val="4F81BD" w:themeColor="accent1"/>
          <w:lang w:eastAsia="ar-SA"/>
        </w:rPr>
      </w:pPr>
    </w:p>
    <w:p w14:paraId="1886C00C" w14:textId="1934A333" w:rsidR="00F125FD" w:rsidRPr="005E24DB" w:rsidRDefault="007F41AB" w:rsidP="00AA12E3">
      <w:r w:rsidRPr="00A92DCA">
        <w:rPr>
          <w:lang w:eastAsia="ar-SA"/>
        </w:rPr>
        <w:t xml:space="preserve">En el </w:t>
      </w:r>
      <w:r w:rsidRPr="00A92DCA">
        <w:rPr>
          <w:b/>
          <w:bCs/>
          <w:lang w:eastAsia="ar-SA"/>
        </w:rPr>
        <w:t>sector ovino de leche</w:t>
      </w:r>
      <w:r w:rsidRPr="00A92DCA">
        <w:rPr>
          <w:lang w:eastAsia="ar-SA"/>
        </w:rPr>
        <w:t xml:space="preserve">, </w:t>
      </w:r>
      <w:r w:rsidRPr="00A92DCA">
        <w:t>en 2025, en Castilla y León se ha obtenido una producción acumulada de leche de oveja un 4,83% inferior al periodo comprendido entre enero y octubre del año pasado, con una cifra acumulada de 154.599.206 litros de leche, que representa un 36,82% de la producción nacional.</w:t>
      </w:r>
    </w:p>
    <w:p w14:paraId="42B2664E" w14:textId="4837DA06" w:rsidR="001D0260" w:rsidRDefault="001D0260" w:rsidP="00AA12E3">
      <w:pPr>
        <w:rPr>
          <w:lang w:eastAsia="ar-SA"/>
        </w:rPr>
      </w:pPr>
    </w:p>
    <w:p w14:paraId="29E04457" w14:textId="56337B87" w:rsidR="006D4C16" w:rsidRDefault="006D4C16" w:rsidP="00AA12E3">
      <w:pPr>
        <w:jc w:val="center"/>
        <w:rPr>
          <w:lang w:eastAsia="ar-SA"/>
        </w:rPr>
      </w:pPr>
      <w:r>
        <w:rPr>
          <w:noProof/>
        </w:rPr>
        <w:drawing>
          <wp:inline distT="0" distB="0" distL="0" distR="0" wp14:anchorId="1016D245" wp14:editId="05613A3D">
            <wp:extent cx="4667250" cy="2200275"/>
            <wp:effectExtent l="0" t="0" r="0" b="9525"/>
            <wp:docPr id="1758237422" name="Gráfico 1">
              <a:extLst xmlns:a="http://schemas.openxmlformats.org/drawingml/2006/main">
                <a:ext uri="{FF2B5EF4-FFF2-40B4-BE49-F238E27FC236}">
                  <a16:creationId xmlns:a16="http://schemas.microsoft.com/office/drawing/2014/main" id="{D729777C-7899-3CE3-79D0-537ACDA8A0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66CC504" w14:textId="77777777" w:rsidR="001D0260" w:rsidRDefault="001D0260" w:rsidP="00AA12E3">
      <w:pPr>
        <w:spacing w:before="120"/>
        <w:jc w:val="center"/>
        <w:rPr>
          <w:sz w:val="16"/>
          <w:szCs w:val="16"/>
          <w:lang w:eastAsia="es-ES"/>
        </w:rPr>
      </w:pPr>
      <w:r w:rsidRPr="00F125FD">
        <w:rPr>
          <w:sz w:val="16"/>
          <w:szCs w:val="16"/>
          <w:lang w:eastAsia="es-ES"/>
        </w:rPr>
        <w:t>Fuente: Elaboración propia a partir de datos del informe de declaraciones de entregas del MAPA</w:t>
      </w:r>
    </w:p>
    <w:p w14:paraId="1ACFAE65" w14:textId="77777777" w:rsidR="00C51A0F" w:rsidRDefault="00C51A0F" w:rsidP="00AA12E3">
      <w:pPr>
        <w:rPr>
          <w:lang w:eastAsia="ar-SA"/>
        </w:rPr>
      </w:pPr>
    </w:p>
    <w:p w14:paraId="45B6A133" w14:textId="38E741AF" w:rsidR="00C51A0F" w:rsidRPr="00A92DCA" w:rsidRDefault="00C51A0F" w:rsidP="00AA12E3">
      <w:pPr>
        <w:rPr>
          <w:lang w:eastAsia="ar-SA"/>
        </w:rPr>
      </w:pPr>
      <w:r w:rsidRPr="00A92DCA">
        <w:rPr>
          <w:lang w:eastAsia="ar-SA"/>
        </w:rPr>
        <w:t xml:space="preserve">A lo largo de 2025 los precios medios han sido inferiores a los de 2024 durante la mayor parte del año, en concreto en el periodo comprendido entre los meses de enero a septiembre. Más concretamente, en el primer semestre los precios se han situado un 15% por debajo respecto al mismo periodo del año pasado, acortándose la diferencia a partir del mes de julio, </w:t>
      </w:r>
      <w:r>
        <w:rPr>
          <w:lang w:eastAsia="ar-SA"/>
        </w:rPr>
        <w:t>cuando ya la producción empieza a ser menor.</w:t>
      </w:r>
    </w:p>
    <w:p w14:paraId="7F464449" w14:textId="77777777" w:rsidR="00C51A0F" w:rsidRPr="00F125FD" w:rsidRDefault="00C51A0F" w:rsidP="00AA12E3">
      <w:pPr>
        <w:spacing w:before="120"/>
        <w:jc w:val="center"/>
        <w:rPr>
          <w:sz w:val="16"/>
          <w:szCs w:val="16"/>
          <w:lang w:eastAsia="es-ES"/>
        </w:rPr>
      </w:pPr>
    </w:p>
    <w:p w14:paraId="40451E1F" w14:textId="7CFF96E8" w:rsidR="006D507F" w:rsidRDefault="006D507F" w:rsidP="00AA12E3">
      <w:pPr>
        <w:rPr>
          <w:color w:val="4F81BD" w:themeColor="accent1"/>
        </w:rPr>
      </w:pPr>
    </w:p>
    <w:p w14:paraId="71684C3B" w14:textId="77F4483A" w:rsidR="0014446A" w:rsidRPr="001D0260" w:rsidRDefault="0014446A" w:rsidP="00AA12E3">
      <w:pPr>
        <w:jc w:val="center"/>
        <w:rPr>
          <w:color w:val="4F81BD" w:themeColor="accent1"/>
        </w:rPr>
      </w:pPr>
      <w:r>
        <w:rPr>
          <w:noProof/>
        </w:rPr>
        <w:lastRenderedPageBreak/>
        <w:drawing>
          <wp:inline distT="0" distB="0" distL="0" distR="0" wp14:anchorId="7183CD5B" wp14:editId="69649574">
            <wp:extent cx="4495800" cy="2143125"/>
            <wp:effectExtent l="0" t="0" r="0" b="9525"/>
            <wp:docPr id="461008937" name="Gráfico 1">
              <a:extLst xmlns:a="http://schemas.openxmlformats.org/drawingml/2006/main">
                <a:ext uri="{FF2B5EF4-FFF2-40B4-BE49-F238E27FC236}">
                  <a16:creationId xmlns:a16="http://schemas.microsoft.com/office/drawing/2014/main" id="{6AE6D12C-A130-56DA-5EC9-ACECA8B1B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91E3C5C" w14:textId="77777777" w:rsidR="006D507F" w:rsidRPr="00F125FD" w:rsidRDefault="006D507F" w:rsidP="00AA12E3">
      <w:pPr>
        <w:spacing w:before="120"/>
        <w:jc w:val="center"/>
        <w:rPr>
          <w:sz w:val="16"/>
          <w:szCs w:val="16"/>
          <w:lang w:eastAsia="es-ES"/>
        </w:rPr>
      </w:pPr>
      <w:r w:rsidRPr="00F125FD">
        <w:rPr>
          <w:sz w:val="16"/>
          <w:szCs w:val="16"/>
          <w:lang w:eastAsia="es-ES"/>
        </w:rPr>
        <w:t>Fuente: Elaboración propia a partir de datos del Observatorio de precios de los productos agrícolas y ganaderos de Castilla y León</w:t>
      </w:r>
    </w:p>
    <w:p w14:paraId="1F8FB43F" w14:textId="77777777" w:rsidR="00B51F2F" w:rsidRDefault="00B51F2F" w:rsidP="00AA12E3">
      <w:pPr>
        <w:rPr>
          <w:lang w:eastAsia="ar-SA"/>
        </w:rPr>
      </w:pPr>
    </w:p>
    <w:p w14:paraId="5ADD4789" w14:textId="4CA5DB6C" w:rsidR="00101DDD" w:rsidRPr="00A92DCA" w:rsidRDefault="00101DDD" w:rsidP="00AA12E3">
      <w:pPr>
        <w:rPr>
          <w:lang w:eastAsia="ar-SA"/>
        </w:rPr>
      </w:pPr>
      <w:r w:rsidRPr="00A92DCA">
        <w:rPr>
          <w:lang w:eastAsia="ar-SA"/>
        </w:rPr>
        <w:t>El número de ganaderos de ovino con entregas en Castilla y León se sitúa en octubre de 2025 en 1.279, lo que supone un 5,6% menos que hace un año</w:t>
      </w:r>
      <w:r w:rsidR="00615474" w:rsidRPr="00A92DCA">
        <w:rPr>
          <w:lang w:eastAsia="ar-SA"/>
        </w:rPr>
        <w:t>, y un 24,5%</w:t>
      </w:r>
      <w:r w:rsidR="009F2F4D">
        <w:rPr>
          <w:lang w:eastAsia="ar-SA"/>
        </w:rPr>
        <w:t xml:space="preserve"> menos</w:t>
      </w:r>
      <w:r w:rsidR="00615474" w:rsidRPr="00A92DCA">
        <w:rPr>
          <w:lang w:eastAsia="ar-SA"/>
        </w:rPr>
        <w:t xml:space="preserve"> que hace cuatro años.</w:t>
      </w:r>
    </w:p>
    <w:p w14:paraId="31449256" w14:textId="77777777" w:rsidR="001F7207" w:rsidRDefault="001F7207" w:rsidP="00AA12E3">
      <w:pPr>
        <w:suppressAutoHyphens/>
        <w:rPr>
          <w:b/>
          <w:bCs/>
          <w:iCs/>
          <w:kern w:val="1"/>
          <w:lang w:eastAsia="ar-SA"/>
        </w:rPr>
      </w:pPr>
    </w:p>
    <w:p w14:paraId="6D62B117" w14:textId="77777777" w:rsidR="00E53A9D" w:rsidRDefault="00E53A9D" w:rsidP="00AA12E3">
      <w:pPr>
        <w:suppressAutoHyphens/>
        <w:rPr>
          <w:b/>
          <w:bCs/>
          <w:iCs/>
          <w:kern w:val="1"/>
          <w:lang w:eastAsia="ar-SA"/>
        </w:rPr>
      </w:pPr>
    </w:p>
    <w:p w14:paraId="628EDE91" w14:textId="06777EB5" w:rsidR="00F125FD" w:rsidRDefault="00F125FD" w:rsidP="00AA12E3">
      <w:pPr>
        <w:suppressAutoHyphens/>
        <w:rPr>
          <w:b/>
          <w:bCs/>
          <w:iCs/>
          <w:kern w:val="1"/>
          <w:lang w:eastAsia="ar-SA"/>
        </w:rPr>
      </w:pPr>
      <w:r w:rsidRPr="00F125FD">
        <w:rPr>
          <w:b/>
          <w:bCs/>
          <w:iCs/>
          <w:kern w:val="1"/>
          <w:lang w:eastAsia="ar-SA"/>
        </w:rPr>
        <w:t>Apicultura</w:t>
      </w:r>
    </w:p>
    <w:p w14:paraId="3D5198E3" w14:textId="77777777" w:rsidR="00A77E04" w:rsidRDefault="00A77E04" w:rsidP="00AA12E3">
      <w:pPr>
        <w:suppressAutoHyphens/>
        <w:rPr>
          <w:iCs/>
          <w:color w:val="4F81BD" w:themeColor="accent1"/>
          <w:kern w:val="1"/>
          <w:lang w:eastAsia="ar-SA"/>
        </w:rPr>
      </w:pPr>
    </w:p>
    <w:p w14:paraId="3B6A91D6" w14:textId="2BBC4A88" w:rsidR="00C70AC7" w:rsidRPr="00A92DCA" w:rsidRDefault="00A77E04" w:rsidP="00AA12E3">
      <w:pPr>
        <w:suppressAutoHyphens/>
        <w:rPr>
          <w:iCs/>
          <w:kern w:val="1"/>
          <w:lang w:eastAsia="ar-SA"/>
        </w:rPr>
      </w:pPr>
      <w:r w:rsidRPr="00A92DCA">
        <w:rPr>
          <w:iCs/>
          <w:kern w:val="1"/>
          <w:lang w:eastAsia="ar-SA"/>
        </w:rPr>
        <w:t xml:space="preserve">España cuenta con 36.833 explotaciones (datos REGA, abril 2025), lo que supone un descenso del 0,2% respecto al anterior ejercicio, y de las que alrededor del 17% son profesionales (aquellas explotaciones que reúnen más de 150 colmenas). Es muy destacable este alto nivel de profesionalización de la apicultura española, ya que es el más alto de la UE. </w:t>
      </w:r>
      <w:r w:rsidR="00C70AC7" w:rsidRPr="00A92DCA">
        <w:rPr>
          <w:iCs/>
          <w:kern w:val="1"/>
          <w:lang w:eastAsia="ar-SA"/>
        </w:rPr>
        <w:t>En concreto, en Castilla y León, e</w:t>
      </w:r>
      <w:r w:rsidRPr="00A92DCA">
        <w:rPr>
          <w:iCs/>
          <w:kern w:val="1"/>
          <w:lang w:eastAsia="ar-SA"/>
        </w:rPr>
        <w:t xml:space="preserve">l número de explotaciones apícolas </w:t>
      </w:r>
      <w:r w:rsidR="00C70AC7" w:rsidRPr="00A92DCA">
        <w:rPr>
          <w:iCs/>
          <w:kern w:val="1"/>
          <w:lang w:eastAsia="ar-SA"/>
        </w:rPr>
        <w:t>ha tenido un incremento de un 52,95% en el periodo 2011/2025.</w:t>
      </w:r>
    </w:p>
    <w:p w14:paraId="03105121" w14:textId="77777777" w:rsidR="00D81FBD" w:rsidRDefault="00D81FBD" w:rsidP="00AA12E3">
      <w:pPr>
        <w:suppressAutoHyphens/>
        <w:rPr>
          <w:iCs/>
          <w:kern w:val="1"/>
          <w:lang w:eastAsia="ar-SA"/>
        </w:rPr>
      </w:pPr>
    </w:p>
    <w:p w14:paraId="44C13A5D" w14:textId="34678970" w:rsidR="00F36714" w:rsidRPr="00A92DCA" w:rsidRDefault="0046625F" w:rsidP="00AA12E3">
      <w:pPr>
        <w:suppressAutoHyphens/>
        <w:rPr>
          <w:iCs/>
          <w:kern w:val="1"/>
          <w:lang w:eastAsia="ar-SA"/>
        </w:rPr>
      </w:pPr>
      <w:r w:rsidRPr="00A92DCA">
        <w:rPr>
          <w:iCs/>
          <w:kern w:val="1"/>
          <w:lang w:eastAsia="ar-SA"/>
        </w:rPr>
        <w:t>En cuanto al censo de colmenas, sobre la base del Registro de explotaciones apícolas en España (REGA), en el mes de marzo de 2025 constan 2.783.285 colmenas, lo que supone un descenso del 0,8% respecto al año anterior.</w:t>
      </w:r>
    </w:p>
    <w:p w14:paraId="25075216" w14:textId="7E30A87A" w:rsidR="00F36714" w:rsidRPr="00A92DCA" w:rsidRDefault="0046625F" w:rsidP="00AA12E3">
      <w:pPr>
        <w:suppressAutoHyphens/>
        <w:rPr>
          <w:iCs/>
          <w:kern w:val="1"/>
          <w:lang w:eastAsia="ar-SA"/>
        </w:rPr>
      </w:pPr>
      <w:r w:rsidRPr="00A92DCA">
        <w:rPr>
          <w:iCs/>
          <w:kern w:val="1"/>
          <w:lang w:eastAsia="ar-SA"/>
        </w:rPr>
        <w:t xml:space="preserve">De éstas, el 80% son colmenas trashumantes. </w:t>
      </w:r>
      <w:r w:rsidRPr="00A92DCA">
        <w:rPr>
          <w:lang w:eastAsia="ar-SA"/>
        </w:rPr>
        <w:t>En Castilla y León, contamos en marzo de 2025 con el 15 % respecto al volumen nacional</w:t>
      </w:r>
      <w:r w:rsidR="00F36714" w:rsidRPr="00A92DCA">
        <w:rPr>
          <w:lang w:eastAsia="ar-SA"/>
        </w:rPr>
        <w:t xml:space="preserve">, concretamente, el número de explotaciones por sistema productivo es de </w:t>
      </w:r>
      <w:r w:rsidR="00F36714" w:rsidRPr="00A92DCA">
        <w:rPr>
          <w:iCs/>
          <w:kern w:val="1"/>
          <w:lang w:eastAsia="ar-SA"/>
        </w:rPr>
        <w:t>5.454 por estante y 849</w:t>
      </w:r>
      <w:r w:rsidR="00F36714" w:rsidRPr="00A92DCA">
        <w:rPr>
          <w:b/>
          <w:bCs/>
          <w:iCs/>
          <w:kern w:val="1"/>
          <w:lang w:eastAsia="ar-SA"/>
        </w:rPr>
        <w:t xml:space="preserve"> </w:t>
      </w:r>
      <w:r w:rsidR="00F36714" w:rsidRPr="00A92DCA">
        <w:rPr>
          <w:iCs/>
          <w:kern w:val="1"/>
          <w:lang w:eastAsia="ar-SA"/>
        </w:rPr>
        <w:t>en</w:t>
      </w:r>
      <w:r w:rsidR="00F36714" w:rsidRPr="00A92DCA">
        <w:rPr>
          <w:b/>
          <w:bCs/>
          <w:iCs/>
          <w:kern w:val="1"/>
          <w:lang w:eastAsia="ar-SA"/>
        </w:rPr>
        <w:t xml:space="preserve"> </w:t>
      </w:r>
      <w:r w:rsidR="00331B6C" w:rsidRPr="00A92DCA">
        <w:rPr>
          <w:iCs/>
          <w:kern w:val="1"/>
          <w:lang w:eastAsia="ar-SA"/>
        </w:rPr>
        <w:t>trashumancia</w:t>
      </w:r>
      <w:r w:rsidR="00F36714" w:rsidRPr="00A92DCA">
        <w:rPr>
          <w:iCs/>
          <w:kern w:val="1"/>
          <w:lang w:eastAsia="ar-SA"/>
        </w:rPr>
        <w:t>. (Datos REGA a 01/04/2025).</w:t>
      </w:r>
    </w:p>
    <w:p w14:paraId="0AD61428" w14:textId="77777777" w:rsidR="002C53EE" w:rsidRDefault="002C53EE" w:rsidP="00AA12E3">
      <w:pPr>
        <w:suppressAutoHyphens/>
        <w:rPr>
          <w:iCs/>
          <w:kern w:val="1"/>
          <w:lang w:eastAsia="ar-SA"/>
        </w:rPr>
      </w:pPr>
    </w:p>
    <w:p w14:paraId="511A37DB" w14:textId="19BD363A" w:rsidR="00A77E04" w:rsidRPr="00A92DCA" w:rsidRDefault="00A77E04" w:rsidP="00AA12E3">
      <w:pPr>
        <w:suppressAutoHyphens/>
        <w:rPr>
          <w:iCs/>
          <w:kern w:val="1"/>
          <w:lang w:eastAsia="ar-SA"/>
        </w:rPr>
      </w:pPr>
      <w:r w:rsidRPr="00A92DCA">
        <w:rPr>
          <w:iCs/>
          <w:kern w:val="1"/>
          <w:lang w:eastAsia="ar-SA"/>
        </w:rPr>
        <w:t xml:space="preserve">En </w:t>
      </w:r>
      <w:r w:rsidR="00F35926">
        <w:rPr>
          <w:iCs/>
          <w:kern w:val="1"/>
          <w:lang w:eastAsia="ar-SA"/>
        </w:rPr>
        <w:t xml:space="preserve">lo </w:t>
      </w:r>
      <w:r w:rsidR="00F77EBF">
        <w:rPr>
          <w:iCs/>
          <w:kern w:val="1"/>
          <w:lang w:eastAsia="ar-SA"/>
        </w:rPr>
        <w:t>referido</w:t>
      </w:r>
      <w:r w:rsidRPr="00A92DCA">
        <w:rPr>
          <w:iCs/>
          <w:kern w:val="1"/>
          <w:lang w:eastAsia="ar-SA"/>
        </w:rPr>
        <w:t xml:space="preserve"> a la distribución de la producción en el territorio nacional, Castilla y León es la segunda en producción con un 15,5% de la producción total de miel, (detrás de Andalucía, 19,4%), y seguida por Extremadura y la Comunidad Valenciana (15,3% y 13,7% respectivamente).</w:t>
      </w:r>
    </w:p>
    <w:p w14:paraId="75DD9F94" w14:textId="61F4E928" w:rsidR="00A77E04" w:rsidRPr="00A92DCA" w:rsidRDefault="00A77E04" w:rsidP="00AA12E3">
      <w:pPr>
        <w:suppressAutoHyphens/>
        <w:rPr>
          <w:iCs/>
          <w:kern w:val="1"/>
          <w:lang w:eastAsia="ar-SA"/>
        </w:rPr>
      </w:pPr>
      <w:r w:rsidRPr="00A92DCA">
        <w:rPr>
          <w:iCs/>
          <w:kern w:val="1"/>
          <w:lang w:eastAsia="ar-SA"/>
        </w:rPr>
        <w:t>Entre las 4 concentran más del 60% del total de la producción de miel en España</w:t>
      </w:r>
      <w:r w:rsidR="001F41EE">
        <w:rPr>
          <w:iCs/>
          <w:kern w:val="1"/>
          <w:lang w:eastAsia="ar-SA"/>
        </w:rPr>
        <w:t>.</w:t>
      </w:r>
    </w:p>
    <w:p w14:paraId="460270F9" w14:textId="77777777" w:rsidR="0026540F" w:rsidRDefault="0026540F" w:rsidP="00AA12E3">
      <w:pPr>
        <w:suppressAutoHyphens/>
        <w:rPr>
          <w:iCs/>
          <w:kern w:val="1"/>
          <w:lang w:eastAsia="ar-SA"/>
        </w:rPr>
      </w:pPr>
    </w:p>
    <w:p w14:paraId="1C4F4718" w14:textId="1E4BEDF7" w:rsidR="00F14C75" w:rsidRDefault="00A77E04" w:rsidP="00AA12E3">
      <w:pPr>
        <w:suppressAutoHyphens/>
        <w:rPr>
          <w:iCs/>
          <w:kern w:val="1"/>
          <w:lang w:eastAsia="ar-SA"/>
        </w:rPr>
      </w:pPr>
      <w:r w:rsidRPr="00A92DCA">
        <w:rPr>
          <w:iCs/>
          <w:kern w:val="1"/>
          <w:lang w:eastAsia="ar-SA"/>
        </w:rPr>
        <w:t>Respecto a la producción, s</w:t>
      </w:r>
      <w:r w:rsidR="0011588F" w:rsidRPr="00A92DCA">
        <w:rPr>
          <w:iCs/>
          <w:kern w:val="1"/>
          <w:lang w:eastAsia="ar-SA"/>
        </w:rPr>
        <w:t xml:space="preserve">egún los últimos datos publicados por el MAPA, </w:t>
      </w:r>
      <w:r w:rsidRPr="00A92DCA">
        <w:rPr>
          <w:iCs/>
          <w:kern w:val="1"/>
          <w:lang w:eastAsia="ar-SA"/>
        </w:rPr>
        <w:t>(</w:t>
      </w:r>
      <w:r w:rsidR="00E36D74" w:rsidRPr="00A92DCA">
        <w:rPr>
          <w:lang w:eastAsia="ar-SA"/>
        </w:rPr>
        <w:t>“indicadores económicos del sector apícola 2024”</w:t>
      </w:r>
      <w:r w:rsidRPr="00A92DCA">
        <w:rPr>
          <w:lang w:eastAsia="ar-SA"/>
        </w:rPr>
        <w:t>)</w:t>
      </w:r>
      <w:r w:rsidR="00E36D74" w:rsidRPr="00A92DCA">
        <w:rPr>
          <w:lang w:eastAsia="ar-SA"/>
        </w:rPr>
        <w:t xml:space="preserve">, </w:t>
      </w:r>
      <w:r w:rsidR="0011588F" w:rsidRPr="00A92DCA">
        <w:rPr>
          <w:iCs/>
          <w:kern w:val="1"/>
          <w:lang w:eastAsia="ar-SA"/>
        </w:rPr>
        <w:t>l</w:t>
      </w:r>
      <w:r w:rsidR="00F14C75" w:rsidRPr="00A92DCA">
        <w:rPr>
          <w:iCs/>
          <w:kern w:val="1"/>
          <w:lang w:eastAsia="ar-SA"/>
        </w:rPr>
        <w:t>a producción de miel en España se sit</w:t>
      </w:r>
      <w:r w:rsidR="00E36D74" w:rsidRPr="00A92DCA">
        <w:rPr>
          <w:iCs/>
          <w:kern w:val="1"/>
          <w:lang w:eastAsia="ar-SA"/>
        </w:rPr>
        <w:t>uaba</w:t>
      </w:r>
      <w:r w:rsidR="00F14C75" w:rsidRPr="00A92DCA">
        <w:rPr>
          <w:iCs/>
          <w:kern w:val="1"/>
          <w:lang w:eastAsia="ar-SA"/>
        </w:rPr>
        <w:t xml:space="preserve"> en 2024 en 33.134 Tm, un 20 % más que en 2023 y un nivel similar al registrado en 2021. Este repunte se produce tras dos campañas consecutivas (2022 y 2023) con mínimos históricos de producción, provocados por los intensos periodos de sequía.</w:t>
      </w:r>
    </w:p>
    <w:p w14:paraId="30DFF314" w14:textId="77777777" w:rsidR="0086414A" w:rsidRPr="00A92DCA" w:rsidRDefault="0086414A" w:rsidP="00AA12E3">
      <w:pPr>
        <w:rPr>
          <w:lang w:eastAsia="ar-SA"/>
        </w:rPr>
      </w:pPr>
    </w:p>
    <w:p w14:paraId="759D877A" w14:textId="7F3FE011" w:rsidR="0008347E" w:rsidRDefault="0086414A" w:rsidP="00AA12E3">
      <w:r w:rsidRPr="00A92DCA">
        <w:rPr>
          <w:lang w:eastAsia="ar-SA"/>
        </w:rPr>
        <w:t>En</w:t>
      </w:r>
      <w:r w:rsidR="00E56994" w:rsidRPr="00A92DCA">
        <w:rPr>
          <w:lang w:eastAsia="ar-SA"/>
        </w:rPr>
        <w:t xml:space="preserve"> cuanto a las ayudas convocadas en el sector apícola, en</w:t>
      </w:r>
      <w:r w:rsidRPr="00A92DCA">
        <w:rPr>
          <w:lang w:eastAsia="ar-SA"/>
        </w:rPr>
        <w:t xml:space="preserve"> el mes de junio se convocaron las ayudas de la </w:t>
      </w:r>
      <w:r w:rsidR="006B514C" w:rsidRPr="00A92DCA">
        <w:rPr>
          <w:lang w:eastAsia="ar-SA"/>
        </w:rPr>
        <w:t>I</w:t>
      </w:r>
      <w:r w:rsidRPr="00A92DCA">
        <w:rPr>
          <w:lang w:eastAsia="ar-SA"/>
        </w:rPr>
        <w:t xml:space="preserve">ntervención </w:t>
      </w:r>
      <w:r w:rsidR="006B514C" w:rsidRPr="00A92DCA">
        <w:rPr>
          <w:lang w:eastAsia="ar-SA"/>
        </w:rPr>
        <w:t>S</w:t>
      </w:r>
      <w:r w:rsidRPr="00A92DCA">
        <w:rPr>
          <w:lang w:eastAsia="ar-SA"/>
        </w:rPr>
        <w:t xml:space="preserve">ectorial </w:t>
      </w:r>
      <w:r w:rsidR="006B514C" w:rsidRPr="00A92DCA">
        <w:rPr>
          <w:lang w:eastAsia="ar-SA"/>
        </w:rPr>
        <w:t>A</w:t>
      </w:r>
      <w:r w:rsidRPr="00A92DCA">
        <w:rPr>
          <w:lang w:eastAsia="ar-SA"/>
        </w:rPr>
        <w:t>pícola</w:t>
      </w:r>
      <w:r w:rsidR="003B7579" w:rsidRPr="00A92DCA">
        <w:rPr>
          <w:lang w:eastAsia="ar-SA"/>
        </w:rPr>
        <w:t xml:space="preserve"> para la campaña 2025, </w:t>
      </w:r>
      <w:r w:rsidRPr="00A92DCA">
        <w:rPr>
          <w:lang w:eastAsia="ar-SA"/>
        </w:rPr>
        <w:t>en el marco del plan estratégico de la Política Agrícola Común 2023-2027 en la Comunidad de Castilla y León,</w:t>
      </w:r>
      <w:r w:rsidR="001B6EB0" w:rsidRPr="00A92DCA">
        <w:rPr>
          <w:lang w:eastAsia="ar-SA"/>
        </w:rPr>
        <w:t xml:space="preserve"> </w:t>
      </w:r>
      <w:r w:rsidR="001F41EE">
        <w:rPr>
          <w:lang w:eastAsia="ar-SA"/>
        </w:rPr>
        <w:t xml:space="preserve">así como en noviembre </w:t>
      </w:r>
      <w:r w:rsidR="0008347E" w:rsidRPr="00A92DCA">
        <w:rPr>
          <w:lang w:eastAsia="es-ES"/>
        </w:rPr>
        <w:t>se</w:t>
      </w:r>
      <w:r w:rsidR="0008347E" w:rsidRPr="00A92DCA">
        <w:rPr>
          <w:b/>
          <w:bCs/>
          <w:sz w:val="31"/>
          <w:szCs w:val="31"/>
          <w:lang w:eastAsia="es-ES"/>
        </w:rPr>
        <w:t xml:space="preserve"> </w:t>
      </w:r>
      <w:r w:rsidR="0008347E" w:rsidRPr="00A92DCA">
        <w:t xml:space="preserve">convocaron anticipadamente las subvenciones para la realización de proyectos de investigación aplicada en el sector apícola y sus productos dentro de la Intervención Sectorial Apícola, en el marco del plan estratégico de la </w:t>
      </w:r>
      <w:r w:rsidR="001F41EE">
        <w:t>PAC.</w:t>
      </w:r>
    </w:p>
    <w:p w14:paraId="701E7CB3" w14:textId="77777777" w:rsidR="00E53A9D" w:rsidRPr="00A92DCA" w:rsidRDefault="00E53A9D" w:rsidP="00AA12E3"/>
    <w:p w14:paraId="7DCEBE87" w14:textId="77777777" w:rsidR="00F125FD" w:rsidRPr="00A92DCA" w:rsidRDefault="00F125FD" w:rsidP="00AA12E3"/>
    <w:p w14:paraId="7F7044B0" w14:textId="656FCD96" w:rsidR="00F125FD" w:rsidRPr="00A92DCA" w:rsidRDefault="00F125FD" w:rsidP="00AA12E3">
      <w:pPr>
        <w:rPr>
          <w:b/>
          <w:bCs/>
        </w:rPr>
      </w:pPr>
      <w:r w:rsidRPr="00A92DCA">
        <w:rPr>
          <w:b/>
          <w:bCs/>
        </w:rPr>
        <w:t>Sa</w:t>
      </w:r>
      <w:r w:rsidR="005052FF" w:rsidRPr="00A92DCA">
        <w:rPr>
          <w:b/>
          <w:bCs/>
        </w:rPr>
        <w:t>nidad animal</w:t>
      </w:r>
    </w:p>
    <w:p w14:paraId="110819B0" w14:textId="77777777" w:rsidR="00F125FD" w:rsidRPr="00A92DCA" w:rsidRDefault="00F125FD" w:rsidP="00AA12E3">
      <w:pPr>
        <w:rPr>
          <w:b/>
          <w:bCs/>
        </w:rPr>
      </w:pPr>
    </w:p>
    <w:p w14:paraId="1DE5D5BB" w14:textId="5DE9BB63" w:rsidR="007D5DF6" w:rsidRPr="00A92DCA" w:rsidRDefault="00981D62" w:rsidP="00AA12E3">
      <w:pPr>
        <w:rPr>
          <w:bCs/>
          <w:iCs/>
        </w:rPr>
      </w:pPr>
      <w:r w:rsidRPr="00A92DCA">
        <w:rPr>
          <w:bCs/>
          <w:iCs/>
        </w:rPr>
        <w:t>En Castilla y León, en cuanto a la situación sanitaria del sector</w:t>
      </w:r>
      <w:r w:rsidR="00A61005">
        <w:rPr>
          <w:bCs/>
          <w:iCs/>
        </w:rPr>
        <w:t xml:space="preserve"> ganadero</w:t>
      </w:r>
      <w:r w:rsidRPr="00A92DCA">
        <w:rPr>
          <w:bCs/>
          <w:iCs/>
        </w:rPr>
        <w:t xml:space="preserve">, hay que destacar </w:t>
      </w:r>
      <w:r w:rsidR="000D5E63" w:rsidRPr="00A92DCA">
        <w:rPr>
          <w:bCs/>
          <w:iCs/>
        </w:rPr>
        <w:t xml:space="preserve">que 2025 se ha visto marcado por la aparición de diversos focos que han afectado tanto al ganado ovino (lengua azul), </w:t>
      </w:r>
      <w:r w:rsidR="00A61005">
        <w:rPr>
          <w:bCs/>
          <w:iCs/>
        </w:rPr>
        <w:t xml:space="preserve">al </w:t>
      </w:r>
      <w:r w:rsidR="00953420" w:rsidRPr="00A92DCA">
        <w:rPr>
          <w:bCs/>
          <w:iCs/>
        </w:rPr>
        <w:t>ganado bovino</w:t>
      </w:r>
      <w:r w:rsidR="007F41AB" w:rsidRPr="00A92DCA">
        <w:rPr>
          <w:bCs/>
          <w:iCs/>
        </w:rPr>
        <w:t xml:space="preserve"> (lengua azul,</w:t>
      </w:r>
      <w:r w:rsidR="00953420" w:rsidRPr="00A92DCA">
        <w:rPr>
          <w:bCs/>
          <w:iCs/>
        </w:rPr>
        <w:t xml:space="preserve"> EHE y tuberculosis bovina</w:t>
      </w:r>
      <w:r w:rsidR="007F41AB" w:rsidRPr="00A92DCA">
        <w:rPr>
          <w:bCs/>
          <w:iCs/>
        </w:rPr>
        <w:t>)</w:t>
      </w:r>
      <w:r w:rsidR="00953420" w:rsidRPr="00A92DCA">
        <w:rPr>
          <w:bCs/>
          <w:iCs/>
        </w:rPr>
        <w:t xml:space="preserve">, </w:t>
      </w:r>
      <w:r w:rsidR="000D5E63" w:rsidRPr="00A92DCA">
        <w:rPr>
          <w:bCs/>
          <w:iCs/>
        </w:rPr>
        <w:t xml:space="preserve">a las aves de corral (influenza aviar), y por otra parte cabe destacar </w:t>
      </w:r>
      <w:r w:rsidR="00A61005">
        <w:rPr>
          <w:bCs/>
          <w:iCs/>
        </w:rPr>
        <w:t xml:space="preserve">la aparición de la </w:t>
      </w:r>
      <w:r w:rsidR="000D5E63" w:rsidRPr="00A92DCA">
        <w:rPr>
          <w:bCs/>
          <w:iCs/>
        </w:rPr>
        <w:t>Dermatosis Nodular Contagiosa (DNC)</w:t>
      </w:r>
      <w:r w:rsidR="00AC5508" w:rsidRPr="00A92DCA">
        <w:rPr>
          <w:bCs/>
          <w:iCs/>
        </w:rPr>
        <w:t xml:space="preserve"> de los bóvidos </w:t>
      </w:r>
      <w:r w:rsidR="000D5E63" w:rsidRPr="00A92DCA">
        <w:rPr>
          <w:bCs/>
          <w:iCs/>
        </w:rPr>
        <w:t xml:space="preserve">y </w:t>
      </w:r>
      <w:r w:rsidR="00A61005">
        <w:rPr>
          <w:bCs/>
          <w:iCs/>
        </w:rPr>
        <w:t xml:space="preserve">de </w:t>
      </w:r>
      <w:r w:rsidR="000D5E63" w:rsidRPr="00A92DCA">
        <w:rPr>
          <w:bCs/>
          <w:iCs/>
        </w:rPr>
        <w:t>la peste porcina africana (PPA)</w:t>
      </w:r>
      <w:r w:rsidR="00A61005">
        <w:rPr>
          <w:bCs/>
          <w:iCs/>
        </w:rPr>
        <w:t>, detectadas ambas en la comunidad catalana, pero con afección y repercusiones en ambas cabañas ganaderas nacionales.</w:t>
      </w:r>
    </w:p>
    <w:p w14:paraId="61B3E5FB" w14:textId="77777777" w:rsidR="00BF510E" w:rsidRPr="00A92DCA" w:rsidRDefault="00BF510E" w:rsidP="00AA12E3">
      <w:pPr>
        <w:rPr>
          <w:bCs/>
          <w:iCs/>
        </w:rPr>
      </w:pPr>
    </w:p>
    <w:p w14:paraId="6CA574A2" w14:textId="5FE5E86F" w:rsidR="006A438F" w:rsidRPr="00A92DCA" w:rsidRDefault="00A61005" w:rsidP="00AA12E3">
      <w:pPr>
        <w:rPr>
          <w:bCs/>
          <w:iCs/>
        </w:rPr>
      </w:pPr>
      <w:r>
        <w:rPr>
          <w:bCs/>
          <w:iCs/>
        </w:rPr>
        <w:t xml:space="preserve">En relación </w:t>
      </w:r>
      <w:r w:rsidR="00B8044E">
        <w:rPr>
          <w:bCs/>
          <w:iCs/>
        </w:rPr>
        <w:t>con el</w:t>
      </w:r>
      <w:r w:rsidR="00B54ABE">
        <w:rPr>
          <w:bCs/>
          <w:iCs/>
        </w:rPr>
        <w:t xml:space="preserve"> Programa Nacional de </w:t>
      </w:r>
      <w:r w:rsidR="001F605B">
        <w:rPr>
          <w:bCs/>
          <w:iCs/>
        </w:rPr>
        <w:t>E</w:t>
      </w:r>
      <w:r w:rsidR="00B54ABE">
        <w:rPr>
          <w:bCs/>
          <w:iCs/>
        </w:rPr>
        <w:t xml:space="preserve">rradicación de la Tuberculosis Caprina, en enero de 2025 se publicó </w:t>
      </w:r>
      <w:r w:rsidR="001F605B">
        <w:rPr>
          <w:bCs/>
          <w:iCs/>
        </w:rPr>
        <w:t>r</w:t>
      </w:r>
      <w:r w:rsidR="00B54ABE">
        <w:rPr>
          <w:bCs/>
          <w:iCs/>
        </w:rPr>
        <w:t xml:space="preserve">esolución donde </w:t>
      </w:r>
      <w:r w:rsidR="00BF510E" w:rsidRPr="00A92DCA">
        <w:rPr>
          <w:bCs/>
          <w:iCs/>
        </w:rPr>
        <w:t>se declara</w:t>
      </w:r>
      <w:r w:rsidR="00017C82" w:rsidRPr="00A92DCA">
        <w:rPr>
          <w:bCs/>
          <w:iCs/>
        </w:rPr>
        <w:t>ba</w:t>
      </w:r>
      <w:r w:rsidR="00BF510E" w:rsidRPr="00A92DCA">
        <w:rPr>
          <w:bCs/>
          <w:iCs/>
        </w:rPr>
        <w:t xml:space="preserve"> oficialmente indemnes de tuberculosis caprina las provincias de Burgos, León, Palencia, Segovia, Soria, Valladolid y Zamora.</w:t>
      </w:r>
      <w:r w:rsidR="00017C82" w:rsidRPr="00A92DCA">
        <w:rPr>
          <w:bCs/>
          <w:iCs/>
        </w:rPr>
        <w:t xml:space="preserve"> De este modo, la frecuencia de las pruebas correspondientes se reduce a una vez cada dos años.</w:t>
      </w:r>
      <w:r w:rsidR="00B54ABE">
        <w:rPr>
          <w:bCs/>
          <w:iCs/>
        </w:rPr>
        <w:t xml:space="preserve"> </w:t>
      </w:r>
    </w:p>
    <w:p w14:paraId="6A7F7E8E" w14:textId="77777777" w:rsidR="00A02BC3" w:rsidRDefault="00A02BC3" w:rsidP="00AA12E3">
      <w:pPr>
        <w:rPr>
          <w:bCs/>
          <w:iCs/>
        </w:rPr>
      </w:pPr>
    </w:p>
    <w:p w14:paraId="601EA5A9" w14:textId="629CAE8C" w:rsidR="0087642B" w:rsidRDefault="00B54ABE" w:rsidP="00AA12E3">
      <w:pPr>
        <w:rPr>
          <w:bCs/>
          <w:iCs/>
        </w:rPr>
      </w:pPr>
      <w:r>
        <w:rPr>
          <w:bCs/>
          <w:iCs/>
        </w:rPr>
        <w:t>En cuanto al Programa de Erradicación de la Tuberculosis Bovina</w:t>
      </w:r>
      <w:r w:rsidR="001F605B">
        <w:rPr>
          <w:bCs/>
          <w:iCs/>
        </w:rPr>
        <w:t>, el resultado de la última campaña ha s</w:t>
      </w:r>
      <w:r w:rsidR="00A02BC3">
        <w:rPr>
          <w:bCs/>
          <w:iCs/>
        </w:rPr>
        <w:t>upuesto</w:t>
      </w:r>
      <w:r w:rsidR="001F605B">
        <w:rPr>
          <w:bCs/>
          <w:iCs/>
        </w:rPr>
        <w:t xml:space="preserve"> una prevalencia de 1,97, un 6,6% inferior al año anterior</w:t>
      </w:r>
      <w:r w:rsidR="00A02BC3">
        <w:rPr>
          <w:bCs/>
          <w:iCs/>
        </w:rPr>
        <w:t>, con Burgos, León y Valladolid libres de enfermedad.</w:t>
      </w:r>
    </w:p>
    <w:p w14:paraId="34D51D1A" w14:textId="77777777" w:rsidR="002C53EE" w:rsidRDefault="002C53EE" w:rsidP="00AA12E3">
      <w:pPr>
        <w:rPr>
          <w:b/>
          <w:iCs/>
        </w:rPr>
      </w:pPr>
    </w:p>
    <w:p w14:paraId="3A10921B" w14:textId="51D00824" w:rsidR="007D5DF6" w:rsidRDefault="006A438F" w:rsidP="00AA12E3">
      <w:pPr>
        <w:rPr>
          <w:b/>
          <w:iCs/>
        </w:rPr>
      </w:pPr>
      <w:r w:rsidRPr="00A92DCA">
        <w:rPr>
          <w:b/>
          <w:iCs/>
        </w:rPr>
        <w:t>Influenza aviar:</w:t>
      </w:r>
    </w:p>
    <w:p w14:paraId="3E42085A" w14:textId="77777777" w:rsidR="002973A8" w:rsidRDefault="002973A8" w:rsidP="00AA12E3">
      <w:pPr>
        <w:rPr>
          <w:b/>
          <w:iCs/>
        </w:rPr>
      </w:pPr>
    </w:p>
    <w:p w14:paraId="7C957BEA" w14:textId="0630566C" w:rsidR="005C0776" w:rsidRDefault="005C0776" w:rsidP="00AA12E3">
      <w:pPr>
        <w:rPr>
          <w:bCs/>
          <w:iCs/>
        </w:rPr>
      </w:pPr>
      <w:r>
        <w:rPr>
          <w:bCs/>
          <w:iCs/>
        </w:rPr>
        <w:t xml:space="preserve">La </w:t>
      </w:r>
      <w:r w:rsidR="00416B8F">
        <w:rPr>
          <w:bCs/>
          <w:iCs/>
        </w:rPr>
        <w:t>I</w:t>
      </w:r>
      <w:r w:rsidRPr="005C0776">
        <w:rPr>
          <w:bCs/>
          <w:iCs/>
        </w:rPr>
        <w:t xml:space="preserve">nfluenza </w:t>
      </w:r>
      <w:r w:rsidR="00416B8F">
        <w:rPr>
          <w:bCs/>
          <w:iCs/>
        </w:rPr>
        <w:t>A</w:t>
      </w:r>
      <w:r w:rsidRPr="005C0776">
        <w:rPr>
          <w:bCs/>
          <w:iCs/>
        </w:rPr>
        <w:t>viar</w:t>
      </w:r>
      <w:r>
        <w:rPr>
          <w:bCs/>
          <w:iCs/>
        </w:rPr>
        <w:t xml:space="preserve"> de alta patogenicidad</w:t>
      </w:r>
      <w:r w:rsidR="00C02F69">
        <w:rPr>
          <w:bCs/>
          <w:iCs/>
        </w:rPr>
        <w:t xml:space="preserve"> </w:t>
      </w:r>
      <w:r w:rsidR="00C02F69" w:rsidRPr="00C02F69">
        <w:rPr>
          <w:bCs/>
          <w:iCs/>
        </w:rPr>
        <w:t>(IAAP</w:t>
      </w:r>
      <w:r w:rsidR="00C02F69">
        <w:rPr>
          <w:bCs/>
          <w:iCs/>
        </w:rPr>
        <w:t>)</w:t>
      </w:r>
      <w:r w:rsidRPr="005C0776">
        <w:rPr>
          <w:bCs/>
          <w:iCs/>
        </w:rPr>
        <w:t>, también conocida como “gripe aviar”, es una enfermedad viral altamente contagiosa</w:t>
      </w:r>
      <w:r w:rsidR="004E7076">
        <w:rPr>
          <w:bCs/>
          <w:iCs/>
        </w:rPr>
        <w:t xml:space="preserve"> para las aves</w:t>
      </w:r>
      <w:r>
        <w:rPr>
          <w:bCs/>
          <w:iCs/>
        </w:rPr>
        <w:t xml:space="preserve">, </w:t>
      </w:r>
      <w:r w:rsidRPr="005C0776">
        <w:rPr>
          <w:bCs/>
          <w:iCs/>
        </w:rPr>
        <w:t>provocando signos clínicos graves y altas tasas de mortalidad</w:t>
      </w:r>
      <w:r w:rsidR="001A64EE">
        <w:rPr>
          <w:bCs/>
          <w:iCs/>
        </w:rPr>
        <w:t xml:space="preserve">, </w:t>
      </w:r>
      <w:r w:rsidR="004E7076">
        <w:rPr>
          <w:bCs/>
          <w:iCs/>
        </w:rPr>
        <w:t xml:space="preserve">siendo por ello </w:t>
      </w:r>
      <w:r w:rsidR="001A64EE">
        <w:rPr>
          <w:bCs/>
          <w:iCs/>
        </w:rPr>
        <w:t>de declaración obligatoria.</w:t>
      </w:r>
    </w:p>
    <w:p w14:paraId="2DB2DA99" w14:textId="77777777" w:rsidR="00257757" w:rsidRDefault="00257757" w:rsidP="00AA12E3">
      <w:pPr>
        <w:rPr>
          <w:bCs/>
          <w:iCs/>
        </w:rPr>
      </w:pPr>
    </w:p>
    <w:p w14:paraId="48873DBF" w14:textId="31F8997E" w:rsidR="004E7076" w:rsidRDefault="00981D62" w:rsidP="00AA12E3">
      <w:pPr>
        <w:rPr>
          <w:bCs/>
          <w:iCs/>
        </w:rPr>
      </w:pPr>
      <w:r w:rsidRPr="00A92DCA">
        <w:rPr>
          <w:bCs/>
          <w:iCs/>
        </w:rPr>
        <w:t xml:space="preserve">En 2025, Castilla y León </w:t>
      </w:r>
      <w:r w:rsidR="00416B8F">
        <w:rPr>
          <w:bCs/>
          <w:iCs/>
        </w:rPr>
        <w:t>confirmó</w:t>
      </w:r>
      <w:r w:rsidRPr="00A92DCA">
        <w:rPr>
          <w:bCs/>
          <w:iCs/>
        </w:rPr>
        <w:t xml:space="preserve"> varios focos de Influenza Aviar (IA</w:t>
      </w:r>
      <w:r w:rsidR="00C02F69">
        <w:rPr>
          <w:bCs/>
          <w:iCs/>
        </w:rPr>
        <w:t>A</w:t>
      </w:r>
      <w:r w:rsidRPr="00A92DCA">
        <w:rPr>
          <w:bCs/>
          <w:iCs/>
        </w:rPr>
        <w:t>P H5N1) en aves de corral</w:t>
      </w:r>
      <w:r w:rsidR="00AC5508" w:rsidRPr="00A92DCA">
        <w:rPr>
          <w:bCs/>
          <w:iCs/>
        </w:rPr>
        <w:t xml:space="preserve"> (considerándose que la vía más probable de introducción del virus ha sido por medio de contacto directo o indirecto con aves silvestres)</w:t>
      </w:r>
      <w:r w:rsidR="004E7076">
        <w:rPr>
          <w:bCs/>
          <w:iCs/>
        </w:rPr>
        <w:t>. E</w:t>
      </w:r>
      <w:r w:rsidR="00C02F69">
        <w:rPr>
          <w:bCs/>
          <w:iCs/>
        </w:rPr>
        <w:t xml:space="preserve">n </w:t>
      </w:r>
      <w:r w:rsidR="00C434B6">
        <w:rPr>
          <w:bCs/>
          <w:iCs/>
        </w:rPr>
        <w:t xml:space="preserve">septiembre </w:t>
      </w:r>
      <w:r w:rsidR="00C02F69">
        <w:rPr>
          <w:bCs/>
          <w:iCs/>
        </w:rPr>
        <w:t xml:space="preserve">fue detectado un foco principal </w:t>
      </w:r>
      <w:r w:rsidR="00C434B6">
        <w:rPr>
          <w:bCs/>
          <w:iCs/>
        </w:rPr>
        <w:t xml:space="preserve">en una granja de gallinas ponedoras </w:t>
      </w:r>
      <w:r w:rsidRPr="00A92DCA">
        <w:rPr>
          <w:bCs/>
          <w:iCs/>
        </w:rPr>
        <w:t xml:space="preserve">en la provincia de Valladolid (Olmedo), con un censo aproximado de 760.000 aves, </w:t>
      </w:r>
      <w:r w:rsidR="00C02F69">
        <w:rPr>
          <w:bCs/>
          <w:iCs/>
        </w:rPr>
        <w:t>sumándose a principios de octubre otros dos focos declarados por l</w:t>
      </w:r>
      <w:r w:rsidR="00C02F69" w:rsidRPr="00C02F69">
        <w:rPr>
          <w:bCs/>
          <w:iCs/>
        </w:rPr>
        <w:t>a Junta de Castilla y León, en sendas explotaciones</w:t>
      </w:r>
      <w:r w:rsidR="004E7076">
        <w:rPr>
          <w:bCs/>
          <w:iCs/>
        </w:rPr>
        <w:t xml:space="preserve"> cercanas</w:t>
      </w:r>
      <w:r w:rsidR="00C02F69" w:rsidRPr="00C02F69">
        <w:rPr>
          <w:bCs/>
          <w:iCs/>
        </w:rPr>
        <w:t>, considerados de carácter secundario al mantener vínculos epidemiológicos con el</w:t>
      </w:r>
      <w:r w:rsidR="004E7076">
        <w:rPr>
          <w:bCs/>
          <w:iCs/>
        </w:rPr>
        <w:t xml:space="preserve"> primer</w:t>
      </w:r>
      <w:r w:rsidR="00C02F69" w:rsidRPr="00C02F69">
        <w:rPr>
          <w:bCs/>
          <w:iCs/>
        </w:rPr>
        <w:t xml:space="preserve"> foco</w:t>
      </w:r>
      <w:r w:rsidR="004E7076">
        <w:rPr>
          <w:bCs/>
          <w:iCs/>
        </w:rPr>
        <w:t>.</w:t>
      </w:r>
    </w:p>
    <w:p w14:paraId="2E0286C2" w14:textId="77777777" w:rsidR="00E53A9D" w:rsidRDefault="00E53A9D" w:rsidP="00AA12E3">
      <w:pPr>
        <w:rPr>
          <w:bCs/>
          <w:iCs/>
        </w:rPr>
      </w:pPr>
    </w:p>
    <w:p w14:paraId="76D0518E" w14:textId="78831335" w:rsidR="00981D62" w:rsidRDefault="004E7076" w:rsidP="00AA12E3">
      <w:pPr>
        <w:rPr>
          <w:bCs/>
          <w:iCs/>
        </w:rPr>
      </w:pPr>
      <w:r>
        <w:rPr>
          <w:bCs/>
          <w:iCs/>
        </w:rPr>
        <w:t>Para reforzar la bioseguridad y prevenir la difusión de la influenza aviar, se dictaron la</w:t>
      </w:r>
      <w:r w:rsidR="00901800">
        <w:rPr>
          <w:bCs/>
          <w:iCs/>
        </w:rPr>
        <w:t>s</w:t>
      </w:r>
      <w:r>
        <w:rPr>
          <w:bCs/>
          <w:iCs/>
        </w:rPr>
        <w:t xml:space="preserve"> resoluciones oportunas desde la Dirección General de Producción Agrícola y Ganadera, inmovilizando granjas, sacrificando aves e implementando zonas de protección y vigilancia para controlar la enfermedad</w:t>
      </w:r>
      <w:r w:rsidR="000A31E4">
        <w:rPr>
          <w:bCs/>
          <w:iCs/>
        </w:rPr>
        <w:t>.</w:t>
      </w:r>
    </w:p>
    <w:p w14:paraId="0CDDB85E" w14:textId="77777777" w:rsidR="00EE5D81" w:rsidRDefault="00EE5D81" w:rsidP="00AA12E3">
      <w:pPr>
        <w:rPr>
          <w:bCs/>
          <w:iCs/>
        </w:rPr>
      </w:pPr>
    </w:p>
    <w:p w14:paraId="07B0CA80" w14:textId="22B8A9ED" w:rsidR="002973A8" w:rsidRDefault="002973A8" w:rsidP="00AA12E3">
      <w:pPr>
        <w:rPr>
          <w:bCs/>
          <w:iCs/>
        </w:rPr>
      </w:pPr>
      <w:r w:rsidRPr="002973A8">
        <w:rPr>
          <w:bCs/>
          <w:iCs/>
        </w:rPr>
        <w:t>En</w:t>
      </w:r>
      <w:r w:rsidR="00EE5D81">
        <w:rPr>
          <w:bCs/>
          <w:iCs/>
        </w:rPr>
        <w:t xml:space="preserve"> </w:t>
      </w:r>
      <w:r w:rsidRPr="002973A8">
        <w:rPr>
          <w:bCs/>
          <w:iCs/>
        </w:rPr>
        <w:t xml:space="preserve">España, desde el 1 de julio de 2025 </w:t>
      </w:r>
      <w:r>
        <w:rPr>
          <w:bCs/>
          <w:iCs/>
        </w:rPr>
        <w:t xml:space="preserve">hasta </w:t>
      </w:r>
      <w:r w:rsidR="00F07758">
        <w:rPr>
          <w:bCs/>
          <w:iCs/>
        </w:rPr>
        <w:t>enero de 2026</w:t>
      </w:r>
      <w:r>
        <w:rPr>
          <w:bCs/>
          <w:iCs/>
        </w:rPr>
        <w:t xml:space="preserve">, </w:t>
      </w:r>
      <w:r w:rsidRPr="002973A8">
        <w:rPr>
          <w:bCs/>
          <w:iCs/>
        </w:rPr>
        <w:t xml:space="preserve">se </w:t>
      </w:r>
      <w:r>
        <w:rPr>
          <w:bCs/>
          <w:iCs/>
        </w:rPr>
        <w:t xml:space="preserve">detectaron </w:t>
      </w:r>
      <w:r w:rsidRPr="002973A8">
        <w:rPr>
          <w:bCs/>
          <w:iCs/>
        </w:rPr>
        <w:t>un total de 1</w:t>
      </w:r>
      <w:r w:rsidR="00F07758">
        <w:rPr>
          <w:bCs/>
          <w:iCs/>
        </w:rPr>
        <w:t>6</w:t>
      </w:r>
      <w:r w:rsidRPr="002973A8">
        <w:rPr>
          <w:bCs/>
          <w:iCs/>
        </w:rPr>
        <w:t xml:space="preserve"> focos en aves de corral (7 en Castilla y León),</w:t>
      </w:r>
      <w:r w:rsidR="006B65BA">
        <w:rPr>
          <w:bCs/>
          <w:iCs/>
        </w:rPr>
        <w:t xml:space="preserve"> además de</w:t>
      </w:r>
      <w:r w:rsidRPr="002973A8">
        <w:rPr>
          <w:bCs/>
          <w:iCs/>
        </w:rPr>
        <w:t xml:space="preserve"> 4 focos en aves cautivas, 1 foco en aves de autoconsumo, y 87 casos en aves silvestres en </w:t>
      </w:r>
      <w:r w:rsidR="006B65BA">
        <w:rPr>
          <w:bCs/>
          <w:iCs/>
        </w:rPr>
        <w:t>otras CCAA.</w:t>
      </w:r>
    </w:p>
    <w:p w14:paraId="6A07B0E4" w14:textId="77777777" w:rsidR="00A1155B" w:rsidRDefault="00A1155B" w:rsidP="00AA12E3">
      <w:pPr>
        <w:rPr>
          <w:b/>
          <w:iCs/>
        </w:rPr>
      </w:pPr>
    </w:p>
    <w:p w14:paraId="3F86CCA9" w14:textId="0BE39E82" w:rsidR="00410EE8" w:rsidRPr="00A92DCA" w:rsidRDefault="00410EE8" w:rsidP="00AA12E3">
      <w:pPr>
        <w:rPr>
          <w:b/>
          <w:iCs/>
        </w:rPr>
      </w:pPr>
      <w:r w:rsidRPr="00A92DCA">
        <w:rPr>
          <w:b/>
          <w:iCs/>
        </w:rPr>
        <w:t>Legua azul:</w:t>
      </w:r>
    </w:p>
    <w:p w14:paraId="090A7AE6" w14:textId="77777777" w:rsidR="008B1F72" w:rsidRPr="00A92DCA" w:rsidRDefault="008B1F72" w:rsidP="00AA12E3">
      <w:pPr>
        <w:rPr>
          <w:bCs/>
          <w:iCs/>
        </w:rPr>
      </w:pPr>
    </w:p>
    <w:p w14:paraId="439A762D" w14:textId="26B238D6" w:rsidR="008B1F72" w:rsidRPr="00A92DCA" w:rsidRDefault="008B1F72" w:rsidP="00AA12E3">
      <w:pPr>
        <w:rPr>
          <w:bCs/>
          <w:iCs/>
        </w:rPr>
      </w:pPr>
      <w:r w:rsidRPr="00A92DCA">
        <w:rPr>
          <w:bCs/>
          <w:iCs/>
        </w:rPr>
        <w:t>En cuanto a esta enfermedad vírica</w:t>
      </w:r>
      <w:r w:rsidR="001F0CB9">
        <w:rPr>
          <w:bCs/>
          <w:iCs/>
        </w:rPr>
        <w:t xml:space="preserve"> </w:t>
      </w:r>
      <w:r w:rsidR="001F0CB9" w:rsidRPr="00183D79">
        <w:rPr>
          <w:iCs/>
        </w:rPr>
        <w:t>de declaración obligatoria</w:t>
      </w:r>
      <w:r w:rsidR="00183D79">
        <w:rPr>
          <w:bCs/>
          <w:iCs/>
        </w:rPr>
        <w:t>,</w:t>
      </w:r>
      <w:r w:rsidR="001F0CB9">
        <w:rPr>
          <w:bCs/>
          <w:iCs/>
        </w:rPr>
        <w:t xml:space="preserve"> </w:t>
      </w:r>
      <w:r w:rsidR="001F0CB9" w:rsidRPr="00A92DCA">
        <w:rPr>
          <w:bCs/>
          <w:iCs/>
        </w:rPr>
        <w:t>que afecta principalmente a rumiantes</w:t>
      </w:r>
      <w:r w:rsidR="00183D79">
        <w:rPr>
          <w:bCs/>
          <w:iCs/>
        </w:rPr>
        <w:t>,</w:t>
      </w:r>
      <w:r w:rsidRPr="00A92DCA">
        <w:rPr>
          <w:bCs/>
          <w:iCs/>
        </w:rPr>
        <w:t xml:space="preserve"> en 2025 se han seguido registrando casos en nuestra comunidad.</w:t>
      </w:r>
    </w:p>
    <w:p w14:paraId="2A3AC844" w14:textId="3E6F4ADD" w:rsidR="005052FF" w:rsidRPr="00A92DCA" w:rsidRDefault="00C964A8" w:rsidP="00AA12E3">
      <w:pPr>
        <w:rPr>
          <w:bCs/>
          <w:iCs/>
        </w:rPr>
      </w:pPr>
      <w:r w:rsidRPr="00A92DCA">
        <w:rPr>
          <w:bCs/>
          <w:iCs/>
        </w:rPr>
        <w:t xml:space="preserve">Según la </w:t>
      </w:r>
      <w:r w:rsidR="007410BF" w:rsidRPr="00A92DCA">
        <w:rPr>
          <w:bCs/>
          <w:iCs/>
        </w:rPr>
        <w:t xml:space="preserve">última </w:t>
      </w:r>
      <w:r w:rsidRPr="00A92DCA">
        <w:rPr>
          <w:bCs/>
          <w:iCs/>
        </w:rPr>
        <w:t>actualización del MAPA de noviembre de 2025, e</w:t>
      </w:r>
      <w:r w:rsidR="00410EE8" w:rsidRPr="00A92DCA">
        <w:rPr>
          <w:bCs/>
          <w:iCs/>
        </w:rPr>
        <w:t xml:space="preserve">n lo que respecta a Castilla y León, desde el 1 de abril de 2025, </w:t>
      </w:r>
      <w:r w:rsidR="0066033C">
        <w:rPr>
          <w:bCs/>
          <w:iCs/>
        </w:rPr>
        <w:t xml:space="preserve">se </w:t>
      </w:r>
      <w:r w:rsidR="00410EE8" w:rsidRPr="00A92DCA">
        <w:rPr>
          <w:bCs/>
          <w:iCs/>
        </w:rPr>
        <w:t xml:space="preserve">ha confirmado la presencia de </w:t>
      </w:r>
      <w:r w:rsidRPr="00A92DCA">
        <w:rPr>
          <w:bCs/>
          <w:iCs/>
        </w:rPr>
        <w:t>esta</w:t>
      </w:r>
      <w:r w:rsidR="00410EE8" w:rsidRPr="00A92DCA">
        <w:rPr>
          <w:bCs/>
          <w:iCs/>
        </w:rPr>
        <w:t xml:space="preserve"> enfermedad en las provincias</w:t>
      </w:r>
      <w:r w:rsidR="0066033C">
        <w:rPr>
          <w:bCs/>
          <w:iCs/>
        </w:rPr>
        <w:t xml:space="preserve"> de</w:t>
      </w:r>
      <w:r w:rsidR="00410EE8" w:rsidRPr="00A92DCA">
        <w:rPr>
          <w:bCs/>
          <w:iCs/>
        </w:rPr>
        <w:t xml:space="preserve"> Burgos, Ávila, Segovia, León, Soria, Salamanca, Zamora y Palencia, con implicación de los serotipos 1, 3, 4 y 8. </w:t>
      </w:r>
    </w:p>
    <w:p w14:paraId="72122EE0" w14:textId="1594818B" w:rsidR="0066033C" w:rsidRPr="009A63CB" w:rsidRDefault="0066033C" w:rsidP="00AA12E3">
      <w:pPr>
        <w:rPr>
          <w:bCs/>
          <w:iCs/>
        </w:rPr>
      </w:pPr>
      <w:r>
        <w:rPr>
          <w:bCs/>
          <w:iCs/>
        </w:rPr>
        <w:t xml:space="preserve">Dado que en la España peninsular se ha dejado de aplicar </w:t>
      </w:r>
      <w:r w:rsidRPr="00A92DCA">
        <w:rPr>
          <w:bCs/>
          <w:iCs/>
        </w:rPr>
        <w:t xml:space="preserve">el </w:t>
      </w:r>
      <w:r>
        <w:rPr>
          <w:bCs/>
          <w:iCs/>
        </w:rPr>
        <w:t>P</w:t>
      </w:r>
      <w:r w:rsidRPr="00A92DCA">
        <w:rPr>
          <w:bCs/>
          <w:iCs/>
        </w:rPr>
        <w:t xml:space="preserve">rograma de </w:t>
      </w:r>
      <w:r>
        <w:rPr>
          <w:bCs/>
          <w:iCs/>
        </w:rPr>
        <w:t>E</w:t>
      </w:r>
      <w:r w:rsidRPr="00A92DCA">
        <w:rPr>
          <w:bCs/>
          <w:iCs/>
        </w:rPr>
        <w:t xml:space="preserve">rradicación </w:t>
      </w:r>
      <w:r>
        <w:rPr>
          <w:bCs/>
          <w:iCs/>
        </w:rPr>
        <w:t>O</w:t>
      </w:r>
      <w:r w:rsidRPr="00A92DCA">
        <w:rPr>
          <w:bCs/>
          <w:iCs/>
        </w:rPr>
        <w:t xml:space="preserve">ficial frente a la </w:t>
      </w:r>
      <w:r>
        <w:rPr>
          <w:bCs/>
          <w:iCs/>
        </w:rPr>
        <w:t>L</w:t>
      </w:r>
      <w:r w:rsidRPr="00A92DCA">
        <w:rPr>
          <w:bCs/>
          <w:iCs/>
        </w:rPr>
        <w:t xml:space="preserve">engua </w:t>
      </w:r>
      <w:r>
        <w:rPr>
          <w:bCs/>
          <w:iCs/>
        </w:rPr>
        <w:t>A</w:t>
      </w:r>
      <w:r w:rsidRPr="00A92DCA">
        <w:rPr>
          <w:bCs/>
          <w:iCs/>
        </w:rPr>
        <w:t>zul</w:t>
      </w:r>
      <w:r>
        <w:rPr>
          <w:bCs/>
          <w:iCs/>
        </w:rPr>
        <w:t xml:space="preserve">, y no hay </w:t>
      </w:r>
      <w:r w:rsidRPr="00A92DCA">
        <w:rPr>
          <w:bCs/>
          <w:iCs/>
        </w:rPr>
        <w:t>restricciones a los movimientos</w:t>
      </w:r>
      <w:r>
        <w:rPr>
          <w:bCs/>
          <w:iCs/>
        </w:rPr>
        <w:t>, pero</w:t>
      </w:r>
      <w:r w:rsidRPr="00A92DCA">
        <w:rPr>
          <w:bCs/>
          <w:iCs/>
        </w:rPr>
        <w:t xml:space="preserve"> la actividad del vector se mantien</w:t>
      </w:r>
      <w:r>
        <w:rPr>
          <w:bCs/>
          <w:iCs/>
        </w:rPr>
        <w:t xml:space="preserve">e, es importante vacunar </w:t>
      </w:r>
      <w:r w:rsidRPr="00A92DCA">
        <w:rPr>
          <w:bCs/>
          <w:iCs/>
        </w:rPr>
        <w:t>a los animales frente a los serotipos de riesgo para reducir impacto en caso de verse afectados, con especial importancia en el sector ovino dado que es la especie más susceptible a la enfermedad clínica. Sin duda, la vacunación es la mejor herramienta para prevenir la morbilidad y mortalidad en el ganado, además de facilitar los movimientos de los animales hacia otros países</w:t>
      </w:r>
      <w:r>
        <w:rPr>
          <w:bCs/>
          <w:iCs/>
        </w:rPr>
        <w:t>.</w:t>
      </w:r>
    </w:p>
    <w:p w14:paraId="136F64C0" w14:textId="77777777" w:rsidR="001F7207" w:rsidRDefault="001F7207" w:rsidP="00AA12E3">
      <w:pPr>
        <w:rPr>
          <w:b/>
          <w:iCs/>
        </w:rPr>
      </w:pPr>
    </w:p>
    <w:p w14:paraId="519064AD" w14:textId="29254886" w:rsidR="00410EE8" w:rsidRPr="00A92DCA" w:rsidRDefault="00953420" w:rsidP="00AA12E3">
      <w:pPr>
        <w:rPr>
          <w:b/>
          <w:iCs/>
        </w:rPr>
      </w:pPr>
      <w:r w:rsidRPr="00A92DCA">
        <w:rPr>
          <w:b/>
          <w:iCs/>
        </w:rPr>
        <w:t>EHE:</w:t>
      </w:r>
      <w:r w:rsidR="00825FDD" w:rsidRPr="00A92DCA">
        <w:rPr>
          <w:b/>
          <w:iCs/>
        </w:rPr>
        <w:t xml:space="preserve"> Enfermedad Hemorrágica Epizoótica</w:t>
      </w:r>
      <w:r w:rsidR="00E53A9D">
        <w:rPr>
          <w:b/>
          <w:iCs/>
        </w:rPr>
        <w:t>:</w:t>
      </w:r>
    </w:p>
    <w:p w14:paraId="4070D969" w14:textId="77777777" w:rsidR="00953420" w:rsidRPr="00A92DCA" w:rsidRDefault="00953420" w:rsidP="00AA12E3">
      <w:pPr>
        <w:rPr>
          <w:bCs/>
          <w:iCs/>
        </w:rPr>
      </w:pPr>
    </w:p>
    <w:p w14:paraId="02748BC1" w14:textId="267968FF" w:rsidR="009208AA" w:rsidRPr="00A92DCA" w:rsidRDefault="00096BC8" w:rsidP="00AA12E3">
      <w:pPr>
        <w:rPr>
          <w:bCs/>
          <w:iCs/>
        </w:rPr>
      </w:pPr>
      <w:r>
        <w:rPr>
          <w:bCs/>
          <w:iCs/>
        </w:rPr>
        <w:t>Es</w:t>
      </w:r>
      <w:r w:rsidR="009208AA" w:rsidRPr="00A92DCA">
        <w:rPr>
          <w:bCs/>
          <w:iCs/>
        </w:rPr>
        <w:t>ta enfermedad vírica que afecta a rumiantes domésticos y silvestres,</w:t>
      </w:r>
      <w:r>
        <w:rPr>
          <w:bCs/>
          <w:iCs/>
        </w:rPr>
        <w:t xml:space="preserve"> incluida en la lista única de enfermedades de notificación obligatoria de la O</w:t>
      </w:r>
      <w:r w:rsidR="00B76972">
        <w:rPr>
          <w:bCs/>
          <w:iCs/>
        </w:rPr>
        <w:t xml:space="preserve">rganización </w:t>
      </w:r>
      <w:r>
        <w:rPr>
          <w:bCs/>
          <w:iCs/>
        </w:rPr>
        <w:t>M</w:t>
      </w:r>
      <w:r w:rsidR="00B76972">
        <w:rPr>
          <w:bCs/>
          <w:iCs/>
        </w:rPr>
        <w:t xml:space="preserve">undial de </w:t>
      </w:r>
      <w:r>
        <w:rPr>
          <w:bCs/>
          <w:iCs/>
        </w:rPr>
        <w:t>S</w:t>
      </w:r>
      <w:r w:rsidR="00B76972">
        <w:rPr>
          <w:bCs/>
          <w:iCs/>
        </w:rPr>
        <w:t xml:space="preserve">anidad </w:t>
      </w:r>
      <w:r>
        <w:rPr>
          <w:bCs/>
          <w:iCs/>
        </w:rPr>
        <w:t>A</w:t>
      </w:r>
      <w:r w:rsidR="00B76972">
        <w:rPr>
          <w:bCs/>
          <w:iCs/>
        </w:rPr>
        <w:t>nimal</w:t>
      </w:r>
      <w:r>
        <w:rPr>
          <w:bCs/>
          <w:iCs/>
        </w:rPr>
        <w:t>, en España se</w:t>
      </w:r>
      <w:r w:rsidR="009208AA" w:rsidRPr="00A92DCA">
        <w:rPr>
          <w:bCs/>
          <w:iCs/>
        </w:rPr>
        <w:t xml:space="preserve"> confirm</w:t>
      </w:r>
      <w:r>
        <w:rPr>
          <w:bCs/>
          <w:iCs/>
        </w:rPr>
        <w:t>ó</w:t>
      </w:r>
      <w:r w:rsidR="009208AA" w:rsidRPr="00A92DCA">
        <w:rPr>
          <w:bCs/>
          <w:iCs/>
        </w:rPr>
        <w:t xml:space="preserve"> por primera vez el 17 de noviembre de 2022</w:t>
      </w:r>
      <w:r w:rsidR="00B76972">
        <w:rPr>
          <w:bCs/>
          <w:iCs/>
        </w:rPr>
        <w:t>.</w:t>
      </w:r>
    </w:p>
    <w:p w14:paraId="7AFB3C28" w14:textId="1D5B51DE" w:rsidR="00EF48CC" w:rsidRPr="00A92DCA" w:rsidRDefault="00EF48CC" w:rsidP="00AA12E3">
      <w:pPr>
        <w:rPr>
          <w:bCs/>
          <w:iCs/>
        </w:rPr>
      </w:pPr>
    </w:p>
    <w:p w14:paraId="31CC4DC9" w14:textId="246D219C" w:rsidR="007C7DB6" w:rsidRDefault="00490332" w:rsidP="00AA12E3">
      <w:pPr>
        <w:rPr>
          <w:bCs/>
          <w:iCs/>
        </w:rPr>
      </w:pPr>
      <w:r w:rsidRPr="00A92DCA">
        <w:rPr>
          <w:bCs/>
          <w:iCs/>
        </w:rPr>
        <w:t>En Castilla y León</w:t>
      </w:r>
      <w:r w:rsidR="00B76972">
        <w:rPr>
          <w:bCs/>
          <w:iCs/>
        </w:rPr>
        <w:t xml:space="preserve"> afectó de lleno a partir de 2023. En el </w:t>
      </w:r>
      <w:r w:rsidRPr="00A92DCA">
        <w:rPr>
          <w:bCs/>
          <w:iCs/>
        </w:rPr>
        <w:t xml:space="preserve">periodo 2023-2024 </w:t>
      </w:r>
      <w:r w:rsidR="00B76972">
        <w:rPr>
          <w:bCs/>
          <w:iCs/>
        </w:rPr>
        <w:t xml:space="preserve">las provincias afectadas con más casos </w:t>
      </w:r>
      <w:r w:rsidRPr="00A92DCA">
        <w:rPr>
          <w:bCs/>
          <w:iCs/>
        </w:rPr>
        <w:t>fueron</w:t>
      </w:r>
      <w:r w:rsidR="00B76972">
        <w:rPr>
          <w:bCs/>
          <w:iCs/>
        </w:rPr>
        <w:t xml:space="preserve"> León (403), Burgos (303) y Soria (138).</w:t>
      </w:r>
    </w:p>
    <w:p w14:paraId="1D682283" w14:textId="588B57E3" w:rsidR="00B76972" w:rsidRPr="00A92DCA" w:rsidRDefault="00B76972" w:rsidP="00AA12E3">
      <w:pPr>
        <w:rPr>
          <w:bCs/>
          <w:iCs/>
        </w:rPr>
      </w:pPr>
      <w:r>
        <w:rPr>
          <w:bCs/>
          <w:iCs/>
        </w:rPr>
        <w:t>En 2025 no se ha notificado ni confirmado ningún caso, si bien algunos ganaderos afectados por la EHE recibieron a finales de 2024 las ayudas concedidas por la Junta para paliar los gastos por las medidas sanitarias a implementar</w:t>
      </w:r>
      <w:r w:rsidR="00650E93">
        <w:rPr>
          <w:bCs/>
          <w:iCs/>
        </w:rPr>
        <w:t xml:space="preserve"> en las explotaciones</w:t>
      </w:r>
      <w:r>
        <w:rPr>
          <w:bCs/>
          <w:iCs/>
        </w:rPr>
        <w:t xml:space="preserve"> y los fallecimientos de animales. </w:t>
      </w:r>
    </w:p>
    <w:p w14:paraId="0BC5CBC2" w14:textId="77777777" w:rsidR="00825FDD" w:rsidRPr="00A92DCA" w:rsidRDefault="00825FDD" w:rsidP="00AA12E3">
      <w:pPr>
        <w:rPr>
          <w:bCs/>
          <w:iCs/>
        </w:rPr>
      </w:pPr>
    </w:p>
    <w:p w14:paraId="4FFDB955" w14:textId="4451582D" w:rsidR="00953420" w:rsidRPr="00A92DCA" w:rsidRDefault="00953420" w:rsidP="00AA12E3">
      <w:pPr>
        <w:rPr>
          <w:b/>
          <w:iCs/>
        </w:rPr>
      </w:pPr>
      <w:r w:rsidRPr="00A92DCA">
        <w:rPr>
          <w:b/>
          <w:iCs/>
        </w:rPr>
        <w:t>Tuberculosis bovina:</w:t>
      </w:r>
    </w:p>
    <w:p w14:paraId="5F77189E" w14:textId="77777777" w:rsidR="00284EED" w:rsidRPr="00A92DCA" w:rsidRDefault="00284EED" w:rsidP="00AA12E3">
      <w:pPr>
        <w:rPr>
          <w:bCs/>
          <w:iCs/>
        </w:rPr>
      </w:pPr>
    </w:p>
    <w:p w14:paraId="3996407A" w14:textId="05357F80" w:rsidR="00953420" w:rsidRPr="00A92DCA" w:rsidRDefault="00284EED" w:rsidP="00AA12E3">
      <w:pPr>
        <w:rPr>
          <w:bCs/>
          <w:iCs/>
        </w:rPr>
      </w:pPr>
      <w:r w:rsidRPr="00A92DCA">
        <w:rPr>
          <w:bCs/>
          <w:iCs/>
        </w:rPr>
        <w:t>Según el Informe Anual Técnico del Programa Nacional de la Tuberculosis Bovina (2024), del Ministerio de Agricultura, Pesca y Alimentación, se ha producido un incremento de la prevalencia de tuberculosis bovina en las provincias de Ávila, Palencia, León, Segovia y Zamora. En Salamanca y Soria ha habido un des</w:t>
      </w:r>
      <w:r w:rsidR="00A35CAF" w:rsidRPr="00A92DCA">
        <w:rPr>
          <w:bCs/>
          <w:iCs/>
        </w:rPr>
        <w:t>c</w:t>
      </w:r>
      <w:r w:rsidRPr="00A92DCA">
        <w:rPr>
          <w:bCs/>
          <w:iCs/>
        </w:rPr>
        <w:t xml:space="preserve">enso, mientras que Burgos, León y Valladolid están libres de la enfermedad, con prevalencia 0. </w:t>
      </w:r>
    </w:p>
    <w:p w14:paraId="7570758D" w14:textId="12299EEA" w:rsidR="00953420" w:rsidRPr="00A92DCA" w:rsidRDefault="00953420" w:rsidP="00AA12E3">
      <w:pPr>
        <w:rPr>
          <w:bCs/>
          <w:iCs/>
        </w:rPr>
      </w:pPr>
      <w:r w:rsidRPr="00A92DCA">
        <w:rPr>
          <w:bCs/>
          <w:iCs/>
        </w:rPr>
        <w:t>Según la clasificación 2025 de las comarcas o unidades veterinarias de riesgo para tuberculosis</w:t>
      </w:r>
      <w:r w:rsidR="00284EED" w:rsidRPr="00A92DCA">
        <w:rPr>
          <w:bCs/>
          <w:iCs/>
        </w:rPr>
        <w:t xml:space="preserve"> </w:t>
      </w:r>
      <w:r w:rsidRPr="00A92DCA">
        <w:rPr>
          <w:bCs/>
          <w:iCs/>
        </w:rPr>
        <w:t>publicado por el MAPA, en Castilla y León, las comarcas</w:t>
      </w:r>
      <w:r w:rsidR="00CC76D7" w:rsidRPr="00A92DCA">
        <w:rPr>
          <w:bCs/>
          <w:iCs/>
        </w:rPr>
        <w:t xml:space="preserve"> ganaderas</w:t>
      </w:r>
      <w:r w:rsidRPr="00A92DCA">
        <w:rPr>
          <w:bCs/>
          <w:iCs/>
        </w:rPr>
        <w:t xml:space="preserve"> con</w:t>
      </w:r>
      <w:r w:rsidR="00CC76D7" w:rsidRPr="00A92DCA">
        <w:rPr>
          <w:bCs/>
          <w:iCs/>
        </w:rPr>
        <w:t xml:space="preserve"> especial</w:t>
      </w:r>
      <w:r w:rsidRPr="00A92DCA">
        <w:rPr>
          <w:bCs/>
          <w:iCs/>
        </w:rPr>
        <w:t xml:space="preserve"> riesgo </w:t>
      </w:r>
      <w:r w:rsidR="00CC76D7" w:rsidRPr="00A92DCA">
        <w:rPr>
          <w:bCs/>
          <w:iCs/>
        </w:rPr>
        <w:t>se ubican en Ávila (Arenas de San Pedro; Barco de Ávila, Cebreros, Navarredonda de Gredos, Sotillo de la Adrada) y Salamanca (Guijuelo y Lumbrales)</w:t>
      </w:r>
    </w:p>
    <w:p w14:paraId="0C6C947D" w14:textId="01CE43D5" w:rsidR="00953420" w:rsidRPr="00A92DCA" w:rsidRDefault="006B088B" w:rsidP="00AA12E3">
      <w:pPr>
        <w:rPr>
          <w:bCs/>
          <w:iCs/>
        </w:rPr>
      </w:pPr>
      <w:r w:rsidRPr="00A92DCA">
        <w:rPr>
          <w:bCs/>
          <w:iCs/>
        </w:rPr>
        <w:lastRenderedPageBreak/>
        <w:t xml:space="preserve">Respecto a la variación interanual, En Castilla y León la prevalencia en 2024 fue un 6,6% inferior al año anterior. </w:t>
      </w:r>
    </w:p>
    <w:p w14:paraId="41EA631F" w14:textId="77777777" w:rsidR="00AE0697" w:rsidRDefault="00AE0697" w:rsidP="00AA12E3">
      <w:pPr>
        <w:rPr>
          <w:b/>
          <w:iCs/>
        </w:rPr>
      </w:pPr>
    </w:p>
    <w:p w14:paraId="679BF043" w14:textId="165BF6AD" w:rsidR="00963C54" w:rsidRPr="00A92DCA" w:rsidRDefault="00963C54" w:rsidP="00AA12E3">
      <w:pPr>
        <w:rPr>
          <w:b/>
          <w:iCs/>
        </w:rPr>
      </w:pPr>
      <w:r w:rsidRPr="00A92DCA">
        <w:rPr>
          <w:b/>
          <w:iCs/>
        </w:rPr>
        <w:t>Medidas preventivas</w:t>
      </w:r>
      <w:r w:rsidR="008E4BF6" w:rsidRPr="00A92DCA">
        <w:rPr>
          <w:b/>
          <w:iCs/>
        </w:rPr>
        <w:t xml:space="preserve"> adoptadas en la Comunidad de Castilla y León</w:t>
      </w:r>
    </w:p>
    <w:p w14:paraId="6BC09AEF" w14:textId="77777777" w:rsidR="00963C54" w:rsidRPr="00A92DCA" w:rsidRDefault="00963C54" w:rsidP="00AA12E3">
      <w:pPr>
        <w:rPr>
          <w:bCs/>
          <w:iCs/>
        </w:rPr>
      </w:pPr>
    </w:p>
    <w:p w14:paraId="3AE9ACDC" w14:textId="5C67E82B" w:rsidR="007D5DF6" w:rsidRPr="00410EBD" w:rsidRDefault="007D5DF6" w:rsidP="00AA12E3">
      <w:pPr>
        <w:rPr>
          <w:b/>
          <w:iCs/>
        </w:rPr>
      </w:pPr>
      <w:r w:rsidRPr="00410EBD">
        <w:rPr>
          <w:b/>
          <w:iCs/>
        </w:rPr>
        <w:t>Dermatosis Nodular Contagiosa (DNC)</w:t>
      </w:r>
      <w:r w:rsidR="00FC45A5" w:rsidRPr="00410EBD">
        <w:rPr>
          <w:b/>
          <w:iCs/>
        </w:rPr>
        <w:t xml:space="preserve"> de los bóvidos</w:t>
      </w:r>
      <w:r w:rsidR="005072A8" w:rsidRPr="00410EBD">
        <w:rPr>
          <w:b/>
          <w:iCs/>
        </w:rPr>
        <w:t>:</w:t>
      </w:r>
    </w:p>
    <w:p w14:paraId="5985977C" w14:textId="77777777" w:rsidR="000D039A" w:rsidRPr="00A92DCA" w:rsidRDefault="000D039A" w:rsidP="00AA12E3">
      <w:pPr>
        <w:rPr>
          <w:b/>
          <w:iCs/>
        </w:rPr>
      </w:pPr>
    </w:p>
    <w:p w14:paraId="2FB3F60E" w14:textId="25FAE2C4" w:rsidR="006144D6" w:rsidRDefault="006144D6" w:rsidP="00AA12E3">
      <w:pPr>
        <w:rPr>
          <w:iCs/>
        </w:rPr>
      </w:pPr>
      <w:r>
        <w:rPr>
          <w:bCs/>
          <w:iCs/>
        </w:rPr>
        <w:t>La DNC de los bóvidos en una enfermedad vírica de declaración obligatoria, in</w:t>
      </w:r>
      <w:r w:rsidR="00AE0697">
        <w:rPr>
          <w:bCs/>
          <w:iCs/>
        </w:rPr>
        <w:t>c</w:t>
      </w:r>
      <w:r>
        <w:rPr>
          <w:bCs/>
          <w:iCs/>
        </w:rPr>
        <w:t>lu</w:t>
      </w:r>
      <w:r w:rsidR="00AE0697">
        <w:rPr>
          <w:bCs/>
          <w:iCs/>
        </w:rPr>
        <w:t>i</w:t>
      </w:r>
      <w:r>
        <w:rPr>
          <w:bCs/>
          <w:iCs/>
        </w:rPr>
        <w:t xml:space="preserve">da </w:t>
      </w:r>
      <w:r w:rsidRPr="00A92DCA">
        <w:rPr>
          <w:bCs/>
          <w:iCs/>
        </w:rPr>
        <w:t>en la Lista A de enfermedades de la Organización Mundial de Sanidad Animal (OMSA</w:t>
      </w:r>
      <w:r>
        <w:rPr>
          <w:bCs/>
          <w:iCs/>
        </w:rPr>
        <w:t xml:space="preserve">). En España, el primer foco </w:t>
      </w:r>
      <w:r w:rsidRPr="006144D6">
        <w:rPr>
          <w:bCs/>
          <w:iCs/>
        </w:rPr>
        <w:t xml:space="preserve">se declaró </w:t>
      </w:r>
      <w:r>
        <w:rPr>
          <w:bCs/>
          <w:iCs/>
        </w:rPr>
        <w:t xml:space="preserve">en la provincia de Gerona </w:t>
      </w:r>
      <w:r w:rsidRPr="006144D6">
        <w:rPr>
          <w:bCs/>
          <w:iCs/>
        </w:rPr>
        <w:t>el </w:t>
      </w:r>
      <w:r w:rsidRPr="006144D6">
        <w:rPr>
          <w:iCs/>
        </w:rPr>
        <w:t>3 de octubre de 2025</w:t>
      </w:r>
      <w:r>
        <w:rPr>
          <w:iCs/>
        </w:rPr>
        <w:t>, reportándose en</w:t>
      </w:r>
      <w:r w:rsidR="008233D8">
        <w:rPr>
          <w:iCs/>
        </w:rPr>
        <w:t xml:space="preserve"> España</w:t>
      </w:r>
      <w:r>
        <w:rPr>
          <w:iCs/>
        </w:rPr>
        <w:t xml:space="preserve"> un total de 1</w:t>
      </w:r>
      <w:r w:rsidR="006D5E1B">
        <w:rPr>
          <w:iCs/>
        </w:rPr>
        <w:t>8</w:t>
      </w:r>
      <w:r>
        <w:rPr>
          <w:iCs/>
        </w:rPr>
        <w:t xml:space="preserve"> focos</w:t>
      </w:r>
      <w:r w:rsidR="006D5E1B">
        <w:rPr>
          <w:iCs/>
        </w:rPr>
        <w:t xml:space="preserve"> entre octubre de 2025 y enero de 2026</w:t>
      </w:r>
      <w:r w:rsidR="008233D8">
        <w:rPr>
          <w:iCs/>
        </w:rPr>
        <w:t>, todos ellos en la provincia de Gerona.</w:t>
      </w:r>
    </w:p>
    <w:p w14:paraId="11B88415" w14:textId="2D49B609" w:rsidR="00963C54" w:rsidRDefault="006144D6" w:rsidP="00AA12E3">
      <w:pPr>
        <w:rPr>
          <w:bCs/>
          <w:iCs/>
        </w:rPr>
      </w:pPr>
      <w:r>
        <w:rPr>
          <w:iCs/>
        </w:rPr>
        <w:t>A raíz de los focos declarados en octubre en Cataluña, e</w:t>
      </w:r>
      <w:r w:rsidR="00963C54" w:rsidRPr="00A92DCA">
        <w:rPr>
          <w:bCs/>
          <w:iCs/>
        </w:rPr>
        <w:t>n Castilla y León, se han tomado medidas de prevención frente a la Dermatosis Nodular Contagiosa (DNC), cuya aparición en el territorio de Castilla y León provocaría graves consecuencias</w:t>
      </w:r>
      <w:r>
        <w:rPr>
          <w:bCs/>
          <w:iCs/>
        </w:rPr>
        <w:t xml:space="preserve"> </w:t>
      </w:r>
      <w:r w:rsidR="00963C54" w:rsidRPr="00A92DCA">
        <w:rPr>
          <w:bCs/>
          <w:iCs/>
        </w:rPr>
        <w:t>sanitarias y económicas tanto para la cabaña ganadera como para los movimientos comerciales desde la zona afectada.</w:t>
      </w:r>
    </w:p>
    <w:p w14:paraId="1CB9BA8E" w14:textId="77777777" w:rsidR="00A1155B" w:rsidRDefault="00A1155B" w:rsidP="00AA12E3">
      <w:pPr>
        <w:rPr>
          <w:bCs/>
          <w:iCs/>
        </w:rPr>
      </w:pPr>
    </w:p>
    <w:p w14:paraId="155B75E0" w14:textId="059ABFB8" w:rsidR="002B4F10" w:rsidRDefault="006144D6" w:rsidP="00AA12E3">
      <w:pPr>
        <w:rPr>
          <w:bCs/>
          <w:iCs/>
        </w:rPr>
      </w:pPr>
      <w:r>
        <w:rPr>
          <w:bCs/>
          <w:iCs/>
        </w:rPr>
        <w:t>Las medidas cautelares implementadas en Castilla y León se recogen en tres resoluciones (Resolución de 6 de noviembre</w:t>
      </w:r>
      <w:r w:rsidR="00997158">
        <w:rPr>
          <w:bCs/>
          <w:iCs/>
        </w:rPr>
        <w:t xml:space="preserve"> de 2025</w:t>
      </w:r>
      <w:r>
        <w:rPr>
          <w:bCs/>
          <w:iCs/>
        </w:rPr>
        <w:t>, Resolución de 26 de noviembre</w:t>
      </w:r>
      <w:r w:rsidR="00997158">
        <w:rPr>
          <w:bCs/>
          <w:iCs/>
        </w:rPr>
        <w:t xml:space="preserve"> de 2025 y Resolución de 2 de enero de 2026), mediante las cuales </w:t>
      </w:r>
      <w:r w:rsidR="00FC45A5" w:rsidRPr="00A92DCA">
        <w:rPr>
          <w:bCs/>
          <w:iCs/>
        </w:rPr>
        <w:t xml:space="preserve">se han venido adoptando una serie de medidas cautelares </w:t>
      </w:r>
      <w:r w:rsidR="002B4F10" w:rsidRPr="00A92DCA">
        <w:rPr>
          <w:bCs/>
          <w:iCs/>
        </w:rPr>
        <w:t>en el ámbito territorial de toda la Comunidad Autónoma de Castilla y León, (suspensión de ferias y mercados; suspensión de la celebración del Mercado Nacional de Ganados de Salamanca, vigilancia veterinaria oficial en explotaciones de ganado bovino que recibieran animales con destino a vida procedentes de zonas consideradas de riesgo</w:t>
      </w:r>
      <w:r w:rsidR="00FC45A5" w:rsidRPr="00A92DCA">
        <w:rPr>
          <w:bCs/>
          <w:iCs/>
        </w:rPr>
        <w:t xml:space="preserve"> y </w:t>
      </w:r>
      <w:r w:rsidR="002B4F10" w:rsidRPr="00A92DCA">
        <w:rPr>
          <w:bCs/>
          <w:iCs/>
        </w:rPr>
        <w:t>obligatoriedad de realizar la desinsectación de todos los vehículos de transporte de ganado que realicen movimientos de entrada de bovinos en Castilla y León)</w:t>
      </w:r>
      <w:r w:rsidR="00FC45A5" w:rsidRPr="00A92DCA">
        <w:rPr>
          <w:bCs/>
          <w:iCs/>
        </w:rPr>
        <w:t xml:space="preserve">, </w:t>
      </w:r>
      <w:r w:rsidR="002B4F10" w:rsidRPr="00A92DCA">
        <w:rPr>
          <w:bCs/>
          <w:iCs/>
        </w:rPr>
        <w:t>abri</w:t>
      </w:r>
      <w:r w:rsidR="00997158">
        <w:rPr>
          <w:bCs/>
          <w:iCs/>
        </w:rPr>
        <w:t>éndose mediante la segunda resolución</w:t>
      </w:r>
      <w:r w:rsidR="002B4F10" w:rsidRPr="00A92DCA">
        <w:rPr>
          <w:bCs/>
          <w:iCs/>
        </w:rPr>
        <w:t xml:space="preserve"> la posibilidad de celebración de mercados y ferias de cualquier especie salvo de bovinos</w:t>
      </w:r>
      <w:r w:rsidR="00997158">
        <w:rPr>
          <w:bCs/>
          <w:iCs/>
        </w:rPr>
        <w:t xml:space="preserve">, </w:t>
      </w:r>
      <w:r w:rsidR="005D2CF2" w:rsidRPr="00A92DCA">
        <w:rPr>
          <w:bCs/>
          <w:iCs/>
        </w:rPr>
        <w:t xml:space="preserve">pero </w:t>
      </w:r>
      <w:r w:rsidR="002B4F10" w:rsidRPr="00A92DCA">
        <w:rPr>
          <w:bCs/>
          <w:iCs/>
        </w:rPr>
        <w:t>manteniendo las medidas de seguridad y vigilancia relacionadas con los movimientos de animales</w:t>
      </w:r>
      <w:r w:rsidR="009E28FC">
        <w:rPr>
          <w:bCs/>
          <w:iCs/>
        </w:rPr>
        <w:t xml:space="preserve">,  medidas </w:t>
      </w:r>
      <w:r w:rsidR="008D4B64">
        <w:rPr>
          <w:bCs/>
          <w:iCs/>
        </w:rPr>
        <w:t xml:space="preserve">cautelares </w:t>
      </w:r>
      <w:r w:rsidR="009E28FC">
        <w:rPr>
          <w:bCs/>
          <w:iCs/>
        </w:rPr>
        <w:t>ampliadas</w:t>
      </w:r>
      <w:r w:rsidR="00997158">
        <w:rPr>
          <w:bCs/>
          <w:iCs/>
        </w:rPr>
        <w:t xml:space="preserve"> en la tercera resolución</w:t>
      </w:r>
      <w:r w:rsidR="009E28FC">
        <w:rPr>
          <w:bCs/>
          <w:iCs/>
        </w:rPr>
        <w:t xml:space="preserve"> hasta el 31 de enero de 2026</w:t>
      </w:r>
      <w:r w:rsidR="00997158">
        <w:rPr>
          <w:bCs/>
          <w:iCs/>
        </w:rPr>
        <w:t>.</w:t>
      </w:r>
    </w:p>
    <w:p w14:paraId="33A96BD6" w14:textId="77777777" w:rsidR="00A1155B" w:rsidRDefault="00A1155B" w:rsidP="00AA12E3">
      <w:pPr>
        <w:rPr>
          <w:bCs/>
          <w:iCs/>
        </w:rPr>
      </w:pPr>
    </w:p>
    <w:p w14:paraId="4C628BC7" w14:textId="633BD3AF" w:rsidR="002C53EE" w:rsidRPr="003E6045" w:rsidRDefault="00F776ED" w:rsidP="00AA12E3">
      <w:pPr>
        <w:rPr>
          <w:iCs/>
        </w:rPr>
      </w:pPr>
      <w:r w:rsidRPr="00A92DCA">
        <w:rPr>
          <w:iCs/>
        </w:rPr>
        <w:t>En lo que se refiere a la situación epidemiológica en España, a mediados de diciembre no se habían detectado nuevos focos desde la última notificación el pasado 24 de octubre</w:t>
      </w:r>
      <w:r w:rsidR="00746024" w:rsidRPr="00A92DCA">
        <w:rPr>
          <w:iCs/>
        </w:rPr>
        <w:t>, avanzando</w:t>
      </w:r>
      <w:r w:rsidRPr="00A92DCA">
        <w:rPr>
          <w:iCs/>
        </w:rPr>
        <w:t xml:space="preserve"> adecuadamente el plan de vacunación, con una cobertura vacunal ya próxima al 95% en la zona de vacunación II (actual zona restringida) y superior al 50% en la zona de vacunación I (fuera de la zona restringida y sin focos)</w:t>
      </w:r>
      <w:r w:rsidR="00842DD6">
        <w:rPr>
          <w:iCs/>
        </w:rPr>
        <w:t>, decidiéndose a principios de 2026 por parte de</w:t>
      </w:r>
      <w:r w:rsidR="00842DD6" w:rsidRPr="00842DD6">
        <w:rPr>
          <w:iCs/>
        </w:rPr>
        <w:t>l Comité de la Red de Alerta Sanitaria Veterinaria (RASVE)</w:t>
      </w:r>
      <w:r w:rsidR="00842DD6">
        <w:rPr>
          <w:iCs/>
        </w:rPr>
        <w:t xml:space="preserve">, </w:t>
      </w:r>
      <w:r w:rsidR="00842DD6" w:rsidRPr="00842DD6">
        <w:rPr>
          <w:iCs/>
        </w:rPr>
        <w:t>ante la evolución de la situación epidemiológica en el sur de Francia</w:t>
      </w:r>
      <w:r w:rsidR="00842DD6">
        <w:rPr>
          <w:iCs/>
        </w:rPr>
        <w:t>, ampliar la zona de vacunación I frente a la enfermedad en España</w:t>
      </w:r>
      <w:r w:rsidR="00842DD6" w:rsidRPr="00842DD6">
        <w:rPr>
          <w:iCs/>
        </w:rPr>
        <w:t xml:space="preserve">, incorporando </w:t>
      </w:r>
      <w:r w:rsidR="00997158">
        <w:rPr>
          <w:iCs/>
        </w:rPr>
        <w:t xml:space="preserve">las </w:t>
      </w:r>
      <w:r w:rsidR="00842DD6" w:rsidRPr="00842DD6">
        <w:rPr>
          <w:iCs/>
        </w:rPr>
        <w:t>comarcas de Aragón, Navarra y País Vasco más próximas a la frontera francesa</w:t>
      </w:r>
      <w:r w:rsidR="00E47C17">
        <w:rPr>
          <w:iCs/>
        </w:rPr>
        <w:t xml:space="preserve">, lo cual </w:t>
      </w:r>
      <w:r w:rsidR="00E47C17" w:rsidRPr="00E47C17">
        <w:rPr>
          <w:iCs/>
        </w:rPr>
        <w:t>inclu</w:t>
      </w:r>
      <w:r w:rsidR="00E47C17">
        <w:rPr>
          <w:iCs/>
        </w:rPr>
        <w:t>ye</w:t>
      </w:r>
      <w:r w:rsidR="00E47C17" w:rsidRPr="00E47C17">
        <w:rPr>
          <w:iCs/>
        </w:rPr>
        <w:t xml:space="preserve"> un total de 6.849 explotaciones de bovino</w:t>
      </w:r>
      <w:r w:rsidR="00E47C17">
        <w:rPr>
          <w:iCs/>
        </w:rPr>
        <w:t>.</w:t>
      </w:r>
    </w:p>
    <w:p w14:paraId="4AFE0322" w14:textId="77777777" w:rsidR="006D1634" w:rsidRDefault="006D1634" w:rsidP="00AA12E3">
      <w:pPr>
        <w:rPr>
          <w:b/>
          <w:iCs/>
        </w:rPr>
      </w:pPr>
    </w:p>
    <w:p w14:paraId="041E7B96" w14:textId="040EE89A" w:rsidR="002643A3" w:rsidRPr="00997158" w:rsidRDefault="008F6D68" w:rsidP="00AA12E3">
      <w:pPr>
        <w:rPr>
          <w:b/>
          <w:iCs/>
        </w:rPr>
      </w:pPr>
      <w:r w:rsidRPr="00997158">
        <w:rPr>
          <w:b/>
          <w:iCs/>
        </w:rPr>
        <w:t>PPA</w:t>
      </w:r>
      <w:r w:rsidR="00825FDD" w:rsidRPr="00997158">
        <w:rPr>
          <w:b/>
          <w:iCs/>
        </w:rPr>
        <w:t xml:space="preserve">: Peste </w:t>
      </w:r>
      <w:r w:rsidR="00C915D5" w:rsidRPr="00997158">
        <w:rPr>
          <w:b/>
          <w:iCs/>
        </w:rPr>
        <w:t>P</w:t>
      </w:r>
      <w:r w:rsidR="00825FDD" w:rsidRPr="00997158">
        <w:rPr>
          <w:b/>
          <w:iCs/>
        </w:rPr>
        <w:t xml:space="preserve">orcina </w:t>
      </w:r>
      <w:r w:rsidR="00C915D5" w:rsidRPr="00997158">
        <w:rPr>
          <w:b/>
          <w:iCs/>
        </w:rPr>
        <w:t>A</w:t>
      </w:r>
      <w:r w:rsidR="00825FDD" w:rsidRPr="00997158">
        <w:rPr>
          <w:b/>
          <w:iCs/>
        </w:rPr>
        <w:t>fricana</w:t>
      </w:r>
    </w:p>
    <w:p w14:paraId="10BA8B0E" w14:textId="77777777" w:rsidR="00CD3C97" w:rsidRDefault="00CD3C97" w:rsidP="00AA12E3">
      <w:pPr>
        <w:rPr>
          <w:bCs/>
          <w:iCs/>
        </w:rPr>
      </w:pPr>
    </w:p>
    <w:p w14:paraId="3DAC19A9" w14:textId="3417A0C5" w:rsidR="0045316E" w:rsidRDefault="00E73B30" w:rsidP="00AA12E3">
      <w:pPr>
        <w:rPr>
          <w:bCs/>
          <w:iCs/>
        </w:rPr>
      </w:pPr>
      <w:r w:rsidRPr="00E73B30">
        <w:rPr>
          <w:bCs/>
          <w:iCs/>
        </w:rPr>
        <w:t>La PPA es una enfermedad altamente contagiosa</w:t>
      </w:r>
      <w:r>
        <w:rPr>
          <w:bCs/>
          <w:iCs/>
        </w:rPr>
        <w:t xml:space="preserve">, </w:t>
      </w:r>
      <w:r w:rsidRPr="00E73B30">
        <w:rPr>
          <w:bCs/>
          <w:iCs/>
        </w:rPr>
        <w:t>de</w:t>
      </w:r>
      <w:r>
        <w:rPr>
          <w:bCs/>
          <w:iCs/>
        </w:rPr>
        <w:t xml:space="preserve"> </w:t>
      </w:r>
      <w:r w:rsidRPr="00E73B30">
        <w:rPr>
          <w:bCs/>
          <w:iCs/>
        </w:rPr>
        <w:t>declaración obligatoria</w:t>
      </w:r>
      <w:r>
        <w:rPr>
          <w:bCs/>
          <w:iCs/>
        </w:rPr>
        <w:t xml:space="preserve">, </w:t>
      </w:r>
      <w:r w:rsidRPr="00E73B30">
        <w:rPr>
          <w:bCs/>
          <w:iCs/>
        </w:rPr>
        <w:t>que puede provocar cuadros agudos o hiper agudos con niveles de mortalidad y morbilidad próximos al 100%</w:t>
      </w:r>
      <w:r w:rsidR="00B12720">
        <w:rPr>
          <w:bCs/>
          <w:iCs/>
        </w:rPr>
        <w:t xml:space="preserve"> en el ganado</w:t>
      </w:r>
      <w:r>
        <w:rPr>
          <w:bCs/>
          <w:iCs/>
        </w:rPr>
        <w:t>.</w:t>
      </w:r>
      <w:r w:rsidR="004B168F">
        <w:rPr>
          <w:bCs/>
          <w:iCs/>
        </w:rPr>
        <w:t xml:space="preserve"> </w:t>
      </w:r>
      <w:r w:rsidR="004B168F" w:rsidRPr="004B168F">
        <w:rPr>
          <w:bCs/>
          <w:iCs/>
        </w:rPr>
        <w:t xml:space="preserve">Actualmente no se dispone de vacunas </w:t>
      </w:r>
      <w:r w:rsidR="004B168F" w:rsidRPr="004B168F">
        <w:rPr>
          <w:bCs/>
          <w:iCs/>
        </w:rPr>
        <w:lastRenderedPageBreak/>
        <w:t>para el control de la enfermedad</w:t>
      </w:r>
      <w:r w:rsidR="0045316E">
        <w:rPr>
          <w:bCs/>
          <w:iCs/>
        </w:rPr>
        <w:t>.</w:t>
      </w:r>
      <w:r w:rsidR="00E53A9D">
        <w:rPr>
          <w:bCs/>
          <w:iCs/>
        </w:rPr>
        <w:t xml:space="preserve"> </w:t>
      </w:r>
      <w:r w:rsidR="0045316E" w:rsidRPr="00404695">
        <w:rPr>
          <w:bCs/>
          <w:iCs/>
        </w:rPr>
        <w:t xml:space="preserve">La PPA es una enfermedad no </w:t>
      </w:r>
      <w:proofErr w:type="spellStart"/>
      <w:r w:rsidR="0045316E" w:rsidRPr="00404695">
        <w:rPr>
          <w:bCs/>
          <w:iCs/>
        </w:rPr>
        <w:t>zoonósica</w:t>
      </w:r>
      <w:proofErr w:type="spellEnd"/>
      <w:r w:rsidR="0045316E" w:rsidRPr="00404695">
        <w:rPr>
          <w:bCs/>
          <w:iCs/>
        </w:rPr>
        <w:t>, es decir, las personas no son susceptibles a la infección ni por contacto con los animales ni por ingestión de productos derivados de ellos</w:t>
      </w:r>
      <w:r w:rsidR="00A1155B">
        <w:rPr>
          <w:bCs/>
          <w:iCs/>
        </w:rPr>
        <w:t>.</w:t>
      </w:r>
    </w:p>
    <w:p w14:paraId="51EA10C7" w14:textId="5E2110FA" w:rsidR="00A81E87" w:rsidRPr="00A92DCA" w:rsidRDefault="00A81E87" w:rsidP="00AA12E3">
      <w:pPr>
        <w:rPr>
          <w:bCs/>
          <w:iCs/>
        </w:rPr>
      </w:pPr>
    </w:p>
    <w:p w14:paraId="39AA702C" w14:textId="3A846067" w:rsidR="00A81E87" w:rsidRDefault="008F6D68" w:rsidP="00AA12E3">
      <w:pPr>
        <w:rPr>
          <w:bCs/>
          <w:iCs/>
        </w:rPr>
      </w:pPr>
      <w:r w:rsidRPr="00A92DCA">
        <w:rPr>
          <w:bCs/>
          <w:iCs/>
        </w:rPr>
        <w:t xml:space="preserve">En España, la situación epidemiológica actual con respecto a la </w:t>
      </w:r>
      <w:r w:rsidR="00C915D5">
        <w:rPr>
          <w:bCs/>
          <w:iCs/>
        </w:rPr>
        <w:t>P</w:t>
      </w:r>
      <w:r w:rsidR="006D317B">
        <w:rPr>
          <w:bCs/>
          <w:iCs/>
        </w:rPr>
        <w:t>este</w:t>
      </w:r>
      <w:r w:rsidRPr="00A92DCA">
        <w:rPr>
          <w:bCs/>
          <w:iCs/>
        </w:rPr>
        <w:t xml:space="preserve"> </w:t>
      </w:r>
      <w:r w:rsidR="00C915D5">
        <w:rPr>
          <w:bCs/>
          <w:iCs/>
        </w:rPr>
        <w:t>P</w:t>
      </w:r>
      <w:r w:rsidRPr="00A92DCA">
        <w:rPr>
          <w:bCs/>
          <w:iCs/>
        </w:rPr>
        <w:t xml:space="preserve">orcina </w:t>
      </w:r>
      <w:r w:rsidR="00C915D5">
        <w:rPr>
          <w:bCs/>
          <w:iCs/>
        </w:rPr>
        <w:t>A</w:t>
      </w:r>
      <w:r w:rsidRPr="00A92DCA">
        <w:rPr>
          <w:bCs/>
          <w:iCs/>
        </w:rPr>
        <w:t>fricana</w:t>
      </w:r>
      <w:r w:rsidR="00404B3E" w:rsidRPr="00A92DCA">
        <w:rPr>
          <w:bCs/>
          <w:iCs/>
        </w:rPr>
        <w:t>,</w:t>
      </w:r>
      <w:r w:rsidR="00330672">
        <w:rPr>
          <w:bCs/>
          <w:iCs/>
        </w:rPr>
        <w:t xml:space="preserve"> </w:t>
      </w:r>
      <w:r w:rsidRPr="00A92DCA">
        <w:rPr>
          <w:bCs/>
          <w:iCs/>
        </w:rPr>
        <w:t>ha ocasionado que se tomen medidas preventivas de control, tras la confirmación de un brote</w:t>
      </w:r>
      <w:r w:rsidR="00430C85">
        <w:rPr>
          <w:bCs/>
          <w:iCs/>
        </w:rPr>
        <w:t xml:space="preserve"> inicial</w:t>
      </w:r>
      <w:r w:rsidRPr="00A92DCA">
        <w:rPr>
          <w:bCs/>
          <w:iCs/>
        </w:rPr>
        <w:t xml:space="preserve"> de dicha enfermedad en </w:t>
      </w:r>
      <w:r w:rsidR="00B12720">
        <w:rPr>
          <w:bCs/>
          <w:iCs/>
        </w:rPr>
        <w:t xml:space="preserve">jabalíes </w:t>
      </w:r>
      <w:r w:rsidRPr="00A92DCA">
        <w:rPr>
          <w:bCs/>
          <w:iCs/>
        </w:rPr>
        <w:t>en la Comunidad Autónoma de Cataluña el 28 de noviembre de 2025</w:t>
      </w:r>
      <w:r w:rsidR="00430C85">
        <w:rPr>
          <w:bCs/>
          <w:iCs/>
        </w:rPr>
        <w:t>,</w:t>
      </w:r>
      <w:r w:rsidR="00D05E34">
        <w:rPr>
          <w:bCs/>
          <w:iCs/>
        </w:rPr>
        <w:t xml:space="preserve"> con un total de </w:t>
      </w:r>
      <w:r w:rsidR="00D05E34" w:rsidRPr="00D05E34">
        <w:rPr>
          <w:bCs/>
          <w:iCs/>
        </w:rPr>
        <w:t>15</w:t>
      </w:r>
      <w:r w:rsidR="00D05E34">
        <w:rPr>
          <w:bCs/>
          <w:iCs/>
        </w:rPr>
        <w:t xml:space="preserve"> </w:t>
      </w:r>
      <w:r w:rsidR="00D05E34" w:rsidRPr="00D05E34">
        <w:rPr>
          <w:bCs/>
          <w:iCs/>
        </w:rPr>
        <w:t xml:space="preserve">focos notificados </w:t>
      </w:r>
      <w:r w:rsidR="00C23F8C">
        <w:rPr>
          <w:bCs/>
          <w:iCs/>
        </w:rPr>
        <w:t>hasta enero de 2026</w:t>
      </w:r>
      <w:r w:rsidR="00D05E34">
        <w:rPr>
          <w:bCs/>
          <w:iCs/>
        </w:rPr>
        <w:t xml:space="preserve"> y </w:t>
      </w:r>
      <w:r w:rsidR="00D05E34" w:rsidRPr="00D05E34">
        <w:rPr>
          <w:bCs/>
          <w:iCs/>
        </w:rPr>
        <w:t>60 animales positivos</w:t>
      </w:r>
      <w:r w:rsidR="007E4B40">
        <w:rPr>
          <w:bCs/>
          <w:iCs/>
        </w:rPr>
        <w:t>.</w:t>
      </w:r>
      <w:r w:rsidR="00020DB4">
        <w:rPr>
          <w:bCs/>
          <w:iCs/>
        </w:rPr>
        <w:t xml:space="preserve">         </w:t>
      </w:r>
    </w:p>
    <w:p w14:paraId="1E54AAD6" w14:textId="77777777" w:rsidR="001C31A6" w:rsidRDefault="001C31A6" w:rsidP="00AA12E3">
      <w:pPr>
        <w:rPr>
          <w:bCs/>
          <w:iCs/>
        </w:rPr>
      </w:pPr>
    </w:p>
    <w:p w14:paraId="0A052FDC" w14:textId="77381726" w:rsidR="008F6D68" w:rsidRPr="00E53A9D" w:rsidRDefault="00A72967" w:rsidP="00AA12E3">
      <w:pPr>
        <w:rPr>
          <w:bCs/>
          <w:iCs/>
        </w:rPr>
      </w:pPr>
      <w:r>
        <w:rPr>
          <w:bCs/>
          <w:iCs/>
        </w:rPr>
        <w:t>En cuanto al marco reglamentario, d</w:t>
      </w:r>
      <w:r w:rsidRPr="00A72967">
        <w:rPr>
          <w:bCs/>
          <w:iCs/>
        </w:rPr>
        <w:t>entro de la estrategia para manejar el riesgo de la Peste Porcina Africana, se integran una serie de medidas establecidas tanto a nivel de la Unión Europea</w:t>
      </w:r>
      <w:r w:rsidR="00EE2A9B">
        <w:rPr>
          <w:bCs/>
          <w:iCs/>
        </w:rPr>
        <w:t>,</w:t>
      </w:r>
      <w:r w:rsidRPr="00A72967">
        <w:rPr>
          <w:bCs/>
          <w:iCs/>
        </w:rPr>
        <w:t xml:space="preserve"> como a nivel naciona</w:t>
      </w:r>
      <w:r>
        <w:rPr>
          <w:bCs/>
          <w:iCs/>
        </w:rPr>
        <w:t>l y autonómico.</w:t>
      </w:r>
      <w:r w:rsidR="00E53A9D">
        <w:rPr>
          <w:bCs/>
          <w:iCs/>
        </w:rPr>
        <w:t xml:space="preserve"> </w:t>
      </w:r>
      <w:r w:rsidR="009874A7">
        <w:rPr>
          <w:bCs/>
          <w:iCs/>
        </w:rPr>
        <w:t>E</w:t>
      </w:r>
      <w:r w:rsidR="00404B3E" w:rsidRPr="00A92DCA">
        <w:rPr>
          <w:bCs/>
          <w:iCs/>
        </w:rPr>
        <w:t xml:space="preserve">n Castilla y León, </w:t>
      </w:r>
      <w:r w:rsidR="00CA24F5" w:rsidRPr="00A92DCA">
        <w:rPr>
          <w:bCs/>
          <w:iCs/>
        </w:rPr>
        <w:t>como medida preventiva frente a</w:t>
      </w:r>
      <w:r w:rsidR="00404B3E" w:rsidRPr="00A92DCA">
        <w:rPr>
          <w:bCs/>
          <w:iCs/>
        </w:rPr>
        <w:t xml:space="preserve"> la </w:t>
      </w:r>
      <w:r w:rsidR="00C915D5">
        <w:rPr>
          <w:bCs/>
          <w:iCs/>
        </w:rPr>
        <w:t>P</w:t>
      </w:r>
      <w:r w:rsidR="00404B3E" w:rsidRPr="00A92DCA">
        <w:rPr>
          <w:bCs/>
          <w:iCs/>
        </w:rPr>
        <w:t xml:space="preserve">este </w:t>
      </w:r>
      <w:r w:rsidR="00C915D5">
        <w:rPr>
          <w:bCs/>
          <w:iCs/>
        </w:rPr>
        <w:t>P</w:t>
      </w:r>
      <w:r w:rsidR="00404B3E" w:rsidRPr="00A92DCA">
        <w:rPr>
          <w:bCs/>
          <w:iCs/>
        </w:rPr>
        <w:t xml:space="preserve">orcina </w:t>
      </w:r>
      <w:r w:rsidR="00D80907">
        <w:rPr>
          <w:bCs/>
          <w:iCs/>
        </w:rPr>
        <w:t>A</w:t>
      </w:r>
      <w:r w:rsidR="00404B3E" w:rsidRPr="00A92DCA">
        <w:rPr>
          <w:bCs/>
          <w:iCs/>
        </w:rPr>
        <w:t xml:space="preserve">fricana, se </w:t>
      </w:r>
      <w:r w:rsidR="00311B7E">
        <w:rPr>
          <w:bCs/>
          <w:iCs/>
        </w:rPr>
        <w:t>declaró</w:t>
      </w:r>
      <w:r w:rsidR="00404B3E" w:rsidRPr="00A92DCA">
        <w:rPr>
          <w:bCs/>
          <w:iCs/>
        </w:rPr>
        <w:t xml:space="preserve"> la emergencia cinegética por jabalí </w:t>
      </w:r>
      <w:r w:rsidR="00CA24F5" w:rsidRPr="00A92DCA">
        <w:rPr>
          <w:iCs/>
        </w:rPr>
        <w:t>y sus hibridaciones</w:t>
      </w:r>
      <w:r w:rsidR="00CA24F5" w:rsidRPr="00A92DCA">
        <w:rPr>
          <w:bCs/>
          <w:iCs/>
        </w:rPr>
        <w:t xml:space="preserve"> el 11 de diciembre de 2025, </w:t>
      </w:r>
      <w:r w:rsidR="00404B3E" w:rsidRPr="00A92DCA">
        <w:rPr>
          <w:bCs/>
          <w:iCs/>
        </w:rPr>
        <w:t xml:space="preserve">hasta al menos el 28 de febrero de 2027, </w:t>
      </w:r>
      <w:r w:rsidR="00404B3E" w:rsidRPr="00A92DCA">
        <w:rPr>
          <w:iCs/>
        </w:rPr>
        <w:t>con medidas de seguimiento y control poblacional del jabalí en los cotos</w:t>
      </w:r>
      <w:r w:rsidR="00CC02C4" w:rsidRPr="00A92DCA">
        <w:rPr>
          <w:iCs/>
        </w:rPr>
        <w:t xml:space="preserve"> de caza</w:t>
      </w:r>
      <w:r w:rsidR="00404B3E" w:rsidRPr="00A92DCA">
        <w:rPr>
          <w:iCs/>
        </w:rPr>
        <w:t xml:space="preserve"> de la comunidad</w:t>
      </w:r>
      <w:r w:rsidR="001C31A6">
        <w:rPr>
          <w:iCs/>
        </w:rPr>
        <w:t xml:space="preserve">, </w:t>
      </w:r>
      <w:r w:rsidR="00615114">
        <w:rPr>
          <w:iCs/>
        </w:rPr>
        <w:t>lo cual supone eliminar la</w:t>
      </w:r>
      <w:r w:rsidR="00EE36FC">
        <w:rPr>
          <w:iCs/>
        </w:rPr>
        <w:t>s</w:t>
      </w:r>
      <w:r w:rsidR="00615114">
        <w:rPr>
          <w:iCs/>
        </w:rPr>
        <w:t xml:space="preserve"> restricciones de cupo de jabalí en los planes cinegéticos y permitir prácticamente todas la</w:t>
      </w:r>
      <w:r w:rsidR="00B14BA4">
        <w:rPr>
          <w:iCs/>
        </w:rPr>
        <w:t>s</w:t>
      </w:r>
      <w:r w:rsidR="00615114">
        <w:rPr>
          <w:iCs/>
        </w:rPr>
        <w:t xml:space="preserve"> modalidades de caza, autorizando el empleo de visores nocturnos.</w:t>
      </w:r>
    </w:p>
    <w:p w14:paraId="38761B8B" w14:textId="6C8E75E0" w:rsidR="00615114" w:rsidRDefault="00615114" w:rsidP="00AA12E3">
      <w:pPr>
        <w:rPr>
          <w:iCs/>
        </w:rPr>
      </w:pPr>
      <w:r>
        <w:rPr>
          <w:iCs/>
        </w:rPr>
        <w:t xml:space="preserve">En el ámbito del control poblacional, la </w:t>
      </w:r>
      <w:r w:rsidR="00EE36FC">
        <w:rPr>
          <w:iCs/>
        </w:rPr>
        <w:t>o</w:t>
      </w:r>
      <w:r>
        <w:rPr>
          <w:iCs/>
        </w:rPr>
        <w:t>rden habilita actuaciones durante los 365 días del año en todo tipo de terrenos</w:t>
      </w:r>
      <w:r w:rsidR="00EE36FC">
        <w:rPr>
          <w:iCs/>
        </w:rPr>
        <w:t>,</w:t>
      </w:r>
      <w:r>
        <w:rPr>
          <w:iCs/>
        </w:rPr>
        <w:t xml:space="preserve"> y el uso de </w:t>
      </w:r>
      <w:proofErr w:type="spellStart"/>
      <w:r>
        <w:rPr>
          <w:iCs/>
        </w:rPr>
        <w:t>capturaderos</w:t>
      </w:r>
      <w:proofErr w:type="spellEnd"/>
      <w:r>
        <w:rPr>
          <w:iCs/>
        </w:rPr>
        <w:t xml:space="preserve"> homologados en otras CCAA o Estados miembros.</w:t>
      </w:r>
    </w:p>
    <w:p w14:paraId="3A53E1F0" w14:textId="77777777" w:rsidR="00E95B54" w:rsidRDefault="00E95B54" w:rsidP="00AA12E3">
      <w:pPr>
        <w:rPr>
          <w:bCs/>
          <w:iCs/>
        </w:rPr>
      </w:pPr>
    </w:p>
    <w:p w14:paraId="4DB2985C" w14:textId="7189461E" w:rsidR="007006B2" w:rsidRPr="00E815E0" w:rsidRDefault="007006B2" w:rsidP="00AA12E3">
      <w:pPr>
        <w:rPr>
          <w:bCs/>
          <w:iCs/>
        </w:rPr>
      </w:pPr>
      <w:r>
        <w:rPr>
          <w:bCs/>
          <w:iCs/>
        </w:rPr>
        <w:t>Tal y como se ha puesto en valor desde ASAJA, e</w:t>
      </w:r>
      <w:r w:rsidRPr="007006B2">
        <w:rPr>
          <w:bCs/>
          <w:iCs/>
        </w:rPr>
        <w:t xml:space="preserve">l sector ganadero de porcino español es referente mundial en su sistema productivo, y parte del éxito se debe al estricto control sanitario y de bioseguridad que se lleva a cabo en las granjas. En Castilla y León la bioseguridad es mayor, si cabe, debido a que las granjas son más modernas, y las instalaciones, además de más distantes entre sí, se han construido con las últimas exigencias normativas, pensadas sobre todo con un fin medioambiental y sanitario. </w:t>
      </w:r>
    </w:p>
    <w:p w14:paraId="7D964C3F" w14:textId="77777777" w:rsidR="00E815E0" w:rsidRPr="00A92DCA" w:rsidRDefault="00E815E0" w:rsidP="00AA12E3">
      <w:pPr>
        <w:rPr>
          <w:bCs/>
          <w:iCs/>
        </w:rPr>
      </w:pPr>
    </w:p>
    <w:p w14:paraId="6E1199C6" w14:textId="3DDD007F" w:rsidR="004D2ADB" w:rsidRDefault="00E13C89" w:rsidP="00AA12E3">
      <w:r>
        <w:t>Por otra parte, ASAJA re</w:t>
      </w:r>
      <w:r w:rsidR="007006B2">
        <w:t>salta</w:t>
      </w:r>
      <w:r>
        <w:t xml:space="preserve"> la importancia económica y social del sector porcino en nuestra comunidad autónoma, ya que sustenta una potente industria agroalimentaria, y es el gran consumidor de cereal, principal producto agrícola de nuestra tierra. Por ello, si el virus llegara a determinadas explotaciones, los perjuicios para el sector ganadero no serían tanto los derivados de un sacrificio masivo de animales</w:t>
      </w:r>
      <w:r w:rsidR="0045316E">
        <w:t>,</w:t>
      </w:r>
      <w:r>
        <w:t xml:space="preserve"> como el de una hipotética caída de las ventas por limitaciones a la exportación que puedan llegar a terceros países. </w:t>
      </w:r>
    </w:p>
    <w:p w14:paraId="13164256" w14:textId="77777777" w:rsidR="004D2ADB" w:rsidRDefault="004D2ADB" w:rsidP="00AA12E3">
      <w:pPr>
        <w:tabs>
          <w:tab w:val="left" w:pos="1010"/>
        </w:tabs>
      </w:pPr>
    </w:p>
    <w:p w14:paraId="73A1F508" w14:textId="77777777" w:rsidR="00AA12E3" w:rsidRDefault="00AA12E3" w:rsidP="00AA12E3">
      <w:pPr>
        <w:tabs>
          <w:tab w:val="left" w:pos="1010"/>
        </w:tabs>
      </w:pPr>
    </w:p>
    <w:p w14:paraId="306E9829" w14:textId="77777777" w:rsidR="00AA12E3" w:rsidRDefault="00AA12E3" w:rsidP="00AA12E3">
      <w:pPr>
        <w:tabs>
          <w:tab w:val="left" w:pos="1010"/>
        </w:tabs>
      </w:pPr>
    </w:p>
    <w:p w14:paraId="3D966585" w14:textId="77777777" w:rsidR="00063522" w:rsidRDefault="00063522" w:rsidP="00AA12E3">
      <w:pPr>
        <w:tabs>
          <w:tab w:val="left" w:pos="1010"/>
        </w:tabs>
      </w:pPr>
    </w:p>
    <w:p w14:paraId="1769D13E" w14:textId="77777777" w:rsidR="00CC26F0" w:rsidRDefault="00CC26F0" w:rsidP="00AA12E3">
      <w:pPr>
        <w:jc w:val="center"/>
        <w:rPr>
          <w:b/>
        </w:rPr>
      </w:pPr>
      <w:r w:rsidRPr="00063522">
        <w:rPr>
          <w:b/>
        </w:rPr>
        <w:t>MEDIOS DE PRODUCCIÓN</w:t>
      </w:r>
    </w:p>
    <w:p w14:paraId="18236873" w14:textId="77777777" w:rsidR="00063522" w:rsidRPr="00063522" w:rsidRDefault="00063522" w:rsidP="00AA12E3">
      <w:pPr>
        <w:jc w:val="center"/>
        <w:rPr>
          <w:b/>
        </w:rPr>
      </w:pPr>
    </w:p>
    <w:p w14:paraId="19360623" w14:textId="77777777" w:rsidR="004D2ADB" w:rsidRPr="004D2ADB" w:rsidRDefault="004D2ADB" w:rsidP="00AA12E3">
      <w:pPr>
        <w:rPr>
          <w:b/>
          <w:bCs/>
        </w:rPr>
      </w:pPr>
      <w:r w:rsidRPr="004D2ADB">
        <w:rPr>
          <w:b/>
          <w:bCs/>
        </w:rPr>
        <w:t>Tierra</w:t>
      </w:r>
    </w:p>
    <w:p w14:paraId="44DECCA2" w14:textId="77777777" w:rsidR="004D2ADB" w:rsidRDefault="004D2ADB" w:rsidP="00AA12E3"/>
    <w:p w14:paraId="25261BED" w14:textId="0BFD1AE5" w:rsidR="00CC26F0" w:rsidRPr="00656035" w:rsidRDefault="00CC26F0" w:rsidP="00AA12E3">
      <w:pPr>
        <w:rPr>
          <w:strike/>
        </w:rPr>
      </w:pPr>
      <w:r w:rsidRPr="00063522">
        <w:t xml:space="preserve">El </w:t>
      </w:r>
      <w:r w:rsidRPr="00063522">
        <w:rPr>
          <w:b/>
        </w:rPr>
        <w:t xml:space="preserve">precio medio de la tierra de uso agrario </w:t>
      </w:r>
      <w:r w:rsidRPr="00063522">
        <w:t>en Castilla y León se incrementó un 3,9% en 2024 (último dato disponible), habiéndose pagado de media 5.115€ la hectárea agrícola.</w:t>
      </w:r>
      <w:r w:rsidR="00656035">
        <w:rPr>
          <w:strike/>
        </w:rPr>
        <w:t xml:space="preserve"> </w:t>
      </w:r>
      <w:r w:rsidRPr="00063522">
        <w:t xml:space="preserve">Si atendemos al aprovechamiento, la tierra mayoritaria en nuestra Comunidad, tierras arables de secano creció un 4,6%, (en España un 4,8%), </w:t>
      </w:r>
      <w:r w:rsidRPr="00063522">
        <w:lastRenderedPageBreak/>
        <w:t>mientras que la hectárea de regadío subió un 3% (4% en España). Las de viñedo de secano aumentaron su precio un 4,3% (de media un 1,4%), siendo este tipo de tierra la más cotizada y la que presenta mayores oscilaciones entre provincias. Sin embargo, el precio medio de las ocupadas por viñedo de regadío disminuyó un 11,4% (en España descendió de media un 5,7%). La hectárea de prados también se incrementó un 4,2% respecto al 2023 y la de pastizal un 3,1% en nuestra comunidad, sólo superado por Andalucía (7,5% más).</w:t>
      </w:r>
    </w:p>
    <w:p w14:paraId="179690F6" w14:textId="23C3B884" w:rsidR="00CC26F0" w:rsidRDefault="00CC26F0" w:rsidP="00AA12E3">
      <w:r w:rsidRPr="00063522">
        <w:t xml:space="preserve">Respecto a los </w:t>
      </w:r>
      <w:r w:rsidRPr="00063522">
        <w:rPr>
          <w:b/>
          <w:bCs/>
        </w:rPr>
        <w:t>precios de arrendamiento</w:t>
      </w:r>
      <w:r w:rsidRPr="00063522">
        <w:t>, en Castilla y León el incremento medio del canon de arrendamiento de la tierra a precios corrientes en el 2023, último año con datos, es de 1,3 %, situándose en 161 euros por hectárea.</w:t>
      </w:r>
      <w:r w:rsidR="00656035">
        <w:t xml:space="preserve"> </w:t>
      </w:r>
      <w:r w:rsidRPr="00063522">
        <w:t>El canon que más sube es el de las tierras de tipo “prados”, con un 3,3 %. Le sigue el “pastizal”, que se incrementa un 2,4 % y el “viñedo vinificación secano” que se incrementa un 2,3%.  El canon de arrendamiento de las tierras “arables de regadío” aumenta el 1,8 % y en las tierras “arables de secano” un 0,8%.</w:t>
      </w:r>
    </w:p>
    <w:p w14:paraId="5872DD95" w14:textId="77777777" w:rsidR="00063522" w:rsidRPr="00063522" w:rsidRDefault="00063522" w:rsidP="00AA12E3"/>
    <w:p w14:paraId="4031830B" w14:textId="77777777" w:rsidR="00655E3C" w:rsidRPr="00655E3C" w:rsidRDefault="00655E3C" w:rsidP="00AA12E3">
      <w:pPr>
        <w:rPr>
          <w:b/>
          <w:bCs/>
        </w:rPr>
      </w:pPr>
      <w:r w:rsidRPr="00655E3C">
        <w:rPr>
          <w:b/>
          <w:bCs/>
        </w:rPr>
        <w:t>Bienes de producción</w:t>
      </w:r>
    </w:p>
    <w:p w14:paraId="449A872D" w14:textId="77777777" w:rsidR="00655E3C" w:rsidRDefault="00655E3C" w:rsidP="00AA12E3"/>
    <w:p w14:paraId="0643F899" w14:textId="467D00F5" w:rsidR="00CC26F0" w:rsidRPr="00063522" w:rsidRDefault="00CC26F0" w:rsidP="00AA12E3">
      <w:r w:rsidRPr="00063522">
        <w:t xml:space="preserve">El </w:t>
      </w:r>
      <w:r w:rsidRPr="00063522">
        <w:rPr>
          <w:b/>
          <w:bCs/>
        </w:rPr>
        <w:t>índice general de precios pagados por los bienes y servicios agrarios en España</w:t>
      </w:r>
      <w:r w:rsidRPr="00063522">
        <w:t xml:space="preserve"> fue 126,20 en agosto de 2025, un 2,22 % más respecto al registrado el mismo mes de 2024. El sector de los alimentos para el ganado fue el que más contribuyó a la subida interanual del índice general (+2,29%) y se revalorizaron tanto los piensos de formulación compuesta como los simples. En lo que respecta a los fertilizantes se incrementaron sus precios un 8,44 % y se constató un encarecimiento tanto de simples (+12,35 %), como de compuestos (+6,25%)</w:t>
      </w:r>
    </w:p>
    <w:p w14:paraId="78A4C724" w14:textId="77777777" w:rsidR="00CC26F0" w:rsidRPr="00063522" w:rsidRDefault="00CC26F0" w:rsidP="00AA12E3">
      <w:r w:rsidRPr="00063522">
        <w:t xml:space="preserve">También contribuyó al incremento de los precios pagados los gastos generales que se encarecieron un 3,68%, la conservación y reparación de maquinaria (+8,88%), los productos fitopatológicos (+2,11%), el material y pequeño utillaje (+4,23%), los servicios veterinarios y la conservación y reparación de edificios (+2,45% y +2,35% respectivamente), y las semillas y plantones (+0,45%). </w:t>
      </w:r>
    </w:p>
    <w:p w14:paraId="6478ADCE" w14:textId="77777777" w:rsidR="00CC26F0" w:rsidRDefault="00CC26F0" w:rsidP="00AA12E3">
      <w:pPr>
        <w:rPr>
          <w:highlight w:val="yellow"/>
        </w:rPr>
      </w:pPr>
      <w:r w:rsidRPr="00063522">
        <w:t>Los precios pagados por la energía descendieron respecto al mismo mes del año anterior, en concreto un 6,38%, siendo responsables de ese descenso tanto la electricidad, que descendió un 7,19% como los carburantes (descendieron un 6,10%)</w:t>
      </w:r>
      <w:r w:rsidRPr="00063522">
        <w:rPr>
          <w:highlight w:val="yellow"/>
        </w:rPr>
        <w:t xml:space="preserve"> </w:t>
      </w:r>
    </w:p>
    <w:p w14:paraId="553BB485" w14:textId="77777777" w:rsidR="00063522" w:rsidRPr="00063522" w:rsidRDefault="00063522" w:rsidP="00AA12E3">
      <w:pPr>
        <w:rPr>
          <w:highlight w:val="yellow"/>
        </w:rPr>
      </w:pPr>
    </w:p>
    <w:p w14:paraId="04B0B040" w14:textId="77777777" w:rsidR="00CC26F0" w:rsidRDefault="00CC26F0" w:rsidP="00AA12E3">
      <w:pPr>
        <w:rPr>
          <w:b/>
          <w:bCs/>
        </w:rPr>
      </w:pPr>
      <w:r w:rsidRPr="00063522">
        <w:rPr>
          <w:b/>
          <w:bCs/>
        </w:rPr>
        <w:t>Doble tarifa eléctrica</w:t>
      </w:r>
    </w:p>
    <w:p w14:paraId="28CA35B6" w14:textId="77777777" w:rsidR="00730F67" w:rsidRPr="00063522" w:rsidRDefault="00730F67" w:rsidP="00AA12E3">
      <w:pPr>
        <w:rPr>
          <w:b/>
          <w:bCs/>
        </w:rPr>
      </w:pPr>
    </w:p>
    <w:p w14:paraId="096636C2" w14:textId="77777777" w:rsidR="00CC26F0" w:rsidRPr="00063522" w:rsidRDefault="00CC26F0" w:rsidP="00AA12E3">
      <w:r w:rsidRPr="00063522">
        <w:t>La nueva Ley de Prevención de las Pérdidas y del Desperdicio Alimentario, con entrada en vigor desde el 2 de enero de 2025, permitió la posibilidad de contratación de la doble tarifa eléctrica con potencias diferentes, adaptadas al momento de la cosecha y el riego. Se trata de una noticia que viene a cumplir con una reclamación histórica de ASAJA desde que desaparecieron las tarifas especiales de riego en julio de 2008.</w:t>
      </w:r>
    </w:p>
    <w:p w14:paraId="314F6A19" w14:textId="77777777" w:rsidR="00CC26F0" w:rsidRPr="00063522" w:rsidRDefault="00CC26F0" w:rsidP="00AA12E3">
      <w:r w:rsidRPr="00063522">
        <w:t>En concreto, se establecen tarifas de acceso a las redes de transporte y distribución de energía eléctrica y se permite a las comunidades de regantes y titulares de explotaciones agrícolas y cooperativas la posibilidad de disponer de 2 potencias diferentes a lo largo de 12 meses, dando así la opción al agricultor de bajar la potencia contratada durante los meses que no usa la energía eléctrica. También se indica que las compañías eléctricas deberán disponer de un número de teléfono para atender las consultas y que estos cambios no tendrán ningún incremento respecto de las tarifas de aplicación.</w:t>
      </w:r>
    </w:p>
    <w:p w14:paraId="4EA60EB5" w14:textId="77777777" w:rsidR="00CC26F0" w:rsidRPr="00063522" w:rsidRDefault="00CC26F0" w:rsidP="00AA12E3">
      <w:pPr>
        <w:rPr>
          <w:b/>
          <w:bCs/>
        </w:rPr>
      </w:pPr>
    </w:p>
    <w:p w14:paraId="538F167C" w14:textId="77777777" w:rsidR="00CC26F0" w:rsidRDefault="00CC26F0" w:rsidP="00AA12E3">
      <w:r w:rsidRPr="00CC26F0">
        <w:rPr>
          <w:b/>
          <w:bCs/>
        </w:rPr>
        <w:t>Maquinaria agrícola</w:t>
      </w:r>
      <w:r w:rsidRPr="00CC26F0">
        <w:t xml:space="preserve"> </w:t>
      </w:r>
    </w:p>
    <w:p w14:paraId="487A0638" w14:textId="77777777" w:rsidR="00730F67" w:rsidRPr="00CC26F0" w:rsidRDefault="00730F67" w:rsidP="00AA12E3"/>
    <w:p w14:paraId="335E7FFE" w14:textId="77777777" w:rsidR="00CC26F0" w:rsidRPr="00CC26F0" w:rsidRDefault="00CC26F0" w:rsidP="00AA12E3">
      <w:pPr>
        <w:rPr>
          <w:bCs/>
        </w:rPr>
      </w:pPr>
      <w:r w:rsidRPr="00CC26F0">
        <w:rPr>
          <w:bCs/>
        </w:rPr>
        <w:t>En el año 2025, la venta de tractores nuevos ha subido en Castilla y León casi un 34% en los once primeros meses en comparación con el mismo periodo del año pasado. A fecha de noviembre (queda por computar las ventas de diciembre), en Castilla y León, se habían inscrito 1.042 tractores, de las 12.133 unidades vendidas en España; es decir, uno de cada 8 tractores que se venden en nuestro país se quedan en Castilla y León.</w:t>
      </w:r>
    </w:p>
    <w:p w14:paraId="4B611129" w14:textId="77777777" w:rsidR="00CC26F0" w:rsidRPr="00CC26F0" w:rsidRDefault="00CC26F0" w:rsidP="00AA12E3">
      <w:pPr>
        <w:rPr>
          <w:bCs/>
        </w:rPr>
      </w:pPr>
      <w:r w:rsidRPr="00CC26F0">
        <w:rPr>
          <w:bCs/>
        </w:rPr>
        <w:t>Según los datos de inscripción de maquinaria del MAPA, en estos meses, se han vendido en Castilla y León 4199 máquinas agrarias, lo que significa un descenso del 4% respecto del mismo periodo del año anterior. El mayor descenso se ha producido en la maquinaria remolcada o suspendida (209 unidades memos, un 8% menos que en 2024), seguido por remolques (32 unidades menos, un 6% menos).</w:t>
      </w:r>
    </w:p>
    <w:p w14:paraId="65DC1C39" w14:textId="471BAF10" w:rsidR="00CC26F0" w:rsidRPr="00CC26F0" w:rsidRDefault="00CC26F0" w:rsidP="00AA12E3">
      <w:pPr>
        <w:rPr>
          <w:bCs/>
        </w:rPr>
      </w:pPr>
      <w:r w:rsidRPr="00CC26F0">
        <w:rPr>
          <w:bCs/>
        </w:rPr>
        <w:t xml:space="preserve">Sin embargo, se ha incrementado un 6% la compra de tractores (60 unidades más) y un 4% </w:t>
      </w:r>
      <w:r w:rsidR="00D74258">
        <w:rPr>
          <w:bCs/>
        </w:rPr>
        <w:t>l</w:t>
      </w:r>
      <w:r w:rsidRPr="00CC26F0">
        <w:rPr>
          <w:bCs/>
        </w:rPr>
        <w:t>a maquinaria automotriz (9 unidades más).</w:t>
      </w:r>
    </w:p>
    <w:p w14:paraId="483397BD" w14:textId="77777777" w:rsidR="00CC26F0" w:rsidRPr="00CC26F0" w:rsidRDefault="00CC26F0" w:rsidP="00AA12E3">
      <w:pPr>
        <w:rPr>
          <w:bCs/>
        </w:rPr>
      </w:pPr>
    </w:p>
    <w:p w14:paraId="7E51101D" w14:textId="77777777" w:rsidR="00CC26F0" w:rsidRPr="004D2ADB" w:rsidRDefault="00CC26F0" w:rsidP="00AA12E3">
      <w:pPr>
        <w:rPr>
          <w:bCs/>
        </w:rPr>
      </w:pPr>
      <w:r w:rsidRPr="004D2ADB">
        <w:rPr>
          <w:bCs/>
        </w:rPr>
        <w:t>INSCRIPCIÓN MAQUINARIA NUEVA enero-noviembre 2025</w:t>
      </w:r>
    </w:p>
    <w:tbl>
      <w:tblPr>
        <w:tblStyle w:val="Tablaconcuadrcula1"/>
        <w:tblW w:w="0" w:type="auto"/>
        <w:tblInd w:w="-147" w:type="dxa"/>
        <w:tblLook w:val="04A0" w:firstRow="1" w:lastRow="0" w:firstColumn="1" w:lastColumn="0" w:noHBand="0" w:noVBand="1"/>
      </w:tblPr>
      <w:tblGrid>
        <w:gridCol w:w="2836"/>
        <w:gridCol w:w="1701"/>
        <w:gridCol w:w="1417"/>
        <w:gridCol w:w="1418"/>
        <w:gridCol w:w="1269"/>
      </w:tblGrid>
      <w:tr w:rsidR="004D2ADB" w:rsidRPr="00CC26F0" w14:paraId="0E47ED08" w14:textId="77777777" w:rsidTr="004D2ADB">
        <w:tc>
          <w:tcPr>
            <w:tcW w:w="2836" w:type="dxa"/>
          </w:tcPr>
          <w:p w14:paraId="06E41C4E" w14:textId="77777777" w:rsidR="00CC26F0" w:rsidRPr="00CC26F0" w:rsidRDefault="00CC26F0" w:rsidP="00AA12E3">
            <w:pPr>
              <w:rPr>
                <w:rFonts w:ascii="Arial" w:hAnsi="Arial" w:cs="Arial"/>
                <w:bCs/>
                <w:kern w:val="0"/>
                <w14:ligatures w14:val="none"/>
              </w:rPr>
            </w:pPr>
          </w:p>
        </w:tc>
        <w:tc>
          <w:tcPr>
            <w:tcW w:w="1701" w:type="dxa"/>
          </w:tcPr>
          <w:p w14:paraId="781E81DF" w14:textId="669ECCF5"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C</w:t>
            </w:r>
            <w:r w:rsidR="004D2ADB">
              <w:rPr>
                <w:rFonts w:ascii="Arial" w:hAnsi="Arial" w:cs="Arial"/>
                <w:bCs/>
                <w:kern w:val="0"/>
                <w14:ligatures w14:val="none"/>
              </w:rPr>
              <w:t>astilla y León</w:t>
            </w:r>
          </w:p>
        </w:tc>
        <w:tc>
          <w:tcPr>
            <w:tcW w:w="1417" w:type="dxa"/>
          </w:tcPr>
          <w:p w14:paraId="4569484A" w14:textId="36F9B49D"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w:t>
            </w:r>
            <w:r w:rsidR="004D2ADB">
              <w:rPr>
                <w:rFonts w:ascii="Arial" w:hAnsi="Arial" w:cs="Arial"/>
                <w:bCs/>
                <w:kern w:val="0"/>
                <w14:ligatures w14:val="none"/>
              </w:rPr>
              <w:t xml:space="preserve"> /</w:t>
            </w:r>
            <w:r w:rsidRPr="00CC26F0">
              <w:rPr>
                <w:rFonts w:ascii="Arial" w:hAnsi="Arial" w:cs="Arial"/>
                <w:bCs/>
                <w:kern w:val="0"/>
                <w14:ligatures w14:val="none"/>
              </w:rPr>
              <w:t xml:space="preserve"> 202</w:t>
            </w:r>
            <w:r w:rsidR="00655E3C">
              <w:rPr>
                <w:rFonts w:ascii="Arial" w:hAnsi="Arial" w:cs="Arial"/>
                <w:bCs/>
                <w:kern w:val="0"/>
                <w14:ligatures w14:val="none"/>
              </w:rPr>
              <w:t>4</w:t>
            </w:r>
          </w:p>
        </w:tc>
        <w:tc>
          <w:tcPr>
            <w:tcW w:w="1418" w:type="dxa"/>
          </w:tcPr>
          <w:p w14:paraId="73071785" w14:textId="5037527A"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E</w:t>
            </w:r>
            <w:r w:rsidR="004D2ADB">
              <w:rPr>
                <w:rFonts w:ascii="Arial" w:hAnsi="Arial" w:cs="Arial"/>
                <w:bCs/>
                <w:kern w:val="0"/>
                <w14:ligatures w14:val="none"/>
              </w:rPr>
              <w:t>spaña</w:t>
            </w:r>
          </w:p>
        </w:tc>
        <w:tc>
          <w:tcPr>
            <w:tcW w:w="1269" w:type="dxa"/>
          </w:tcPr>
          <w:p w14:paraId="721E44F2" w14:textId="2A0E1FC9"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 xml:space="preserve">% </w:t>
            </w:r>
            <w:r w:rsidR="004D2ADB">
              <w:rPr>
                <w:rFonts w:ascii="Arial" w:hAnsi="Arial" w:cs="Arial"/>
                <w:bCs/>
                <w:kern w:val="0"/>
                <w14:ligatures w14:val="none"/>
              </w:rPr>
              <w:t>/</w:t>
            </w:r>
            <w:r w:rsidRPr="00CC26F0">
              <w:rPr>
                <w:rFonts w:ascii="Arial" w:hAnsi="Arial" w:cs="Arial"/>
                <w:bCs/>
                <w:kern w:val="0"/>
                <w14:ligatures w14:val="none"/>
              </w:rPr>
              <w:t xml:space="preserve"> 202</w:t>
            </w:r>
            <w:r w:rsidR="00655E3C">
              <w:rPr>
                <w:rFonts w:ascii="Arial" w:hAnsi="Arial" w:cs="Arial"/>
                <w:bCs/>
                <w:kern w:val="0"/>
                <w14:ligatures w14:val="none"/>
              </w:rPr>
              <w:t>4</w:t>
            </w:r>
          </w:p>
        </w:tc>
      </w:tr>
      <w:tr w:rsidR="004D2ADB" w:rsidRPr="00CC26F0" w14:paraId="01086FA2" w14:textId="77777777" w:rsidTr="004D2ADB">
        <w:tc>
          <w:tcPr>
            <w:tcW w:w="2836" w:type="dxa"/>
          </w:tcPr>
          <w:p w14:paraId="785CFBC8"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Tractores</w:t>
            </w:r>
          </w:p>
        </w:tc>
        <w:tc>
          <w:tcPr>
            <w:tcW w:w="1701" w:type="dxa"/>
          </w:tcPr>
          <w:p w14:paraId="22342A7C"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1.042</w:t>
            </w:r>
          </w:p>
        </w:tc>
        <w:tc>
          <w:tcPr>
            <w:tcW w:w="1417" w:type="dxa"/>
          </w:tcPr>
          <w:p w14:paraId="464E9038"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6,22%</w:t>
            </w:r>
          </w:p>
        </w:tc>
        <w:tc>
          <w:tcPr>
            <w:tcW w:w="1418" w:type="dxa"/>
          </w:tcPr>
          <w:p w14:paraId="4EFF7E86"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12.133</w:t>
            </w:r>
          </w:p>
        </w:tc>
        <w:tc>
          <w:tcPr>
            <w:tcW w:w="1269" w:type="dxa"/>
          </w:tcPr>
          <w:p w14:paraId="3AA5ADC7"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33,08%</w:t>
            </w:r>
          </w:p>
        </w:tc>
      </w:tr>
      <w:tr w:rsidR="004D2ADB" w:rsidRPr="00CC26F0" w14:paraId="70D62B42" w14:textId="77777777" w:rsidTr="004D2ADB">
        <w:trPr>
          <w:trHeight w:val="352"/>
        </w:trPr>
        <w:tc>
          <w:tcPr>
            <w:tcW w:w="2836" w:type="dxa"/>
          </w:tcPr>
          <w:p w14:paraId="3BAF4024"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Maquinaria automotriz</w:t>
            </w:r>
          </w:p>
        </w:tc>
        <w:tc>
          <w:tcPr>
            <w:tcW w:w="1701" w:type="dxa"/>
          </w:tcPr>
          <w:p w14:paraId="4D3C77F3"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238</w:t>
            </w:r>
          </w:p>
        </w:tc>
        <w:tc>
          <w:tcPr>
            <w:tcW w:w="1417" w:type="dxa"/>
          </w:tcPr>
          <w:p w14:paraId="23D28689"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3,93%</w:t>
            </w:r>
          </w:p>
        </w:tc>
        <w:tc>
          <w:tcPr>
            <w:tcW w:w="1418" w:type="dxa"/>
          </w:tcPr>
          <w:p w14:paraId="5E8006C4"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1.918</w:t>
            </w:r>
          </w:p>
        </w:tc>
        <w:tc>
          <w:tcPr>
            <w:tcW w:w="1269" w:type="dxa"/>
          </w:tcPr>
          <w:p w14:paraId="7090749A"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22,48%</w:t>
            </w:r>
          </w:p>
        </w:tc>
      </w:tr>
      <w:tr w:rsidR="004D2ADB" w:rsidRPr="00CC26F0" w14:paraId="4F3163AA" w14:textId="77777777" w:rsidTr="004D2ADB">
        <w:tc>
          <w:tcPr>
            <w:tcW w:w="2836" w:type="dxa"/>
          </w:tcPr>
          <w:p w14:paraId="634671CB" w14:textId="1B8D6F83" w:rsidR="00CC26F0" w:rsidRPr="00CC26F0" w:rsidRDefault="004D2ADB" w:rsidP="00AA12E3">
            <w:pPr>
              <w:rPr>
                <w:rFonts w:ascii="Arial" w:hAnsi="Arial" w:cs="Arial"/>
                <w:bCs/>
                <w:kern w:val="0"/>
                <w14:ligatures w14:val="none"/>
              </w:rPr>
            </w:pPr>
            <w:r>
              <w:rPr>
                <w:rFonts w:ascii="Arial" w:hAnsi="Arial" w:cs="Arial"/>
                <w:bCs/>
                <w:kern w:val="0"/>
                <w14:ligatures w14:val="none"/>
              </w:rPr>
              <w:t>M</w:t>
            </w:r>
            <w:r w:rsidR="00CC26F0" w:rsidRPr="00CC26F0">
              <w:rPr>
                <w:rFonts w:ascii="Arial" w:hAnsi="Arial" w:cs="Arial"/>
                <w:bCs/>
                <w:kern w:val="0"/>
                <w14:ligatures w14:val="none"/>
              </w:rPr>
              <w:t>aquinaria remolcada o suspendida</w:t>
            </w:r>
          </w:p>
        </w:tc>
        <w:tc>
          <w:tcPr>
            <w:tcW w:w="1701" w:type="dxa"/>
          </w:tcPr>
          <w:p w14:paraId="20886B77"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2.397</w:t>
            </w:r>
          </w:p>
        </w:tc>
        <w:tc>
          <w:tcPr>
            <w:tcW w:w="1417" w:type="dxa"/>
          </w:tcPr>
          <w:p w14:paraId="2C8F6B3B"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-7,98%</w:t>
            </w:r>
          </w:p>
        </w:tc>
        <w:tc>
          <w:tcPr>
            <w:tcW w:w="1418" w:type="dxa"/>
          </w:tcPr>
          <w:p w14:paraId="1511765A"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15.208</w:t>
            </w:r>
          </w:p>
        </w:tc>
        <w:tc>
          <w:tcPr>
            <w:tcW w:w="1269" w:type="dxa"/>
          </w:tcPr>
          <w:p w14:paraId="59F60BD9"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37,28%</w:t>
            </w:r>
          </w:p>
        </w:tc>
      </w:tr>
      <w:tr w:rsidR="004D2ADB" w:rsidRPr="00CC26F0" w14:paraId="3498FA66" w14:textId="77777777" w:rsidTr="004D2ADB">
        <w:tc>
          <w:tcPr>
            <w:tcW w:w="2836" w:type="dxa"/>
          </w:tcPr>
          <w:p w14:paraId="34C956D0"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Remolques</w:t>
            </w:r>
          </w:p>
        </w:tc>
        <w:tc>
          <w:tcPr>
            <w:tcW w:w="1701" w:type="dxa"/>
          </w:tcPr>
          <w:p w14:paraId="2B142C2D"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522</w:t>
            </w:r>
          </w:p>
        </w:tc>
        <w:tc>
          <w:tcPr>
            <w:tcW w:w="1417" w:type="dxa"/>
          </w:tcPr>
          <w:p w14:paraId="3FEF802E"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-5,61%</w:t>
            </w:r>
          </w:p>
        </w:tc>
        <w:tc>
          <w:tcPr>
            <w:tcW w:w="1418" w:type="dxa"/>
          </w:tcPr>
          <w:p w14:paraId="621549A3"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3.599</w:t>
            </w:r>
          </w:p>
        </w:tc>
        <w:tc>
          <w:tcPr>
            <w:tcW w:w="1269" w:type="dxa"/>
          </w:tcPr>
          <w:p w14:paraId="65B6E5C1" w14:textId="77777777" w:rsidR="00CC26F0" w:rsidRPr="00CC26F0" w:rsidRDefault="00CC26F0" w:rsidP="00AA12E3">
            <w:pPr>
              <w:rPr>
                <w:rFonts w:ascii="Arial" w:hAnsi="Arial" w:cs="Arial"/>
                <w:bCs/>
                <w:kern w:val="0"/>
                <w14:ligatures w14:val="none"/>
              </w:rPr>
            </w:pPr>
            <w:r w:rsidRPr="00CC26F0">
              <w:rPr>
                <w:rFonts w:ascii="Arial" w:hAnsi="Arial" w:cs="Arial"/>
                <w:bCs/>
                <w:kern w:val="0"/>
                <w14:ligatures w14:val="none"/>
              </w:rPr>
              <w:t>22,12%</w:t>
            </w:r>
          </w:p>
        </w:tc>
      </w:tr>
      <w:tr w:rsidR="004D2ADB" w:rsidRPr="004D2ADB" w14:paraId="7539FD1F" w14:textId="77777777" w:rsidTr="004D2ADB">
        <w:tc>
          <w:tcPr>
            <w:tcW w:w="2836" w:type="dxa"/>
          </w:tcPr>
          <w:p w14:paraId="6BCAFA5C" w14:textId="77777777" w:rsidR="00CC26F0" w:rsidRPr="004D2ADB" w:rsidRDefault="00CC26F0" w:rsidP="00AA12E3">
            <w:pPr>
              <w:rPr>
                <w:rFonts w:ascii="Arial" w:hAnsi="Arial" w:cs="Arial"/>
                <w:b/>
                <w:kern w:val="0"/>
                <w14:ligatures w14:val="none"/>
              </w:rPr>
            </w:pPr>
            <w:r w:rsidRPr="004D2ADB">
              <w:rPr>
                <w:rFonts w:ascii="Arial" w:hAnsi="Arial" w:cs="Arial"/>
                <w:b/>
                <w:kern w:val="0"/>
                <w14:ligatures w14:val="none"/>
              </w:rPr>
              <w:t>TOTAL maquinaria</w:t>
            </w:r>
          </w:p>
        </w:tc>
        <w:tc>
          <w:tcPr>
            <w:tcW w:w="1701" w:type="dxa"/>
          </w:tcPr>
          <w:p w14:paraId="64F39D6C" w14:textId="77777777" w:rsidR="00CC26F0" w:rsidRPr="004D2ADB" w:rsidRDefault="00CC26F0" w:rsidP="00AA12E3">
            <w:pPr>
              <w:rPr>
                <w:rFonts w:ascii="Arial" w:hAnsi="Arial" w:cs="Arial"/>
                <w:b/>
                <w:kern w:val="0"/>
                <w14:ligatures w14:val="none"/>
              </w:rPr>
            </w:pPr>
            <w:r w:rsidRPr="004D2ADB">
              <w:rPr>
                <w:rFonts w:ascii="Arial" w:hAnsi="Arial" w:cs="Arial"/>
                <w:b/>
                <w:kern w:val="0"/>
                <w14:ligatures w14:val="none"/>
              </w:rPr>
              <w:t>4.199</w:t>
            </w:r>
          </w:p>
        </w:tc>
        <w:tc>
          <w:tcPr>
            <w:tcW w:w="1417" w:type="dxa"/>
          </w:tcPr>
          <w:p w14:paraId="70EB17C4" w14:textId="77777777" w:rsidR="00CC26F0" w:rsidRPr="004D2ADB" w:rsidRDefault="00CC26F0" w:rsidP="00AA12E3">
            <w:pPr>
              <w:rPr>
                <w:rFonts w:ascii="Arial" w:hAnsi="Arial" w:cs="Arial"/>
                <w:b/>
                <w:kern w:val="0"/>
                <w14:ligatures w14:val="none"/>
              </w:rPr>
            </w:pPr>
            <w:r w:rsidRPr="004D2ADB">
              <w:rPr>
                <w:rFonts w:ascii="Arial" w:hAnsi="Arial" w:cs="Arial"/>
                <w:b/>
                <w:kern w:val="0"/>
                <w14:ligatures w14:val="none"/>
              </w:rPr>
              <w:t>-3,87%</w:t>
            </w:r>
          </w:p>
        </w:tc>
        <w:tc>
          <w:tcPr>
            <w:tcW w:w="1418" w:type="dxa"/>
          </w:tcPr>
          <w:p w14:paraId="05FBAAC0" w14:textId="77777777" w:rsidR="00CC26F0" w:rsidRPr="004D2ADB" w:rsidRDefault="00CC26F0" w:rsidP="00AA12E3">
            <w:pPr>
              <w:rPr>
                <w:rFonts w:ascii="Arial" w:hAnsi="Arial" w:cs="Arial"/>
                <w:b/>
                <w:kern w:val="0"/>
                <w14:ligatures w14:val="none"/>
              </w:rPr>
            </w:pPr>
            <w:r w:rsidRPr="004D2ADB">
              <w:rPr>
                <w:rFonts w:ascii="Arial" w:hAnsi="Arial" w:cs="Arial"/>
                <w:b/>
                <w:kern w:val="0"/>
                <w14:ligatures w14:val="none"/>
              </w:rPr>
              <w:t>28.823</w:t>
            </w:r>
          </w:p>
        </w:tc>
        <w:tc>
          <w:tcPr>
            <w:tcW w:w="1269" w:type="dxa"/>
          </w:tcPr>
          <w:p w14:paraId="22D234A2" w14:textId="77777777" w:rsidR="00CC26F0" w:rsidRPr="004D2ADB" w:rsidRDefault="00CC26F0" w:rsidP="00AA12E3">
            <w:pPr>
              <w:rPr>
                <w:rFonts w:ascii="Arial" w:hAnsi="Arial" w:cs="Arial"/>
                <w:b/>
                <w:kern w:val="0"/>
                <w14:ligatures w14:val="none"/>
              </w:rPr>
            </w:pPr>
            <w:r w:rsidRPr="004D2ADB">
              <w:rPr>
                <w:rFonts w:ascii="Arial" w:hAnsi="Arial" w:cs="Arial"/>
                <w:b/>
                <w:kern w:val="0"/>
                <w14:ligatures w14:val="none"/>
              </w:rPr>
              <w:t>33,60%</w:t>
            </w:r>
          </w:p>
        </w:tc>
      </w:tr>
    </w:tbl>
    <w:p w14:paraId="364C260B" w14:textId="77777777" w:rsidR="004D2ADB" w:rsidRDefault="004D2ADB" w:rsidP="00AA12E3">
      <w:pPr>
        <w:rPr>
          <w:bCs/>
          <w:i/>
          <w:iCs/>
          <w:sz w:val="16"/>
          <w:szCs w:val="16"/>
        </w:rPr>
      </w:pPr>
    </w:p>
    <w:p w14:paraId="4CB07909" w14:textId="60DDC144" w:rsidR="00CC26F0" w:rsidRPr="004D2ADB" w:rsidRDefault="00CC26F0" w:rsidP="00AA12E3">
      <w:pPr>
        <w:rPr>
          <w:bCs/>
          <w:i/>
          <w:iCs/>
          <w:sz w:val="16"/>
          <w:szCs w:val="16"/>
        </w:rPr>
      </w:pPr>
      <w:r w:rsidRPr="004D2ADB">
        <w:rPr>
          <w:bCs/>
          <w:i/>
          <w:iCs/>
          <w:sz w:val="16"/>
          <w:szCs w:val="16"/>
        </w:rPr>
        <w:t>Fuente: Ministerio de Agricultura, diciembre 2025</w:t>
      </w:r>
    </w:p>
    <w:p w14:paraId="2023A016" w14:textId="77777777" w:rsidR="004D2ADB" w:rsidRDefault="004D2ADB" w:rsidP="00AA12E3"/>
    <w:p w14:paraId="292021F7" w14:textId="1BFBA632" w:rsidR="00CC26F0" w:rsidRPr="00CC26F0" w:rsidRDefault="00CC26F0" w:rsidP="00AA12E3">
      <w:r w:rsidRPr="00CC26F0">
        <w:t xml:space="preserve">El Ministerio convocó en julio el Plan </w:t>
      </w:r>
      <w:proofErr w:type="spellStart"/>
      <w:r w:rsidRPr="00CC26F0">
        <w:t>Renove</w:t>
      </w:r>
      <w:proofErr w:type="spellEnd"/>
      <w:r w:rsidRPr="00CC26F0">
        <w:t xml:space="preserve"> para modernizar el parque de maquinaria agrícola, con un presupuesto de 9,55 millones de euros; 3.000.000 euros para la adquisición de maquinaria de siembra directa, 1 millón para componentes de agricultura de precisión y 5,5 millones para el resto de maquinaria subvencionable.</w:t>
      </w:r>
    </w:p>
    <w:p w14:paraId="50C3D673" w14:textId="77777777" w:rsidR="00CC26F0" w:rsidRPr="00CC26F0" w:rsidRDefault="00CC26F0" w:rsidP="00AA12E3">
      <w:r w:rsidRPr="00CC26F0">
        <w:t xml:space="preserve">Por primera vez se han incluido los componentes de agricultura de precisión para adaptación de equipos ya en uso en la explotación o equipos nuevos recién adquiridos, como los sistemas de autoguiado, adaptación de maquinaria para trabajo variable y kits </w:t>
      </w:r>
      <w:proofErr w:type="spellStart"/>
      <w:r w:rsidRPr="00CC26F0">
        <w:t>Isobus</w:t>
      </w:r>
      <w:proofErr w:type="spellEnd"/>
      <w:r w:rsidRPr="00CC26F0">
        <w:t>.</w:t>
      </w:r>
    </w:p>
    <w:p w14:paraId="0406CBD4" w14:textId="77777777" w:rsidR="00CC26F0" w:rsidRPr="00CC26F0" w:rsidRDefault="00CC26F0" w:rsidP="00AA12E3">
      <w:r w:rsidRPr="00CC26F0">
        <w:t>Las cifras provisionales del Plan 2025 apuntan que se han admitido 1.600 solicitudes de ayuda para la renovación de maquinaria agrícola, y han quedado fuera por falta de presupuesto 400 peticiones, el 16 % de las solicitudes presentadas por agricultores y ganaderos.</w:t>
      </w:r>
    </w:p>
    <w:p w14:paraId="3BDC3899" w14:textId="276F8971" w:rsidR="00CC26F0" w:rsidRPr="00CC26F0" w:rsidRDefault="00CC26F0" w:rsidP="00AA12E3">
      <w:r w:rsidRPr="00CC26F0">
        <w:t>Las ayudas han llegado a 15 comunidades autónomas, encabezadas como en otras ocasiones por Castilla y León, con 630 unidades y más de 4,7 millones de euros en subvenciones, el 55 por ciento del presupuesto total nacional, seguida de lejos por Aragón y Cataluña.</w:t>
      </w:r>
      <w:r w:rsidR="00656035">
        <w:t xml:space="preserve"> </w:t>
      </w:r>
      <w:r w:rsidRPr="00CC26F0">
        <w:t>Desde ASAJA consideramos que este peso de Castilla y León obedece a la profesionalidad de nuestras explotaciones, que precisan de una especialización y renovación máxima para desarrollar su trabajo.</w:t>
      </w:r>
    </w:p>
    <w:p w14:paraId="0A742651" w14:textId="77777777" w:rsidR="00CC26F0" w:rsidRDefault="00CC26F0" w:rsidP="00AA12E3">
      <w:pPr>
        <w:rPr>
          <w:highlight w:val="yellow"/>
        </w:rPr>
      </w:pPr>
    </w:p>
    <w:p w14:paraId="44127DA7" w14:textId="77777777" w:rsidR="00063522" w:rsidRPr="00CC26F0" w:rsidRDefault="00063522" w:rsidP="00AA12E3">
      <w:pPr>
        <w:rPr>
          <w:highlight w:val="yellow"/>
        </w:rPr>
      </w:pPr>
    </w:p>
    <w:p w14:paraId="7DFC2CD5" w14:textId="77777777" w:rsidR="00DC3CEA" w:rsidRDefault="00DC3CEA" w:rsidP="00AA12E3">
      <w:pPr>
        <w:jc w:val="center"/>
        <w:rPr>
          <w:b/>
          <w:bCs/>
        </w:rPr>
      </w:pPr>
    </w:p>
    <w:p w14:paraId="24EEB803" w14:textId="46E944AB" w:rsidR="00CC26F0" w:rsidRDefault="00CC26F0" w:rsidP="00AA12E3">
      <w:pPr>
        <w:jc w:val="center"/>
        <w:rPr>
          <w:b/>
          <w:bCs/>
        </w:rPr>
      </w:pPr>
      <w:r w:rsidRPr="00CC26F0">
        <w:rPr>
          <w:b/>
          <w:bCs/>
        </w:rPr>
        <w:lastRenderedPageBreak/>
        <w:t>SEGUROS AGRARIOS</w:t>
      </w:r>
    </w:p>
    <w:p w14:paraId="1FBA88D8" w14:textId="77777777" w:rsidR="00063522" w:rsidRPr="00CC26F0" w:rsidRDefault="00063522" w:rsidP="00AA12E3">
      <w:pPr>
        <w:jc w:val="center"/>
        <w:rPr>
          <w:b/>
          <w:bCs/>
        </w:rPr>
      </w:pPr>
    </w:p>
    <w:p w14:paraId="7516029C" w14:textId="77777777" w:rsidR="00CC26F0" w:rsidRDefault="00CC26F0" w:rsidP="00AA12E3">
      <w:pPr>
        <w:rPr>
          <w:bCs/>
        </w:rPr>
      </w:pPr>
      <w:r w:rsidRPr="00CC26F0">
        <w:rPr>
          <w:bCs/>
        </w:rPr>
        <w:t xml:space="preserve">El pedrisco fue protagonista del año 2025 en lo que a </w:t>
      </w:r>
      <w:r w:rsidRPr="00730F67">
        <w:rPr>
          <w:b/>
        </w:rPr>
        <w:t>siniestralidad agraria</w:t>
      </w:r>
      <w:r w:rsidRPr="00CC26F0">
        <w:rPr>
          <w:bCs/>
        </w:rPr>
        <w:t xml:space="preserve"> se refiere. Los episodios de granizo se reprodujeron en varios meses del año, destacando el mes de junio, con la mayor siniestralidad que ha conocido </w:t>
      </w:r>
      <w:proofErr w:type="spellStart"/>
      <w:r w:rsidRPr="00CC26F0">
        <w:rPr>
          <w:bCs/>
        </w:rPr>
        <w:t>Agroseguro</w:t>
      </w:r>
      <w:proofErr w:type="spellEnd"/>
      <w:r w:rsidRPr="00CC26F0">
        <w:rPr>
          <w:bCs/>
        </w:rPr>
        <w:t xml:space="preserve"> a nivel nacional por esta causa. Lógicamente, los cultivos más afectados fueron los cultivos herbáceos, predominantes en toda Castilla y León. También son destacables otras causas de siniestralidad, como la sequía en el girasol, ya que en algunas zonas no vio ni una gota de agua en todo el verano, o los daños por fauna, cada vez más abundantes y a los que el seguro no da solución. Pese a ello, en lo que a la siniestralidad agraria se refiere el año 2025 fue relativamente buena para el sistema de seguros agrarios español.</w:t>
      </w:r>
    </w:p>
    <w:p w14:paraId="745A019A" w14:textId="77777777" w:rsidR="00063522" w:rsidRPr="00CC26F0" w:rsidRDefault="00063522" w:rsidP="00AA12E3">
      <w:pPr>
        <w:rPr>
          <w:bCs/>
        </w:rPr>
      </w:pPr>
    </w:p>
    <w:p w14:paraId="0713CFD2" w14:textId="7CF86BB8" w:rsidR="00CC26F0" w:rsidRDefault="00CC26F0" w:rsidP="00AA12E3">
      <w:pPr>
        <w:rPr>
          <w:bCs/>
        </w:rPr>
      </w:pPr>
      <w:r w:rsidRPr="00CC26F0">
        <w:rPr>
          <w:bCs/>
        </w:rPr>
        <w:t xml:space="preserve">Las </w:t>
      </w:r>
      <w:r w:rsidRPr="00730F67">
        <w:rPr>
          <w:b/>
        </w:rPr>
        <w:t xml:space="preserve">indemnizaciones abonadas por </w:t>
      </w:r>
      <w:proofErr w:type="spellStart"/>
      <w:r w:rsidRPr="00730F67">
        <w:rPr>
          <w:b/>
        </w:rPr>
        <w:t>Agroseguro</w:t>
      </w:r>
      <w:proofErr w:type="spellEnd"/>
      <w:r w:rsidRPr="00CC26F0">
        <w:rPr>
          <w:bCs/>
        </w:rPr>
        <w:t xml:space="preserve"> a los agricultores de Castilla y León que se dedican al cultivo de hortalizas ascendieron a 2,02 millones de euros. En el caso de los cultivos herbáceos, esta cifra se eleva hasta los 46,43 millones de euros, un 37% de toda la siniestralidad de este tipo de cultivos en toda España. Finalmente, también hay que destacar las indemnizaciones en la uva de vino, que ascendieron a 8,81 millones de euros. La línea de seguro agrario más implantada en nuestra región es la de cultivos herbáceos extensivos. También son destacables las de uva de vinificación, vacuno de producción y reproducción y retirada de cadáveres de animales muertos en la explotación.</w:t>
      </w:r>
    </w:p>
    <w:p w14:paraId="17A1D276" w14:textId="77777777" w:rsidR="00063522" w:rsidRPr="00CC26F0" w:rsidRDefault="00063522" w:rsidP="00AA12E3">
      <w:pPr>
        <w:rPr>
          <w:bCs/>
        </w:rPr>
      </w:pPr>
    </w:p>
    <w:p w14:paraId="1E186762" w14:textId="77777777" w:rsidR="00CC26F0" w:rsidRDefault="00CC26F0" w:rsidP="00AA12E3">
      <w:pPr>
        <w:rPr>
          <w:bCs/>
        </w:rPr>
      </w:pPr>
      <w:r w:rsidRPr="00CC26F0">
        <w:rPr>
          <w:bCs/>
        </w:rPr>
        <w:t>En la parte pecuaria, este año ha hecho mucho daño la gripe aviar, con diversas explotaciones de aves sacrificadas en España, varias de ellas en Castilla y León. También se sigue sufriendo, entre otras, la lengua azul y la Enfermedad Hemorrágica Epizoótica. Por otra parte, acecha la peste porcina africana, que puede dar al traste con la producción porcina española y su exportación, y la dermatosis nodular contagiosa, que está haciendo estragos en el vacuno francés y ha afectado a la provincia de Gerona, donde parece estar contenida. Toda esta retahíla de enfermedades hace que se hable menos de las que acostumbran a hacer daño a nuestra cabaña, principalmente la tuberculosis bovina, donde se continúa marcando animales un día tras otro mientras la fauna salvaje, cada vez más abundante, campa a sus anchas pudiendo propagar la enfermedad.</w:t>
      </w:r>
    </w:p>
    <w:p w14:paraId="2DC446C0" w14:textId="77777777" w:rsidR="00063522" w:rsidRPr="00CC26F0" w:rsidRDefault="00063522" w:rsidP="00AA12E3">
      <w:pPr>
        <w:rPr>
          <w:bCs/>
        </w:rPr>
      </w:pPr>
    </w:p>
    <w:p w14:paraId="2942E801" w14:textId="77777777" w:rsidR="00CC26F0" w:rsidRPr="00CC26F0" w:rsidRDefault="00CC26F0" w:rsidP="00AA12E3">
      <w:pPr>
        <w:rPr>
          <w:bCs/>
        </w:rPr>
      </w:pPr>
      <w:r w:rsidRPr="00CC26F0">
        <w:rPr>
          <w:bCs/>
        </w:rPr>
        <w:t>ENESA aprobó el nuevo Plan Anual de Seguros Agrarios Combinados donde se siguen sin subvencionar los recargos. Esta forma de obrar está produciendo un aumento muy importante en los costes de las pólizas. También cabe recordar que las subvenciones para los seguros de retirada de cadáveres de animales muertos en la explotación continúan siendo calculadas por animal. Esto hace que las provincias de España donde la retirada es más cara, algo que depende de los precios que imponen las empresas gestoras -gremio en el que no existe competencia real-, se ven muy perjudicados en las subvenciones ya que porcentualmente reciben un importe muy inferior cuando además se están beneficiando de un menor coste de la retirada y, por tanto, también de un menor importe de la póliza. Las constantes quejas de ASAJA Castilla y León no se han visto contempladas en los sucesivos planes de seguros agrarios que se aprueban, pero esta organización seguirá defendiendo este punto dado lo discriminatorio que es para los ganaderos de nuestra región.</w:t>
      </w:r>
    </w:p>
    <w:p w14:paraId="06CB3A32" w14:textId="77777777" w:rsidR="00CC26F0" w:rsidRDefault="00CC26F0" w:rsidP="00AA12E3">
      <w:pPr>
        <w:jc w:val="center"/>
        <w:rPr>
          <w:b/>
        </w:rPr>
      </w:pPr>
    </w:p>
    <w:p w14:paraId="10F15C1D" w14:textId="77777777" w:rsidR="00730F67" w:rsidRDefault="00730F67" w:rsidP="00AA12E3">
      <w:pPr>
        <w:jc w:val="center"/>
        <w:rPr>
          <w:b/>
        </w:rPr>
      </w:pPr>
    </w:p>
    <w:p w14:paraId="6EB4E9C8" w14:textId="77777777" w:rsidR="00063522" w:rsidRPr="00063522" w:rsidRDefault="00063522" w:rsidP="00AA12E3">
      <w:pPr>
        <w:jc w:val="center"/>
        <w:rPr>
          <w:b/>
          <w:bCs/>
        </w:rPr>
      </w:pPr>
      <w:r w:rsidRPr="00063522">
        <w:rPr>
          <w:b/>
          <w:bCs/>
        </w:rPr>
        <w:lastRenderedPageBreak/>
        <w:t>PAC</w:t>
      </w:r>
    </w:p>
    <w:p w14:paraId="2D799791" w14:textId="77777777" w:rsidR="00063522" w:rsidRPr="00063522" w:rsidRDefault="00063522" w:rsidP="00AA12E3">
      <w:pPr>
        <w:jc w:val="center"/>
        <w:rPr>
          <w:b/>
          <w:bCs/>
        </w:rPr>
      </w:pPr>
    </w:p>
    <w:p w14:paraId="37E90BAA" w14:textId="2EB2DE2B" w:rsidR="00063522" w:rsidRDefault="00063522" w:rsidP="00AA12E3">
      <w:r w:rsidRPr="00063522">
        <w:t xml:space="preserve">En </w:t>
      </w:r>
      <w:r w:rsidRPr="00063522">
        <w:rPr>
          <w:b/>
          <w:bCs/>
        </w:rPr>
        <w:t>campaña PAC 2025</w:t>
      </w:r>
      <w:r w:rsidRPr="00063522">
        <w:t xml:space="preserve"> ha sido la tercera del Plan Estratégico 2023-2027, con un presupuesto para Castilla y León similar a los años anteriores que ronda los 950 mill</w:t>
      </w:r>
      <w:r>
        <w:t>ones de euros.</w:t>
      </w:r>
      <w:r w:rsidRPr="00063522">
        <w:t xml:space="preserve"> Se registraron 60.757 solicitudes, un 3,6 % menos que el año anterior, continuando un año más la bajada de solicitudes, mientras que en superficie se declararon 4.451</w:t>
      </w:r>
      <w:r w:rsidR="002E0401">
        <w:t xml:space="preserve"> hectáreas</w:t>
      </w:r>
      <w:r w:rsidRPr="00063522">
        <w:t xml:space="preserve"> más que en 2024, 5.278.403 hectáreas en total.</w:t>
      </w:r>
      <w:r w:rsidR="00656035">
        <w:t xml:space="preserve"> </w:t>
      </w:r>
      <w:r w:rsidRPr="00063522">
        <w:t>A partir del segundo año de aplicación de una PAC, las novedades suelen ser ligeros ajustes de aplicación, si bien esta campaña, tras la presión del sector y los ajustes legislativos necesarios, por fin se pusieron en marcha algunos cambios en las normas de condicionalidad y ecorregimenes prometidos meses antes.</w:t>
      </w:r>
    </w:p>
    <w:p w14:paraId="44E4155C" w14:textId="77777777" w:rsidR="00656035" w:rsidRPr="00063522" w:rsidRDefault="00656035" w:rsidP="00AA12E3"/>
    <w:p w14:paraId="027149C2" w14:textId="77777777" w:rsidR="00063522" w:rsidRPr="00063522" w:rsidRDefault="00063522" w:rsidP="00AA12E3">
      <w:r w:rsidRPr="00063522">
        <w:t xml:space="preserve">En </w:t>
      </w:r>
      <w:r w:rsidRPr="00063522">
        <w:rPr>
          <w:b/>
          <w:bCs/>
        </w:rPr>
        <w:t>condicionalidad</w:t>
      </w:r>
      <w:r w:rsidRPr="00063522">
        <w:t xml:space="preserve">, los más destacados fueron en la BCAM 6, permitiendo labores verticales no profundas tras la recolección de los cultivos herbáceos de invierno y desaparecieron las limitaciones en los barbechos. En la BCAM 7 pudiendo elegir entre rotación o diversificación de cultivos, en ambas con importantes cambios; para rotación, un tercio de las parcelas deben rotar de cultivo cada año y todas al menos una vez cada tres años; para diversificación se asimilan las condiciones de cumplimiento exigidas a las del pago verde del periodo anterior. Y por último se suprimió la obligación de establecer superficies de barbecho en la explotación que exigía la BCAM 8. </w:t>
      </w:r>
    </w:p>
    <w:p w14:paraId="5A23D5F7" w14:textId="77777777" w:rsidR="00063522" w:rsidRDefault="00063522" w:rsidP="00AA12E3"/>
    <w:p w14:paraId="4F275884" w14:textId="27D2B984" w:rsidR="00063522" w:rsidRPr="00063522" w:rsidRDefault="00063522" w:rsidP="00AA12E3">
      <w:r w:rsidRPr="00063522">
        <w:t xml:space="preserve">En cuanto a los </w:t>
      </w:r>
      <w:proofErr w:type="spellStart"/>
      <w:r w:rsidRPr="00063522">
        <w:rPr>
          <w:b/>
          <w:bCs/>
        </w:rPr>
        <w:t>ecorregímenes</w:t>
      </w:r>
      <w:proofErr w:type="spellEnd"/>
      <w:r w:rsidRPr="00063522">
        <w:t>, en las superficies de pastos se aprobaron cambios en algunos requisitos de las prácticas P2A y P2B. En las tierras de cultivo también hubo mejoras en la práctica de rotación con especies mejorantes (P3) sobre todo en las comarcas de secano en zonas áridas y algunas, como la elección de dejar barbecho, para todos. En las superficies de cultivos leñosos en secano, en la práctica de cubiertas vegetales espontáneas o sembradas (P6) la permanencia de cubierta viva ya no es anual, se permiten ciertas labores o cubrir con cubiertas en calles alternas. Algunos de estos cambios también afectan a la práctica de cubiertas vegetales inertes de restos de poda (P7).</w:t>
      </w:r>
    </w:p>
    <w:p w14:paraId="0CFA8477" w14:textId="77777777" w:rsidR="00063522" w:rsidRDefault="00063522" w:rsidP="00AA12E3"/>
    <w:p w14:paraId="337B8CE8" w14:textId="2BD45CD8" w:rsidR="00063522" w:rsidRPr="00063522" w:rsidRDefault="00063522" w:rsidP="00AA12E3">
      <w:r w:rsidRPr="00063522">
        <w:t xml:space="preserve">En cuanto a las ayudas </w:t>
      </w:r>
      <w:r w:rsidRPr="00063522">
        <w:rPr>
          <w:b/>
          <w:bCs/>
        </w:rPr>
        <w:t>agroambientales</w:t>
      </w:r>
      <w:r w:rsidRPr="00063522">
        <w:t xml:space="preserve">, ASAJA critica que en 2025 sólo se abriera la convocatoria para la incorporación de contratos plurianuales en dos líneas: Apicultura para la mejora de la biodiversidad y Agricultura ecológica. La falta de presupuesto, ya comprometido con las concesiones de anteriores convocatorias, trunca la demanda de muchos profesionales que no pudieron acceder o su solicitud fue rechazada en las primeras convocatorias de este PEPAC. </w:t>
      </w:r>
    </w:p>
    <w:p w14:paraId="47A7507B" w14:textId="77777777" w:rsidR="00322D08" w:rsidRDefault="00322D08" w:rsidP="00AA12E3"/>
    <w:p w14:paraId="25D97FAB" w14:textId="5E2EE22A" w:rsidR="00063522" w:rsidRPr="00063522" w:rsidRDefault="00063522" w:rsidP="00AA12E3">
      <w:r w:rsidRPr="00063522">
        <w:t xml:space="preserve">Respecto a los </w:t>
      </w:r>
      <w:r w:rsidRPr="00322D08">
        <w:rPr>
          <w:b/>
          <w:bCs/>
        </w:rPr>
        <w:t>pagos</w:t>
      </w:r>
      <w:r w:rsidRPr="00063522">
        <w:t>, a mediados de octubre la Consejería autorizó el pago del anticipo de la PAC 2025, lo que supuso el ingreso de 498 millones de euros en las cuentas de 49.000 agricultores y ganaderos de Castilla y León, importes correspondientes al 70% de las ayudas directas por superficie, aunque a sólo al 80 % de los solicitantes. También se anticiparon pagos de ayudas directas ligadas a los sectores ganaderos de vacuno de leche, vacas nodrizas y las ayudas asociadas al ovino y caprino, tanto de carne como de leche.</w:t>
      </w:r>
    </w:p>
    <w:p w14:paraId="24037F5E" w14:textId="6B3EAAE4" w:rsidR="00063522" w:rsidRPr="00063522" w:rsidRDefault="00063522" w:rsidP="00AA12E3">
      <w:r w:rsidRPr="00063522">
        <w:t>En el mes de diciembre 55.274 agricultores y ganaderos habían percibido un montante total de 831,5 millones de euros, más de 785 millones de euros en ayudas directas y 45,8 millones de pagos de medidas agroambientales, agricultura ecológica y ayudas a las zonas con limitaciones.</w:t>
      </w:r>
    </w:p>
    <w:p w14:paraId="3539EE20" w14:textId="77777777" w:rsidR="00063522" w:rsidRPr="00063522" w:rsidRDefault="00063522" w:rsidP="00AA12E3">
      <w:r w:rsidRPr="00063522">
        <w:lastRenderedPageBreak/>
        <w:t>Para nuestra organización, primera entidad gestora de estas ayudas que tramita una solicitud de cada 4 presentadas, las mayores preocupaciones con relación a la campaña de elaboración de estas ayudas se centran en exigir que el programa esté a punto el primer día de plazo, que además cuente con todos los filtros necesarios para detectar errores y que la administración realice lo antes posible las revisiones y cruces para que se puedan subsanar los problemas y así, todos los agricultores y ganaderos puedan cobrar los anticipos de las ayudas en octubre y .</w:t>
      </w:r>
    </w:p>
    <w:p w14:paraId="6AA764E9" w14:textId="77777777" w:rsidR="00063522" w:rsidRDefault="00063522" w:rsidP="00AA12E3">
      <w:pPr>
        <w:jc w:val="center"/>
        <w:rPr>
          <w:b/>
        </w:rPr>
      </w:pPr>
    </w:p>
    <w:p w14:paraId="3F219C8D" w14:textId="77777777" w:rsidR="00063522" w:rsidRPr="00CC26F0" w:rsidRDefault="00063522" w:rsidP="00AA12E3">
      <w:pPr>
        <w:jc w:val="center"/>
        <w:rPr>
          <w:b/>
        </w:rPr>
      </w:pPr>
    </w:p>
    <w:p w14:paraId="3D843CBF" w14:textId="77777777" w:rsidR="00CC26F0" w:rsidRDefault="00CC26F0" w:rsidP="00AA12E3">
      <w:pPr>
        <w:jc w:val="center"/>
        <w:rPr>
          <w:b/>
        </w:rPr>
      </w:pPr>
      <w:r w:rsidRPr="00CC26F0">
        <w:rPr>
          <w:b/>
        </w:rPr>
        <w:t>DESARROLLO RURAL</w:t>
      </w:r>
    </w:p>
    <w:p w14:paraId="377FCD36" w14:textId="77777777" w:rsidR="00063522" w:rsidRPr="00CC26F0" w:rsidRDefault="00063522" w:rsidP="00AA12E3">
      <w:pPr>
        <w:jc w:val="center"/>
        <w:rPr>
          <w:b/>
        </w:rPr>
      </w:pPr>
    </w:p>
    <w:p w14:paraId="52ABAEB3" w14:textId="6EBE0F26" w:rsidR="00CC26F0" w:rsidRPr="00CC26F0" w:rsidRDefault="00CC26F0" w:rsidP="00AA12E3">
      <w:pPr>
        <w:rPr>
          <w:bCs/>
        </w:rPr>
      </w:pPr>
      <w:r w:rsidRPr="00CC26F0">
        <w:rPr>
          <w:bCs/>
        </w:rPr>
        <w:t xml:space="preserve">En junio de 2025 se celebró la reunión del Comité de Seguimiento del Programa de Desarrollo Rural de Castilla y León para el </w:t>
      </w:r>
      <w:r w:rsidRPr="00322D08">
        <w:rPr>
          <w:b/>
        </w:rPr>
        <w:t>periodo 2014-2020</w:t>
      </w:r>
      <w:r w:rsidRPr="00CC26F0">
        <w:rPr>
          <w:bCs/>
        </w:rPr>
        <w:t xml:space="preserve"> (la modificación de la normativa comunitaria aprobada a finales del año 2020 ha prolongado la vigencia de los Programas hasta el año 2025).</w:t>
      </w:r>
      <w:r w:rsidR="00322D08">
        <w:rPr>
          <w:bCs/>
        </w:rPr>
        <w:t xml:space="preserve"> </w:t>
      </w:r>
      <w:r w:rsidRPr="00CC26F0">
        <w:rPr>
          <w:bCs/>
        </w:rPr>
        <w:t>La ejecución del Programa en términos económicos durante el año 2024 ascendió a más de 184 millones de euros, que supone, de manera acumulada a años anteriores, un total de más de 1.914,90 millones de euros a 31 de diciembre de 2024.</w:t>
      </w:r>
    </w:p>
    <w:p w14:paraId="12318324" w14:textId="77777777" w:rsidR="00322D08" w:rsidRDefault="00322D08" w:rsidP="00AA12E3">
      <w:pPr>
        <w:rPr>
          <w:bCs/>
        </w:rPr>
      </w:pPr>
    </w:p>
    <w:p w14:paraId="1F59DB27" w14:textId="78C755BF" w:rsidR="00CC26F0" w:rsidRPr="00CC26F0" w:rsidRDefault="00CC26F0" w:rsidP="00AA12E3">
      <w:pPr>
        <w:rPr>
          <w:bCs/>
        </w:rPr>
      </w:pPr>
      <w:r w:rsidRPr="00CC26F0">
        <w:rPr>
          <w:bCs/>
        </w:rPr>
        <w:t xml:space="preserve">En aplicación del actual </w:t>
      </w:r>
      <w:r w:rsidRPr="00322D08">
        <w:rPr>
          <w:b/>
        </w:rPr>
        <w:t>Programa de Desarrollo Rural 2023-2027</w:t>
      </w:r>
      <w:r w:rsidRPr="00CC26F0">
        <w:rPr>
          <w:bCs/>
        </w:rPr>
        <w:t>, se han aprobado las siguientes ayudas:</w:t>
      </w:r>
    </w:p>
    <w:p w14:paraId="55391DA4" w14:textId="77777777" w:rsidR="00CC26F0" w:rsidRPr="00CC26F0" w:rsidRDefault="00CC26F0" w:rsidP="00AA12E3">
      <w:pPr>
        <w:rPr>
          <w:bCs/>
        </w:rPr>
      </w:pPr>
      <w:bookmarkStart w:id="5" w:name="_Hlk218756389"/>
      <w:bookmarkStart w:id="6" w:name="_Hlk156394802"/>
      <w:r w:rsidRPr="00CC26F0">
        <w:rPr>
          <w:bCs/>
        </w:rPr>
        <w:t>La Consejería de Agricultura, Ganadería y Desarrollo Rural convocó a primeros de julio las ayudas para la mejora de las estructuras de producción y modernización de las explotaciones agrarias, habiéndose presentado un total de 2.613 solicitudes: 958 para la incorporación de jóvenes y 1655 para la modernización de explotaciones.</w:t>
      </w:r>
    </w:p>
    <w:p w14:paraId="0B32F872" w14:textId="77777777" w:rsidR="00CC26F0" w:rsidRPr="00CC26F0" w:rsidRDefault="00CC26F0" w:rsidP="00AA12E3">
      <w:pPr>
        <w:rPr>
          <w:bCs/>
        </w:rPr>
      </w:pPr>
      <w:r w:rsidRPr="00CC26F0">
        <w:rPr>
          <w:bCs/>
        </w:rPr>
        <w:t>De las 958 ayudas para la incorporación de jóvenes, 701 son hombres y 257 mujeres. La ayuda media solicitada es de 65.741€. Estas solicitudes superan ampliamente las de la convocatoria anterior de 2023, si bien esta convocatoria corresponde a 2 anualidades ya que en 2024 no se abrió el plazo, en la que se registraron 766 solicitudes con una ayuda media de 61.402€.</w:t>
      </w:r>
    </w:p>
    <w:p w14:paraId="3D71D50D" w14:textId="77777777" w:rsidR="00CC26F0" w:rsidRPr="00CC26F0" w:rsidRDefault="00CC26F0" w:rsidP="00AA12E3">
      <w:pPr>
        <w:rPr>
          <w:bCs/>
        </w:rPr>
      </w:pPr>
      <w:r w:rsidRPr="00CC26F0">
        <w:rPr>
          <w:bCs/>
        </w:rPr>
        <w:t>La mayoría de los jóvenes se ha instalado en explotaciones agrícolas de cultivos herbáceos (400 expedientes), seguidas de las dedicadas al bovino de carne (232) y de las que tiene carácter mixto agrícola-ganadera (71).</w:t>
      </w:r>
    </w:p>
    <w:p w14:paraId="33A7EE96" w14:textId="77777777" w:rsidR="00322D08" w:rsidRDefault="00322D08" w:rsidP="00AA12E3">
      <w:pPr>
        <w:rPr>
          <w:bCs/>
        </w:rPr>
      </w:pPr>
    </w:p>
    <w:p w14:paraId="530730EF" w14:textId="1080AE35" w:rsidR="00CC26F0" w:rsidRPr="00CC26F0" w:rsidRDefault="00CC26F0" w:rsidP="00AA12E3">
      <w:pPr>
        <w:rPr>
          <w:bCs/>
        </w:rPr>
      </w:pPr>
      <w:r w:rsidRPr="00CC26F0">
        <w:rPr>
          <w:bCs/>
        </w:rPr>
        <w:t>Por otro lado, se han presentado 1.655 solicitudes de ayuda a inversiones o modernización de explotaciones, 233 de la intervención de inversiones productivas en explotaciones agrarias vinculadas a contribuir a la mitigación-adaptación al cambio climático, uso eficiente de los recursos naturales y bienestar animal y 1.422 para las ayudas a inversiones en modernización y/o mejora de explotaciones agrarias, con una ayuda media solicitada de 31.886,16€ y 40.833,64€ respectivamente. En 2023 se solicitaron 1.140 ayudas a los planes de mejora.</w:t>
      </w:r>
    </w:p>
    <w:p w14:paraId="5083F5B9" w14:textId="77777777" w:rsidR="00322D08" w:rsidRDefault="00322D08" w:rsidP="00AA12E3">
      <w:pPr>
        <w:rPr>
          <w:bCs/>
        </w:rPr>
      </w:pPr>
    </w:p>
    <w:p w14:paraId="55ED192A" w14:textId="4C78C755" w:rsidR="00CC26F0" w:rsidRPr="00CC26F0" w:rsidRDefault="00CC26F0" w:rsidP="00AA12E3">
      <w:pPr>
        <w:rPr>
          <w:bCs/>
        </w:rPr>
      </w:pPr>
      <w:r w:rsidRPr="00CC26F0">
        <w:rPr>
          <w:bCs/>
        </w:rPr>
        <w:t>Es importante destacar que un 79% de las solicitudes han sido presentadas por las OPAS y URCACYL y de ese porcentaje el 48% han sido presentadas por ASAJA.</w:t>
      </w:r>
    </w:p>
    <w:p w14:paraId="70CB4CDD" w14:textId="4F307158" w:rsidR="00CC26F0" w:rsidRPr="00656035" w:rsidRDefault="00CC26F0" w:rsidP="00AA12E3">
      <w:pPr>
        <w:rPr>
          <w:bCs/>
        </w:rPr>
      </w:pPr>
      <w:r w:rsidRPr="00CC26F0">
        <w:rPr>
          <w:bCs/>
        </w:rPr>
        <w:t xml:space="preserve">Con la idea de </w:t>
      </w:r>
      <w:r w:rsidRPr="00CC26F0">
        <w:rPr>
          <w:b/>
          <w:bCs/>
        </w:rPr>
        <w:t>favorecer el relevo generacional</w:t>
      </w:r>
      <w:r w:rsidRPr="00CC26F0">
        <w:rPr>
          <w:bCs/>
        </w:rPr>
        <w:t xml:space="preserve"> y ayudar a los agricultores en edad de jubilación a cesar y transmitir su explotación se convocó a finales de octubre de 2024, la segunda convocatoria de ayudas para promover las sucesiones entre titulares de explotaciones agropecuarias, con una dotación cercana a los 5 millones de euros, que no fue suficiente para aprobar todas las solicitudes, lo que demuestra el interés de estas ayudas.  Se aprobaron 75 expedientes, de los cuales se </w:t>
      </w:r>
      <w:r w:rsidRPr="00CC26F0">
        <w:rPr>
          <w:bCs/>
        </w:rPr>
        <w:lastRenderedPageBreak/>
        <w:t>desprende que, 64 cesionarios eran menores de 41 años, incluyendo 46 personas físicas, 15 titularidades compartidas y 3 sociedades. La ayuda media que recibe quien cede la explotación asciende a 65.146,74 euros en cinco años, y la superficie agraria movilizada a través de esta convocatoria superó las</w:t>
      </w:r>
      <w:r w:rsidRPr="00CC26F0">
        <w:rPr>
          <w:b/>
          <w:bCs/>
        </w:rPr>
        <w:t> </w:t>
      </w:r>
      <w:r w:rsidRPr="00CC26F0">
        <w:t>6.100 hectáreas. </w:t>
      </w:r>
      <w:r w:rsidRPr="00CC26F0">
        <w:rPr>
          <w:b/>
          <w:bCs/>
        </w:rPr>
        <w:t> </w:t>
      </w:r>
      <w:r w:rsidRPr="00CC26F0">
        <w:t>ASAJA considera que la buena respuesta del sector a esta línea de ayudas hace necesario un mayor apoyo por parte de las administraciones, ampliando el presupuesto, que debería sostenerse en el tiempo, cosa que ahora mismo no está asegurada, puesto que únicamente se habilitaron fondos del PEPAC para dos convocatorias, la pasada y la presente.</w:t>
      </w:r>
    </w:p>
    <w:p w14:paraId="5F74A234" w14:textId="77777777" w:rsidR="00C911FA" w:rsidRDefault="00C911FA" w:rsidP="00AA12E3"/>
    <w:p w14:paraId="22F0CF04" w14:textId="127ADD35" w:rsidR="00322D08" w:rsidRPr="00656035" w:rsidRDefault="00655E3C" w:rsidP="00AA12E3">
      <w:r w:rsidRPr="00655E3C">
        <w:t>Este año, e</w:t>
      </w:r>
      <w:r w:rsidR="00FE7F97" w:rsidRPr="00655E3C">
        <w:t>n septiembre</w:t>
      </w:r>
      <w:r w:rsidRPr="00655E3C">
        <w:t>,</w:t>
      </w:r>
      <w:r w:rsidR="00FE7F97" w:rsidRPr="00655E3C">
        <w:t xml:space="preserve"> </w:t>
      </w:r>
      <w:r w:rsidRPr="00655E3C">
        <w:t>se</w:t>
      </w:r>
      <w:r w:rsidR="00FE7F97" w:rsidRPr="00655E3C">
        <w:t xml:space="preserve"> convoc</w:t>
      </w:r>
      <w:r w:rsidRPr="00655E3C">
        <w:t>aron por primera vez</w:t>
      </w:r>
      <w:r w:rsidR="00FE7F97" w:rsidRPr="00655E3C">
        <w:t xml:space="preserve"> </w:t>
      </w:r>
      <w:r w:rsidRPr="00655E3C">
        <w:t>ayudas para financiar inversiones en infraestructuras orientadas a mejorar la sanidad de las explotaciones ganaderas en extensivo y optimizar el uso de los pastos</w:t>
      </w:r>
      <w:r w:rsidRPr="00655E3C">
        <w:rPr>
          <w:b/>
          <w:bCs/>
        </w:rPr>
        <w:t xml:space="preserve">. </w:t>
      </w:r>
      <w:r w:rsidRPr="00655E3C">
        <w:t>Finalmente se ha d</w:t>
      </w:r>
      <w:r w:rsidR="00FE7F97" w:rsidRPr="00655E3C">
        <w:t xml:space="preserve">ado respuesta a la solicitud de ASAJA, permitiendo que los ganaderos </w:t>
      </w:r>
      <w:r w:rsidRPr="00655E3C">
        <w:t xml:space="preserve">particulares </w:t>
      </w:r>
      <w:r w:rsidR="00FE7F97" w:rsidRPr="00655E3C">
        <w:t>accedan a estas ayudas, anteriormente reservadas exclusivamente a entidades públicas locales.</w:t>
      </w:r>
      <w:r w:rsidR="00656035">
        <w:t xml:space="preserve"> </w:t>
      </w:r>
      <w:r w:rsidR="00C911FA" w:rsidRPr="00655E3C">
        <w:t xml:space="preserve">El objetivo de las ayudas es doble: por un </w:t>
      </w:r>
      <w:r w:rsidRPr="00655E3C">
        <w:t xml:space="preserve">lado, </w:t>
      </w:r>
      <w:r w:rsidR="00C911FA" w:rsidRPr="00655E3C">
        <w:t>apoyar a las explotaciones ganaderas extensivas mediante inversiones no productivas que mejoren el aprovechamiento de los recursos naturales y la prevención de adversidades climáticas</w:t>
      </w:r>
      <w:r w:rsidRPr="00655E3C">
        <w:t xml:space="preserve">, </w:t>
      </w:r>
      <w:r w:rsidR="00C911FA" w:rsidRPr="00655E3C">
        <w:t>y por otro, potenciar las inversiones relacionadas con la biodiversidad en explotaciones ganaderas extensivas y las mejoras en pastizales.</w:t>
      </w:r>
      <w:bookmarkEnd w:id="5"/>
    </w:p>
    <w:p w14:paraId="4B027DE7" w14:textId="77777777" w:rsidR="00322D08" w:rsidRDefault="00322D08" w:rsidP="00AA12E3">
      <w:pPr>
        <w:rPr>
          <w:b/>
        </w:rPr>
      </w:pPr>
    </w:p>
    <w:p w14:paraId="142FE3CE" w14:textId="77777777" w:rsidR="002E47D2" w:rsidRDefault="002E47D2" w:rsidP="00AA12E3">
      <w:pPr>
        <w:jc w:val="center"/>
        <w:rPr>
          <w:b/>
        </w:rPr>
      </w:pPr>
    </w:p>
    <w:p w14:paraId="2B014256" w14:textId="77777777" w:rsidR="00CC26F0" w:rsidRDefault="00CC26F0" w:rsidP="00AA12E3">
      <w:pPr>
        <w:jc w:val="center"/>
        <w:rPr>
          <w:b/>
        </w:rPr>
      </w:pPr>
      <w:r w:rsidRPr="00CC26F0">
        <w:rPr>
          <w:b/>
        </w:rPr>
        <w:t>AFILIACIÓN, SEGURIDAD SOCIAL Y FISCALIDAD</w:t>
      </w:r>
      <w:bookmarkStart w:id="7" w:name="fiscal"/>
      <w:bookmarkEnd w:id="7"/>
      <w:r w:rsidRPr="00CC26F0">
        <w:rPr>
          <w:b/>
        </w:rPr>
        <w:t xml:space="preserve"> </w:t>
      </w:r>
    </w:p>
    <w:p w14:paraId="05930805" w14:textId="77777777" w:rsidR="00063522" w:rsidRPr="00CC26F0" w:rsidRDefault="00063522" w:rsidP="00AA12E3">
      <w:pPr>
        <w:jc w:val="center"/>
        <w:rPr>
          <w:b/>
        </w:rPr>
      </w:pPr>
    </w:p>
    <w:p w14:paraId="6A5A9FA0" w14:textId="77777777" w:rsidR="00CC26F0" w:rsidRPr="00CC26F0" w:rsidRDefault="00CC26F0" w:rsidP="00AA12E3">
      <w:r w:rsidRPr="00CC26F0">
        <w:t xml:space="preserve">Si tenemos en cuenta el </w:t>
      </w:r>
      <w:r w:rsidRPr="00CC26F0">
        <w:rPr>
          <w:b/>
        </w:rPr>
        <w:t>número de afiliados a la Seguridad Social en diciembre de 2025</w:t>
      </w:r>
      <w:r w:rsidRPr="00CC26F0">
        <w:t xml:space="preserve">, Castilla y León registraba 59.660 afiliados en la actividad agraria, lo que supone un ligero descenso respecto a 2024 (59.677). Castilla y León </w:t>
      </w:r>
      <w:proofErr w:type="gramStart"/>
      <w:r w:rsidRPr="00CC26F0">
        <w:t>soporta</w:t>
      </w:r>
      <w:proofErr w:type="gramEnd"/>
      <w:r w:rsidRPr="00CC26F0">
        <w:t xml:space="preserve"> el 5,88% del número de afiliados a la seguridad social en esta actividad en España.</w:t>
      </w:r>
    </w:p>
    <w:p w14:paraId="31AABAC8" w14:textId="77777777" w:rsidR="00CC26F0" w:rsidRPr="00CC26F0" w:rsidRDefault="00CC26F0" w:rsidP="00AA12E3">
      <w:r w:rsidRPr="00CC26F0">
        <w:t>De esos 59.660 afiliados, 35.938 (el 60%) se encuentran inscritos en el RETA (autónomos) y 23.722 (el 40%) en el Régimen general (trabajadores por cuenta ajena), ratios de distribución totalmente opuestos al ámbito nacional, donde en el RETA están tan sólo el 25 % de los afiliados en esta actividad económica y el 75% restante en el régimen general. Esto es debido al tipo de agricultura de Castilla y León, extensiva y de producción continental.</w:t>
      </w:r>
    </w:p>
    <w:p w14:paraId="029199B5" w14:textId="77777777" w:rsidR="00322D08" w:rsidRDefault="00322D08" w:rsidP="00AA12E3">
      <w:pPr>
        <w:jc w:val="left"/>
        <w:rPr>
          <w:rFonts w:eastAsia="Aptos"/>
          <w:b/>
          <w:bCs/>
          <w:sz w:val="26"/>
          <w:szCs w:val="26"/>
          <w14:ligatures w14:val="standardContextual"/>
        </w:rPr>
      </w:pPr>
    </w:p>
    <w:p w14:paraId="7DCC5595" w14:textId="3BB0A408" w:rsidR="00CC26F0" w:rsidRPr="00CC26F0" w:rsidRDefault="00CC26F0" w:rsidP="00AA12E3">
      <w:pPr>
        <w:jc w:val="left"/>
        <w:rPr>
          <w:rFonts w:eastAsia="Aptos"/>
          <w:b/>
          <w:bCs/>
          <w:sz w:val="26"/>
          <w:szCs w:val="26"/>
          <w14:ligatures w14:val="standardContextual"/>
        </w:rPr>
      </w:pPr>
      <w:r w:rsidRPr="00CC26F0">
        <w:rPr>
          <w:rFonts w:eastAsia="Aptos"/>
          <w:b/>
          <w:bCs/>
          <w:sz w:val="26"/>
          <w:szCs w:val="26"/>
          <w14:ligatures w14:val="standardContextual"/>
        </w:rPr>
        <w:t>Número Afiliados a la SS en la Actividad Agraria. Media diciembre 2025.</w:t>
      </w:r>
    </w:p>
    <w:tbl>
      <w:tblPr>
        <w:tblpPr w:leftFromText="141" w:rightFromText="141" w:vertAnchor="text" w:horzAnchor="margin" w:tblpXSpec="center" w:tblpY="320"/>
        <w:tblW w:w="10065" w:type="dxa"/>
        <w:tblCellMar>
          <w:left w:w="0" w:type="dxa"/>
          <w:right w:w="0" w:type="dxa"/>
        </w:tblCellMar>
        <w:tblLook w:val="04A0" w:firstRow="1" w:lastRow="0" w:firstColumn="1" w:lastColumn="0" w:noHBand="0" w:noVBand="1"/>
      </w:tblPr>
      <w:tblGrid>
        <w:gridCol w:w="1814"/>
        <w:gridCol w:w="1146"/>
        <w:gridCol w:w="1109"/>
        <w:gridCol w:w="1104"/>
        <w:gridCol w:w="1243"/>
        <w:gridCol w:w="1108"/>
        <w:gridCol w:w="1139"/>
        <w:gridCol w:w="1402"/>
      </w:tblGrid>
      <w:tr w:rsidR="00CC26F0" w:rsidRPr="00CC26F0" w14:paraId="36829067" w14:textId="77777777" w:rsidTr="00E75FF7">
        <w:trPr>
          <w:trHeight w:val="416"/>
        </w:trPr>
        <w:tc>
          <w:tcPr>
            <w:tcW w:w="1896" w:type="dxa"/>
            <w:tcBorders>
              <w:top w:val="nil"/>
              <w:left w:val="nil"/>
              <w:bottom w:val="nil"/>
              <w:right w:val="single" w:sz="8" w:space="0" w:color="auto"/>
            </w:tcBorders>
            <w:tcMar>
              <w:top w:w="0" w:type="dxa"/>
              <w:left w:w="108" w:type="dxa"/>
              <w:bottom w:w="0" w:type="dxa"/>
              <w:right w:w="108" w:type="dxa"/>
            </w:tcMar>
          </w:tcPr>
          <w:p w14:paraId="22FC278C" w14:textId="77777777" w:rsidR="00CC26F0" w:rsidRPr="00CC26F0" w:rsidRDefault="00CC26F0" w:rsidP="00AA12E3">
            <w:pPr>
              <w:jc w:val="left"/>
              <w:rPr>
                <w:rFonts w:eastAsia="Aptos"/>
                <w:sz w:val="22"/>
                <w:szCs w:val="22"/>
                <w14:ligatures w14:val="standardContextual"/>
              </w:rPr>
            </w:pPr>
          </w:p>
        </w:tc>
        <w:tc>
          <w:tcPr>
            <w:tcW w:w="336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85E76C" w14:textId="77777777" w:rsidR="00CC26F0" w:rsidRPr="00CC26F0" w:rsidRDefault="00CC26F0" w:rsidP="00AA12E3">
            <w:pPr>
              <w:jc w:val="center"/>
              <w:rPr>
                <w:rFonts w:eastAsia="Aptos"/>
                <w:b/>
                <w:bCs/>
                <w:sz w:val="22"/>
                <w:szCs w:val="22"/>
                <w14:ligatures w14:val="standardContextual"/>
              </w:rPr>
            </w:pPr>
            <w:r w:rsidRPr="00CC26F0">
              <w:rPr>
                <w:rFonts w:eastAsia="Aptos"/>
                <w:b/>
                <w:bCs/>
                <w:sz w:val="22"/>
                <w:szCs w:val="22"/>
                <w14:ligatures w14:val="standardContextual"/>
              </w:rPr>
              <w:t>Régimen General</w:t>
            </w:r>
          </w:p>
        </w:tc>
        <w:tc>
          <w:tcPr>
            <w:tcW w:w="3525"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0BF19A" w14:textId="77777777" w:rsidR="00CC26F0" w:rsidRPr="00CC26F0" w:rsidRDefault="00CC26F0" w:rsidP="00AA12E3">
            <w:pPr>
              <w:jc w:val="center"/>
              <w:rPr>
                <w:rFonts w:eastAsia="Aptos"/>
                <w:b/>
                <w:bCs/>
                <w:sz w:val="22"/>
                <w:szCs w:val="22"/>
                <w14:ligatures w14:val="standardContextual"/>
              </w:rPr>
            </w:pPr>
            <w:r w:rsidRPr="00CC26F0">
              <w:rPr>
                <w:rFonts w:eastAsia="Aptos"/>
                <w:b/>
                <w:bCs/>
                <w:sz w:val="22"/>
                <w:szCs w:val="22"/>
                <w14:ligatures w14:val="standardContextual"/>
              </w:rPr>
              <w:t>RETA</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4072D8" w14:textId="783C620E" w:rsidR="00CC26F0" w:rsidRPr="00CC26F0" w:rsidRDefault="00655E3C" w:rsidP="00AA12E3">
            <w:pPr>
              <w:jc w:val="center"/>
              <w:rPr>
                <w:rFonts w:eastAsia="Aptos"/>
                <w:b/>
                <w:bCs/>
                <w:sz w:val="22"/>
                <w:szCs w:val="22"/>
                <w14:ligatures w14:val="standardContextual"/>
              </w:rPr>
            </w:pPr>
            <w:r w:rsidRPr="00CC26F0">
              <w:rPr>
                <w:rFonts w:eastAsia="Aptos"/>
                <w:b/>
                <w:bCs/>
                <w:sz w:val="22"/>
                <w:szCs w:val="22"/>
                <w14:ligatures w14:val="standardContextual"/>
              </w:rPr>
              <w:t>AFILIADOS</w:t>
            </w:r>
          </w:p>
        </w:tc>
      </w:tr>
      <w:tr w:rsidR="00CC26F0" w:rsidRPr="00CC26F0" w14:paraId="78F88DFB" w14:textId="77777777" w:rsidTr="00E75FF7">
        <w:trPr>
          <w:trHeight w:val="730"/>
        </w:trPr>
        <w:tc>
          <w:tcPr>
            <w:tcW w:w="1896" w:type="dxa"/>
            <w:tcBorders>
              <w:top w:val="nil"/>
              <w:left w:val="nil"/>
              <w:bottom w:val="single" w:sz="8" w:space="0" w:color="auto"/>
              <w:right w:val="single" w:sz="8" w:space="0" w:color="auto"/>
            </w:tcBorders>
            <w:tcMar>
              <w:top w:w="0" w:type="dxa"/>
              <w:left w:w="108" w:type="dxa"/>
              <w:bottom w:w="0" w:type="dxa"/>
              <w:right w:w="108" w:type="dxa"/>
            </w:tcMar>
          </w:tcPr>
          <w:p w14:paraId="49EA8148" w14:textId="77777777" w:rsidR="00CC26F0" w:rsidRPr="00CC26F0" w:rsidRDefault="00CC26F0" w:rsidP="00AA12E3">
            <w:pPr>
              <w:jc w:val="left"/>
              <w:rPr>
                <w:rFonts w:eastAsia="Aptos"/>
                <w:sz w:val="22"/>
                <w:szCs w:val="22"/>
                <w14:ligatures w14:val="standardContextual"/>
              </w:rPr>
            </w:pPr>
          </w:p>
        </w:tc>
        <w:tc>
          <w:tcPr>
            <w:tcW w:w="1146" w:type="dxa"/>
            <w:tcBorders>
              <w:top w:val="nil"/>
              <w:left w:val="nil"/>
              <w:bottom w:val="single" w:sz="8" w:space="0" w:color="auto"/>
              <w:right w:val="single" w:sz="8" w:space="0" w:color="auto"/>
            </w:tcBorders>
            <w:tcMar>
              <w:top w:w="0" w:type="dxa"/>
              <w:left w:w="108" w:type="dxa"/>
              <w:bottom w:w="0" w:type="dxa"/>
              <w:right w:w="108" w:type="dxa"/>
            </w:tcMar>
            <w:hideMark/>
          </w:tcPr>
          <w:p w14:paraId="446E7408" w14:textId="77777777" w:rsidR="00CC26F0" w:rsidRPr="00CC26F0" w:rsidRDefault="00CC26F0" w:rsidP="00AA12E3">
            <w:pPr>
              <w:jc w:val="center"/>
              <w:rPr>
                <w:rFonts w:eastAsia="Aptos"/>
                <w:sz w:val="22"/>
                <w:szCs w:val="22"/>
                <w14:ligatures w14:val="standardContextual"/>
              </w:rPr>
            </w:pPr>
            <w:r w:rsidRPr="00CC26F0">
              <w:rPr>
                <w:rFonts w:eastAsia="Aptos"/>
                <w:b/>
                <w:bCs/>
                <w:sz w:val="22"/>
                <w:szCs w:val="22"/>
                <w14:ligatures w14:val="standardContextual"/>
              </w:rPr>
              <w:t>Régimen General</w:t>
            </w:r>
          </w:p>
        </w:tc>
        <w:tc>
          <w:tcPr>
            <w:tcW w:w="11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663EAE" w14:textId="77777777" w:rsidR="00CC26F0" w:rsidRPr="00CC26F0" w:rsidRDefault="00CC26F0" w:rsidP="00AA12E3">
            <w:pPr>
              <w:jc w:val="center"/>
              <w:rPr>
                <w:rFonts w:eastAsia="Aptos"/>
                <w:b/>
                <w:bCs/>
                <w:sz w:val="22"/>
                <w:szCs w:val="22"/>
                <w14:ligatures w14:val="standardContextual"/>
              </w:rPr>
            </w:pPr>
            <w:r w:rsidRPr="00CC26F0">
              <w:rPr>
                <w:rFonts w:eastAsia="Aptos"/>
                <w:b/>
                <w:bCs/>
                <w:sz w:val="22"/>
                <w:szCs w:val="22"/>
                <w14:ligatures w14:val="standardContextual"/>
              </w:rPr>
              <w:t>Sistema Especial Agrario</w:t>
            </w:r>
          </w:p>
        </w:tc>
        <w:tc>
          <w:tcPr>
            <w:tcW w:w="11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7F8901" w14:textId="77777777" w:rsidR="00CC26F0" w:rsidRPr="00CC26F0" w:rsidRDefault="00CC26F0" w:rsidP="00AA12E3">
            <w:pPr>
              <w:jc w:val="center"/>
              <w:rPr>
                <w:rFonts w:eastAsia="Aptos"/>
                <w:b/>
                <w:bCs/>
                <w:sz w:val="22"/>
                <w:szCs w:val="22"/>
                <w14:ligatures w14:val="standardContextual"/>
              </w:rPr>
            </w:pPr>
            <w:r w:rsidRPr="00CC26F0">
              <w:rPr>
                <w:rFonts w:eastAsia="Aptos"/>
                <w:b/>
                <w:bCs/>
                <w:sz w:val="22"/>
                <w:szCs w:val="22"/>
                <w14:ligatures w14:val="standardContextual"/>
              </w:rPr>
              <w:t>Total</w:t>
            </w:r>
          </w:p>
        </w:tc>
        <w:tc>
          <w:tcPr>
            <w:tcW w:w="1257" w:type="dxa"/>
            <w:tcBorders>
              <w:top w:val="nil"/>
              <w:left w:val="nil"/>
              <w:bottom w:val="single" w:sz="8" w:space="0" w:color="auto"/>
              <w:right w:val="single" w:sz="8" w:space="0" w:color="auto"/>
            </w:tcBorders>
            <w:tcMar>
              <w:top w:w="0" w:type="dxa"/>
              <w:left w:w="108" w:type="dxa"/>
              <w:bottom w:w="0" w:type="dxa"/>
              <w:right w:w="108" w:type="dxa"/>
            </w:tcMar>
            <w:hideMark/>
          </w:tcPr>
          <w:p w14:paraId="0CB7C581" w14:textId="77777777" w:rsidR="00CC26F0" w:rsidRPr="00CC26F0" w:rsidRDefault="00CC26F0" w:rsidP="00AA12E3">
            <w:pPr>
              <w:jc w:val="center"/>
              <w:rPr>
                <w:rFonts w:eastAsia="Aptos"/>
                <w:b/>
                <w:bCs/>
                <w:sz w:val="22"/>
                <w:szCs w:val="22"/>
                <w14:ligatures w14:val="standardContextual"/>
              </w:rPr>
            </w:pPr>
            <w:r w:rsidRPr="00CC26F0">
              <w:rPr>
                <w:rFonts w:eastAsia="Aptos"/>
                <w:b/>
                <w:bCs/>
                <w:sz w:val="22"/>
                <w:szCs w:val="22"/>
                <w14:ligatures w14:val="standardContextual"/>
              </w:rPr>
              <w:t>RETA (*)</w:t>
            </w:r>
          </w:p>
          <w:p w14:paraId="0120AD0D" w14:textId="77777777" w:rsidR="00CC26F0" w:rsidRPr="00CC26F0" w:rsidRDefault="00CC26F0" w:rsidP="00AA12E3">
            <w:pPr>
              <w:jc w:val="center"/>
              <w:rPr>
                <w:rFonts w:eastAsia="Aptos"/>
                <w:b/>
                <w:bCs/>
                <w:sz w:val="22"/>
                <w:szCs w:val="22"/>
                <w14:ligatures w14:val="standardContextual"/>
              </w:rPr>
            </w:pPr>
            <w:r w:rsidRPr="00CC26F0">
              <w:rPr>
                <w:rFonts w:eastAsia="Aptos"/>
                <w:b/>
                <w:bCs/>
                <w:sz w:val="22"/>
                <w:szCs w:val="22"/>
                <w14:ligatures w14:val="standardContextual"/>
              </w:rPr>
              <w:t xml:space="preserve">Epígrafe </w:t>
            </w:r>
            <w:r w:rsidRPr="00CC26F0">
              <w:rPr>
                <w:rFonts w:eastAsia="Aptos"/>
                <w:b/>
                <w:bCs/>
                <w:sz w:val="22"/>
                <w:szCs w:val="22"/>
                <w14:ligatures w14:val="standardContextual"/>
              </w:rPr>
              <w:br/>
              <w:t>Agrario</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5D9B6E43" w14:textId="77777777" w:rsidR="00CC26F0" w:rsidRPr="00CC26F0" w:rsidRDefault="00CC26F0" w:rsidP="00AA12E3">
            <w:pPr>
              <w:jc w:val="center"/>
              <w:rPr>
                <w:rFonts w:eastAsia="Aptos"/>
                <w:b/>
                <w:bCs/>
                <w:sz w:val="22"/>
                <w:szCs w:val="22"/>
                <w14:ligatures w14:val="standardContextual"/>
              </w:rPr>
            </w:pPr>
            <w:r w:rsidRPr="00CC26F0">
              <w:rPr>
                <w:rFonts w:eastAsia="Aptos"/>
                <w:b/>
                <w:bCs/>
                <w:sz w:val="22"/>
                <w:szCs w:val="22"/>
                <w14:ligatures w14:val="standardContextual"/>
              </w:rPr>
              <w:t>SETA (**)</w:t>
            </w:r>
          </w:p>
        </w:tc>
        <w:tc>
          <w:tcPr>
            <w:tcW w:w="1151" w:type="dxa"/>
            <w:tcBorders>
              <w:top w:val="nil"/>
              <w:left w:val="nil"/>
              <w:bottom w:val="single" w:sz="8" w:space="0" w:color="auto"/>
              <w:right w:val="single" w:sz="8" w:space="0" w:color="auto"/>
            </w:tcBorders>
            <w:tcMar>
              <w:top w:w="0" w:type="dxa"/>
              <w:left w:w="108" w:type="dxa"/>
              <w:bottom w:w="0" w:type="dxa"/>
              <w:right w:w="108" w:type="dxa"/>
            </w:tcMar>
            <w:hideMark/>
          </w:tcPr>
          <w:p w14:paraId="2EE1F66E" w14:textId="77777777" w:rsidR="00CC26F0" w:rsidRPr="00CC26F0" w:rsidRDefault="00CC26F0" w:rsidP="00AA12E3">
            <w:pPr>
              <w:jc w:val="center"/>
              <w:rPr>
                <w:rFonts w:eastAsia="Aptos"/>
                <w:b/>
                <w:bCs/>
                <w:sz w:val="22"/>
                <w:szCs w:val="22"/>
                <w14:ligatures w14:val="standardContextual"/>
              </w:rPr>
            </w:pPr>
            <w:r w:rsidRPr="00CC26F0">
              <w:rPr>
                <w:rFonts w:eastAsia="Aptos"/>
                <w:b/>
                <w:bCs/>
                <w:sz w:val="22"/>
                <w:szCs w:val="22"/>
                <w14:ligatures w14:val="standardContextual"/>
              </w:rPr>
              <w:t>Total</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2DB7A318" w14:textId="11580173" w:rsidR="00CC26F0" w:rsidRPr="00CC26F0" w:rsidRDefault="00655E3C" w:rsidP="00AA12E3">
            <w:pPr>
              <w:jc w:val="center"/>
              <w:rPr>
                <w:rFonts w:eastAsia="Aptos"/>
                <w:sz w:val="22"/>
                <w:szCs w:val="22"/>
                <w14:ligatures w14:val="standardContextual"/>
              </w:rPr>
            </w:pPr>
            <w:r w:rsidRPr="00CC26F0">
              <w:rPr>
                <w:rFonts w:eastAsia="Aptos"/>
                <w:b/>
                <w:bCs/>
                <w:sz w:val="22"/>
                <w:szCs w:val="22"/>
                <w14:ligatures w14:val="standardContextual"/>
              </w:rPr>
              <w:t xml:space="preserve">TOTAL </w:t>
            </w:r>
          </w:p>
        </w:tc>
      </w:tr>
      <w:tr w:rsidR="00CC26F0" w:rsidRPr="00CC26F0" w14:paraId="34D9328D" w14:textId="77777777" w:rsidTr="00E75FF7">
        <w:trPr>
          <w:trHeight w:val="453"/>
        </w:trPr>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6BD436" w14:textId="77777777" w:rsidR="00CC26F0" w:rsidRPr="00CC26F0" w:rsidRDefault="00CC26F0" w:rsidP="00AA12E3">
            <w:pPr>
              <w:jc w:val="left"/>
              <w:rPr>
                <w:rFonts w:eastAsia="Aptos"/>
                <w:b/>
                <w:bCs/>
                <w:sz w:val="22"/>
                <w:szCs w:val="22"/>
                <w14:ligatures w14:val="standardContextual"/>
              </w:rPr>
            </w:pPr>
            <w:r w:rsidRPr="00CC26F0">
              <w:rPr>
                <w:rFonts w:eastAsia="Aptos"/>
                <w:b/>
                <w:bCs/>
                <w:sz w:val="22"/>
                <w:szCs w:val="22"/>
                <w14:ligatures w14:val="standardContextual"/>
              </w:rPr>
              <w:t>Castilla y León</w:t>
            </w:r>
          </w:p>
        </w:tc>
        <w:tc>
          <w:tcPr>
            <w:tcW w:w="1146" w:type="dxa"/>
            <w:tcBorders>
              <w:top w:val="nil"/>
              <w:left w:val="nil"/>
              <w:bottom w:val="single" w:sz="8" w:space="0" w:color="auto"/>
              <w:right w:val="single" w:sz="8" w:space="0" w:color="auto"/>
            </w:tcBorders>
            <w:tcMar>
              <w:top w:w="0" w:type="dxa"/>
              <w:left w:w="108" w:type="dxa"/>
              <w:bottom w:w="0" w:type="dxa"/>
              <w:right w:w="108" w:type="dxa"/>
            </w:tcMar>
          </w:tcPr>
          <w:p w14:paraId="2DB9098A" w14:textId="77777777" w:rsidR="00CC26F0" w:rsidRPr="00CC26F0" w:rsidRDefault="00CC26F0" w:rsidP="00AA12E3">
            <w:pPr>
              <w:jc w:val="center"/>
              <w:rPr>
                <w:rFonts w:eastAsia="Aptos"/>
                <w:b/>
                <w:bCs/>
                <w:sz w:val="22"/>
                <w:szCs w:val="22"/>
                <w14:ligatures w14:val="standardContextual"/>
              </w:rPr>
            </w:pPr>
            <w:r w:rsidRPr="00CC26F0">
              <w:rPr>
                <w:rFonts w:eastAsia="Aptos"/>
                <w:b/>
                <w:bCs/>
                <w:sz w:val="22"/>
                <w:szCs w:val="22"/>
                <w14:ligatures w14:val="standardContextual"/>
              </w:rPr>
              <w:t>11.139</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2EAFB898" w14:textId="77777777" w:rsidR="00CC26F0" w:rsidRPr="00CC26F0" w:rsidRDefault="00CC26F0" w:rsidP="00AA12E3">
            <w:pPr>
              <w:jc w:val="center"/>
              <w:rPr>
                <w:rFonts w:eastAsia="Aptos"/>
                <w:b/>
                <w:bCs/>
                <w:sz w:val="22"/>
                <w:szCs w:val="22"/>
                <w14:ligatures w14:val="standardContextual"/>
              </w:rPr>
            </w:pPr>
            <w:r w:rsidRPr="00CC26F0">
              <w:rPr>
                <w:rFonts w:eastAsia="Aptos"/>
                <w:b/>
                <w:bCs/>
                <w:sz w:val="22"/>
                <w:szCs w:val="22"/>
                <w14:ligatures w14:val="standardContextual"/>
              </w:rPr>
              <w:t>12.583</w:t>
            </w:r>
          </w:p>
        </w:tc>
        <w:tc>
          <w:tcPr>
            <w:tcW w:w="1113" w:type="dxa"/>
            <w:tcBorders>
              <w:top w:val="nil"/>
              <w:left w:val="nil"/>
              <w:bottom w:val="single" w:sz="8" w:space="0" w:color="auto"/>
              <w:right w:val="single" w:sz="8" w:space="0" w:color="auto"/>
            </w:tcBorders>
            <w:tcMar>
              <w:top w:w="0" w:type="dxa"/>
              <w:left w:w="108" w:type="dxa"/>
              <w:bottom w:w="0" w:type="dxa"/>
              <w:right w:w="108" w:type="dxa"/>
            </w:tcMar>
          </w:tcPr>
          <w:p w14:paraId="2649614F" w14:textId="77777777" w:rsidR="00CC26F0" w:rsidRPr="00CC26F0" w:rsidRDefault="00CC26F0" w:rsidP="00AA12E3">
            <w:pPr>
              <w:jc w:val="center"/>
              <w:rPr>
                <w:rFonts w:eastAsia="Aptos"/>
                <w:b/>
                <w:bCs/>
                <w:sz w:val="22"/>
                <w:szCs w:val="22"/>
                <w14:ligatures w14:val="standardContextual"/>
              </w:rPr>
            </w:pPr>
            <w:r w:rsidRPr="00CC26F0">
              <w:rPr>
                <w:rFonts w:eastAsia="Aptos"/>
                <w:b/>
                <w:bCs/>
                <w:sz w:val="22"/>
                <w:szCs w:val="22"/>
                <w14:ligatures w14:val="standardContextual"/>
              </w:rPr>
              <w:t>23.722</w:t>
            </w:r>
          </w:p>
        </w:tc>
        <w:tc>
          <w:tcPr>
            <w:tcW w:w="1257" w:type="dxa"/>
            <w:tcBorders>
              <w:top w:val="nil"/>
              <w:left w:val="nil"/>
              <w:bottom w:val="single" w:sz="8" w:space="0" w:color="auto"/>
              <w:right w:val="single" w:sz="8" w:space="0" w:color="auto"/>
            </w:tcBorders>
            <w:tcMar>
              <w:top w:w="0" w:type="dxa"/>
              <w:left w:w="108" w:type="dxa"/>
              <w:bottom w:w="0" w:type="dxa"/>
              <w:right w:w="108" w:type="dxa"/>
            </w:tcMar>
          </w:tcPr>
          <w:p w14:paraId="6826CF1D" w14:textId="77777777" w:rsidR="00CC26F0" w:rsidRPr="00CC26F0" w:rsidRDefault="00CC26F0" w:rsidP="00AA12E3">
            <w:pPr>
              <w:jc w:val="center"/>
              <w:rPr>
                <w:rFonts w:eastAsia="Aptos"/>
                <w:b/>
                <w:bCs/>
                <w:sz w:val="22"/>
                <w:szCs w:val="22"/>
                <w14:ligatures w14:val="standardContextual"/>
              </w:rPr>
            </w:pPr>
            <w:r w:rsidRPr="00CC26F0">
              <w:rPr>
                <w:rFonts w:eastAsia="Aptos"/>
                <w:b/>
                <w:bCs/>
                <w:sz w:val="22"/>
                <w:szCs w:val="22"/>
                <w14:ligatures w14:val="standardContextual"/>
              </w:rPr>
              <w:t>10.807</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33E48D50" w14:textId="77777777" w:rsidR="00CC26F0" w:rsidRPr="00CC26F0" w:rsidRDefault="00CC26F0" w:rsidP="00AA12E3">
            <w:pPr>
              <w:jc w:val="center"/>
              <w:rPr>
                <w:rFonts w:eastAsia="Aptos"/>
                <w:b/>
                <w:bCs/>
                <w:sz w:val="22"/>
                <w:szCs w:val="22"/>
                <w14:ligatures w14:val="standardContextual"/>
              </w:rPr>
            </w:pPr>
            <w:r w:rsidRPr="00CC26F0">
              <w:rPr>
                <w:rFonts w:eastAsia="Aptos"/>
                <w:b/>
                <w:bCs/>
                <w:sz w:val="22"/>
                <w:szCs w:val="22"/>
                <w14:ligatures w14:val="standardContextual"/>
              </w:rPr>
              <w:t>25.131</w:t>
            </w:r>
          </w:p>
        </w:tc>
        <w:tc>
          <w:tcPr>
            <w:tcW w:w="1151" w:type="dxa"/>
            <w:tcBorders>
              <w:top w:val="nil"/>
              <w:left w:val="nil"/>
              <w:bottom w:val="single" w:sz="8" w:space="0" w:color="auto"/>
              <w:right w:val="single" w:sz="8" w:space="0" w:color="auto"/>
            </w:tcBorders>
            <w:tcMar>
              <w:top w:w="0" w:type="dxa"/>
              <w:left w:w="108" w:type="dxa"/>
              <w:bottom w:w="0" w:type="dxa"/>
              <w:right w:w="108" w:type="dxa"/>
            </w:tcMar>
          </w:tcPr>
          <w:p w14:paraId="620E009D" w14:textId="77777777" w:rsidR="00CC26F0" w:rsidRPr="00CC26F0" w:rsidRDefault="00CC26F0" w:rsidP="00AA12E3">
            <w:pPr>
              <w:jc w:val="center"/>
              <w:rPr>
                <w:rFonts w:eastAsia="Aptos"/>
                <w:b/>
                <w:bCs/>
                <w:sz w:val="22"/>
                <w:szCs w:val="22"/>
                <w14:ligatures w14:val="standardContextual"/>
              </w:rPr>
            </w:pPr>
            <w:r w:rsidRPr="00CC26F0">
              <w:rPr>
                <w:rFonts w:eastAsia="Aptos"/>
                <w:b/>
                <w:bCs/>
                <w:sz w:val="22"/>
                <w:szCs w:val="22"/>
                <w14:ligatures w14:val="standardContextual"/>
              </w:rPr>
              <w:t>35.938</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4E3A7CF9" w14:textId="77777777" w:rsidR="00CC26F0" w:rsidRPr="00CC26F0" w:rsidRDefault="00CC26F0" w:rsidP="00AA12E3">
            <w:pPr>
              <w:jc w:val="center"/>
              <w:rPr>
                <w:rFonts w:eastAsia="Aptos"/>
                <w:b/>
                <w:bCs/>
                <w:sz w:val="22"/>
                <w:szCs w:val="22"/>
                <w14:ligatures w14:val="standardContextual"/>
              </w:rPr>
            </w:pPr>
            <w:r w:rsidRPr="00CC26F0">
              <w:rPr>
                <w:rFonts w:eastAsia="Aptos"/>
                <w:b/>
                <w:bCs/>
                <w:sz w:val="22"/>
                <w:szCs w:val="22"/>
                <w14:ligatures w14:val="standardContextual"/>
              </w:rPr>
              <w:t>59.660</w:t>
            </w:r>
          </w:p>
        </w:tc>
      </w:tr>
      <w:tr w:rsidR="00CC26F0" w:rsidRPr="00CC26F0" w14:paraId="6DC10803" w14:textId="77777777" w:rsidTr="00E75FF7">
        <w:trPr>
          <w:trHeight w:val="465"/>
        </w:trPr>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519C0" w14:textId="77777777" w:rsidR="00CC26F0" w:rsidRPr="00CC26F0" w:rsidRDefault="00CC26F0" w:rsidP="00AA12E3">
            <w:pPr>
              <w:jc w:val="left"/>
              <w:rPr>
                <w:rFonts w:eastAsia="Aptos"/>
                <w:sz w:val="22"/>
                <w:szCs w:val="22"/>
                <w14:ligatures w14:val="standardContextual"/>
              </w:rPr>
            </w:pPr>
            <w:r w:rsidRPr="00CC26F0">
              <w:rPr>
                <w:rFonts w:eastAsia="Aptos"/>
                <w:sz w:val="22"/>
                <w:szCs w:val="22"/>
                <w14:ligatures w14:val="standardContextual"/>
              </w:rPr>
              <w:t>España</w:t>
            </w:r>
          </w:p>
        </w:tc>
        <w:tc>
          <w:tcPr>
            <w:tcW w:w="1146" w:type="dxa"/>
            <w:tcBorders>
              <w:top w:val="nil"/>
              <w:left w:val="nil"/>
              <w:bottom w:val="single" w:sz="8" w:space="0" w:color="auto"/>
              <w:right w:val="single" w:sz="8" w:space="0" w:color="auto"/>
            </w:tcBorders>
            <w:tcMar>
              <w:top w:w="0" w:type="dxa"/>
              <w:left w:w="108" w:type="dxa"/>
              <w:bottom w:w="0" w:type="dxa"/>
              <w:right w:w="108" w:type="dxa"/>
            </w:tcMar>
          </w:tcPr>
          <w:p w14:paraId="26699C04" w14:textId="77777777" w:rsidR="00CC26F0" w:rsidRPr="00CC26F0" w:rsidRDefault="00CC26F0" w:rsidP="00AA12E3">
            <w:pPr>
              <w:jc w:val="center"/>
              <w:rPr>
                <w:rFonts w:eastAsia="Aptos"/>
                <w:sz w:val="22"/>
                <w:szCs w:val="22"/>
                <w14:ligatures w14:val="standardContextual"/>
              </w:rPr>
            </w:pPr>
            <w:r w:rsidRPr="00CC26F0">
              <w:rPr>
                <w:rFonts w:eastAsia="Aptos"/>
                <w:sz w:val="22"/>
                <w:szCs w:val="22"/>
                <w14:ligatures w14:val="standardContextual"/>
              </w:rPr>
              <w:t>88.216</w:t>
            </w:r>
          </w:p>
        </w:tc>
        <w:tc>
          <w:tcPr>
            <w:tcW w:w="1109" w:type="dxa"/>
            <w:tcBorders>
              <w:top w:val="nil"/>
              <w:left w:val="nil"/>
              <w:bottom w:val="single" w:sz="8" w:space="0" w:color="auto"/>
              <w:right w:val="single" w:sz="8" w:space="0" w:color="auto"/>
            </w:tcBorders>
            <w:tcMar>
              <w:top w:w="0" w:type="dxa"/>
              <w:left w:w="108" w:type="dxa"/>
              <w:bottom w:w="0" w:type="dxa"/>
              <w:right w:w="108" w:type="dxa"/>
            </w:tcMar>
          </w:tcPr>
          <w:p w14:paraId="3C9300F2" w14:textId="77777777" w:rsidR="00CC26F0" w:rsidRPr="00CC26F0" w:rsidRDefault="00CC26F0" w:rsidP="00AA12E3">
            <w:pPr>
              <w:jc w:val="center"/>
              <w:rPr>
                <w:rFonts w:eastAsia="Aptos"/>
                <w:sz w:val="22"/>
                <w:szCs w:val="22"/>
                <w14:ligatures w14:val="standardContextual"/>
              </w:rPr>
            </w:pPr>
            <w:r w:rsidRPr="00CC26F0">
              <w:rPr>
                <w:rFonts w:eastAsia="Aptos"/>
                <w:sz w:val="22"/>
                <w:szCs w:val="22"/>
                <w14:ligatures w14:val="standardContextual"/>
              </w:rPr>
              <w:t>672.439</w:t>
            </w:r>
          </w:p>
        </w:tc>
        <w:tc>
          <w:tcPr>
            <w:tcW w:w="1113" w:type="dxa"/>
            <w:tcBorders>
              <w:top w:val="nil"/>
              <w:left w:val="nil"/>
              <w:bottom w:val="single" w:sz="8" w:space="0" w:color="auto"/>
              <w:right w:val="single" w:sz="8" w:space="0" w:color="auto"/>
            </w:tcBorders>
            <w:tcMar>
              <w:top w:w="0" w:type="dxa"/>
              <w:left w:w="108" w:type="dxa"/>
              <w:bottom w:w="0" w:type="dxa"/>
              <w:right w:w="108" w:type="dxa"/>
            </w:tcMar>
          </w:tcPr>
          <w:p w14:paraId="6E98264B" w14:textId="77777777" w:rsidR="00CC26F0" w:rsidRPr="00CC26F0" w:rsidRDefault="00CC26F0" w:rsidP="00AA12E3">
            <w:pPr>
              <w:jc w:val="center"/>
              <w:rPr>
                <w:rFonts w:eastAsia="Aptos"/>
                <w:sz w:val="22"/>
                <w:szCs w:val="22"/>
                <w14:ligatures w14:val="standardContextual"/>
              </w:rPr>
            </w:pPr>
            <w:r w:rsidRPr="00CC26F0">
              <w:rPr>
                <w:rFonts w:eastAsia="Aptos"/>
                <w:sz w:val="22"/>
                <w:szCs w:val="22"/>
                <w14:ligatures w14:val="standardContextual"/>
              </w:rPr>
              <w:t>760.655</w:t>
            </w:r>
          </w:p>
        </w:tc>
        <w:tc>
          <w:tcPr>
            <w:tcW w:w="1257" w:type="dxa"/>
            <w:tcBorders>
              <w:top w:val="nil"/>
              <w:left w:val="nil"/>
              <w:bottom w:val="single" w:sz="8" w:space="0" w:color="auto"/>
              <w:right w:val="single" w:sz="8" w:space="0" w:color="auto"/>
            </w:tcBorders>
            <w:tcMar>
              <w:top w:w="0" w:type="dxa"/>
              <w:left w:w="108" w:type="dxa"/>
              <w:bottom w:w="0" w:type="dxa"/>
              <w:right w:w="108" w:type="dxa"/>
            </w:tcMar>
          </w:tcPr>
          <w:p w14:paraId="5E01F80A" w14:textId="77777777" w:rsidR="00CC26F0" w:rsidRPr="00CC26F0" w:rsidRDefault="00CC26F0" w:rsidP="00AA12E3">
            <w:pPr>
              <w:jc w:val="center"/>
              <w:rPr>
                <w:rFonts w:eastAsia="Aptos"/>
                <w:sz w:val="22"/>
                <w:szCs w:val="22"/>
                <w14:ligatures w14:val="standardContextual"/>
              </w:rPr>
            </w:pPr>
            <w:r w:rsidRPr="00CC26F0">
              <w:rPr>
                <w:rFonts w:eastAsia="Aptos"/>
                <w:sz w:val="22"/>
                <w:szCs w:val="22"/>
                <w14:ligatures w14:val="standardContextual"/>
              </w:rPr>
              <w:t>94.274</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0C958DF3" w14:textId="77777777" w:rsidR="00CC26F0" w:rsidRPr="00CC26F0" w:rsidRDefault="00CC26F0" w:rsidP="00AA12E3">
            <w:pPr>
              <w:jc w:val="center"/>
              <w:rPr>
                <w:rFonts w:eastAsia="Aptos"/>
                <w:sz w:val="22"/>
                <w:szCs w:val="22"/>
                <w14:ligatures w14:val="standardContextual"/>
              </w:rPr>
            </w:pPr>
            <w:r w:rsidRPr="00CC26F0">
              <w:rPr>
                <w:rFonts w:eastAsia="Aptos"/>
                <w:sz w:val="22"/>
                <w:szCs w:val="22"/>
                <w14:ligatures w14:val="standardContextual"/>
              </w:rPr>
              <w:t>159.488</w:t>
            </w:r>
          </w:p>
        </w:tc>
        <w:tc>
          <w:tcPr>
            <w:tcW w:w="1151" w:type="dxa"/>
            <w:tcBorders>
              <w:top w:val="nil"/>
              <w:left w:val="nil"/>
              <w:bottom w:val="single" w:sz="8" w:space="0" w:color="auto"/>
              <w:right w:val="single" w:sz="8" w:space="0" w:color="auto"/>
            </w:tcBorders>
            <w:tcMar>
              <w:top w:w="0" w:type="dxa"/>
              <w:left w:w="108" w:type="dxa"/>
              <w:bottom w:w="0" w:type="dxa"/>
              <w:right w:w="108" w:type="dxa"/>
            </w:tcMar>
          </w:tcPr>
          <w:p w14:paraId="60734F7C" w14:textId="77777777" w:rsidR="00CC26F0" w:rsidRPr="00CC26F0" w:rsidRDefault="00CC26F0" w:rsidP="00AA12E3">
            <w:pPr>
              <w:jc w:val="center"/>
              <w:rPr>
                <w:rFonts w:eastAsia="Aptos"/>
                <w:sz w:val="22"/>
                <w:szCs w:val="22"/>
                <w14:ligatures w14:val="standardContextual"/>
              </w:rPr>
            </w:pPr>
            <w:r w:rsidRPr="00CC26F0">
              <w:rPr>
                <w:rFonts w:eastAsia="Aptos"/>
                <w:sz w:val="22"/>
                <w:szCs w:val="22"/>
                <w14:ligatures w14:val="standardContextual"/>
              </w:rPr>
              <w:t>253.762</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42BD2854" w14:textId="77777777" w:rsidR="00CC26F0" w:rsidRPr="00CC26F0" w:rsidRDefault="00CC26F0" w:rsidP="00AA12E3">
            <w:pPr>
              <w:jc w:val="center"/>
              <w:rPr>
                <w:rFonts w:eastAsia="Aptos"/>
                <w:sz w:val="22"/>
                <w:szCs w:val="22"/>
                <w14:ligatures w14:val="standardContextual"/>
              </w:rPr>
            </w:pPr>
            <w:r w:rsidRPr="00CC26F0">
              <w:rPr>
                <w:rFonts w:eastAsia="Aptos"/>
                <w:sz w:val="22"/>
                <w:szCs w:val="22"/>
                <w14:ligatures w14:val="standardContextual"/>
              </w:rPr>
              <w:t>1.014.417</w:t>
            </w:r>
          </w:p>
        </w:tc>
      </w:tr>
    </w:tbl>
    <w:p w14:paraId="215D51B4" w14:textId="77777777" w:rsidR="00CC26F0" w:rsidRPr="00CC26F0" w:rsidRDefault="00CC26F0" w:rsidP="00AA12E3">
      <w:pPr>
        <w:jc w:val="left"/>
        <w:rPr>
          <w:rFonts w:eastAsia="Aptos"/>
          <w:sz w:val="22"/>
          <w:szCs w:val="22"/>
          <w14:ligatures w14:val="standardContextual"/>
        </w:rPr>
      </w:pPr>
    </w:p>
    <w:p w14:paraId="14142E8D" w14:textId="77777777" w:rsidR="00CC26F0" w:rsidRPr="00CC26F0" w:rsidRDefault="00CC26F0" w:rsidP="00AA12E3">
      <w:pPr>
        <w:jc w:val="left"/>
        <w:rPr>
          <w:rFonts w:eastAsia="Aptos"/>
          <w:sz w:val="22"/>
          <w:szCs w:val="22"/>
          <w14:ligatures w14:val="standardContextual"/>
        </w:rPr>
      </w:pPr>
    </w:p>
    <w:p w14:paraId="654A87A0" w14:textId="598965A1" w:rsidR="00CC26F0" w:rsidRPr="00655E3C" w:rsidRDefault="00CC26F0" w:rsidP="00AA12E3">
      <w:pPr>
        <w:jc w:val="left"/>
        <w:rPr>
          <w:rFonts w:eastAsia="Aptos"/>
          <w:sz w:val="20"/>
          <w:szCs w:val="20"/>
          <w14:ligatures w14:val="standardContextual"/>
        </w:rPr>
      </w:pPr>
      <w:r w:rsidRPr="00655E3C">
        <w:rPr>
          <w:rFonts w:eastAsia="Aptos"/>
          <w:sz w:val="20"/>
          <w:szCs w:val="20"/>
          <w14:ligatures w14:val="standardContextual"/>
        </w:rPr>
        <w:t>(*)  </w:t>
      </w:r>
      <w:r w:rsidR="00E75FF7">
        <w:rPr>
          <w:rFonts w:eastAsia="Aptos"/>
          <w:sz w:val="20"/>
          <w:szCs w:val="20"/>
          <w14:ligatures w14:val="standardContextual"/>
        </w:rPr>
        <w:t xml:space="preserve"> </w:t>
      </w:r>
      <w:r w:rsidRPr="00655E3C">
        <w:rPr>
          <w:rFonts w:eastAsia="Aptos"/>
          <w:sz w:val="20"/>
          <w:szCs w:val="20"/>
          <w14:ligatures w14:val="standardContextual"/>
        </w:rPr>
        <w:t>RETA: Régimen Especial de Trabajadores Autónomos, epígrafe agrario.</w:t>
      </w:r>
    </w:p>
    <w:p w14:paraId="7741EC00" w14:textId="77777777" w:rsidR="00CC26F0" w:rsidRPr="00655E3C" w:rsidRDefault="00CC26F0" w:rsidP="00AA12E3">
      <w:pPr>
        <w:jc w:val="left"/>
        <w:rPr>
          <w:rFonts w:eastAsia="Aptos"/>
          <w:sz w:val="20"/>
          <w:szCs w:val="20"/>
          <w14:ligatures w14:val="standardContextual"/>
        </w:rPr>
      </w:pPr>
      <w:r w:rsidRPr="00655E3C">
        <w:rPr>
          <w:rFonts w:eastAsia="Aptos"/>
          <w:sz w:val="20"/>
          <w:szCs w:val="20"/>
          <w14:ligatures w14:val="standardContextual"/>
        </w:rPr>
        <w:t>(**) SETA: Sistema Especial de Trabajadores Autónomos Agrarios.</w:t>
      </w:r>
    </w:p>
    <w:p w14:paraId="3707A4E7" w14:textId="77777777" w:rsidR="00CC26F0" w:rsidRPr="00CC26F0" w:rsidRDefault="00CC26F0" w:rsidP="00AA12E3">
      <w:pPr>
        <w:rPr>
          <w:b/>
          <w:sz w:val="18"/>
          <w:szCs w:val="18"/>
        </w:rPr>
      </w:pPr>
    </w:p>
    <w:p w14:paraId="0E116454" w14:textId="7FD85A29" w:rsidR="00730F67" w:rsidRDefault="00CC26F0" w:rsidP="00AA12E3">
      <w:pPr>
        <w:rPr>
          <w:bCs/>
        </w:rPr>
      </w:pPr>
      <w:r w:rsidRPr="00CC26F0">
        <w:rPr>
          <w:bCs/>
        </w:rPr>
        <w:t xml:space="preserve">Los datos muestran un descenso de los autónomos, debido al descenso de los afiliados al SETA. </w:t>
      </w:r>
      <w:r w:rsidR="00322D08">
        <w:rPr>
          <w:bCs/>
        </w:rPr>
        <w:t xml:space="preserve">Por el </w:t>
      </w:r>
      <w:r w:rsidR="00730F67">
        <w:rPr>
          <w:bCs/>
        </w:rPr>
        <w:t>contrario,</w:t>
      </w:r>
      <w:r w:rsidR="00322D08">
        <w:rPr>
          <w:bCs/>
        </w:rPr>
        <w:t xml:space="preserve"> y pese a los problemas del sector para encontrar </w:t>
      </w:r>
      <w:r w:rsidR="00322D08">
        <w:rPr>
          <w:bCs/>
        </w:rPr>
        <w:lastRenderedPageBreak/>
        <w:t>mano de obra asalariada, el número de a</w:t>
      </w:r>
      <w:r w:rsidR="00730F67">
        <w:rPr>
          <w:bCs/>
        </w:rPr>
        <w:t>salariados</w:t>
      </w:r>
      <w:r w:rsidR="00322D08">
        <w:rPr>
          <w:bCs/>
        </w:rPr>
        <w:t xml:space="preserve"> en este régimen</w:t>
      </w:r>
      <w:r w:rsidR="00730F67" w:rsidRPr="00730F67">
        <w:rPr>
          <w:bCs/>
        </w:rPr>
        <w:t xml:space="preserve"> </w:t>
      </w:r>
      <w:r w:rsidR="00730F67">
        <w:rPr>
          <w:bCs/>
        </w:rPr>
        <w:t>es creciente,</w:t>
      </w:r>
      <w:r w:rsidR="00322D08">
        <w:rPr>
          <w:bCs/>
        </w:rPr>
        <w:t xml:space="preserve"> tanto en media anual </w:t>
      </w:r>
      <w:r w:rsidR="004221B7">
        <w:rPr>
          <w:bCs/>
        </w:rPr>
        <w:t>com</w:t>
      </w:r>
      <w:r w:rsidR="00322D08">
        <w:rPr>
          <w:bCs/>
        </w:rPr>
        <w:t>o en media estacional</w:t>
      </w:r>
      <w:r w:rsidR="00730F67">
        <w:rPr>
          <w:bCs/>
        </w:rPr>
        <w:t>.</w:t>
      </w:r>
    </w:p>
    <w:p w14:paraId="2BB8B36A" w14:textId="77777777" w:rsidR="00656035" w:rsidRDefault="00656035" w:rsidP="00AA12E3">
      <w:pPr>
        <w:rPr>
          <w:bCs/>
        </w:rPr>
      </w:pPr>
    </w:p>
    <w:p w14:paraId="381B11B5" w14:textId="0474C0B4" w:rsidR="00CC26F0" w:rsidRDefault="00CC26F0" w:rsidP="00AA12E3">
      <w:pPr>
        <w:rPr>
          <w:bCs/>
        </w:rPr>
      </w:pPr>
      <w:r w:rsidRPr="00CC26F0">
        <w:rPr>
          <w:noProof/>
        </w:rPr>
        <w:drawing>
          <wp:inline distT="0" distB="0" distL="0" distR="0" wp14:anchorId="465B9B7D" wp14:editId="157ED6DC">
            <wp:extent cx="5212080" cy="2466975"/>
            <wp:effectExtent l="0" t="0" r="7620" b="9525"/>
            <wp:docPr id="278365158" name="Gráfico 1">
              <a:extLst xmlns:a="http://schemas.openxmlformats.org/drawingml/2006/main">
                <a:ext uri="{FF2B5EF4-FFF2-40B4-BE49-F238E27FC236}">
                  <a16:creationId xmlns:a16="http://schemas.microsoft.com/office/drawing/2014/main" id="{D1025200-F43C-3893-1C6F-D7D833CE93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C892070" w14:textId="77777777" w:rsidR="00322D08" w:rsidRPr="00CC26F0" w:rsidRDefault="00322D08" w:rsidP="00AA12E3">
      <w:pPr>
        <w:rPr>
          <w:bCs/>
        </w:rPr>
      </w:pPr>
    </w:p>
    <w:p w14:paraId="1D783D65" w14:textId="22CB3723" w:rsidR="00CC26F0" w:rsidRPr="00CC26F0" w:rsidRDefault="00CC26F0" w:rsidP="00AA12E3">
      <w:pPr>
        <w:rPr>
          <w:bCs/>
        </w:rPr>
      </w:pPr>
      <w:r w:rsidRPr="00CC26F0">
        <w:rPr>
          <w:noProof/>
        </w:rPr>
        <w:drawing>
          <wp:inline distT="0" distB="0" distL="0" distR="0" wp14:anchorId="2800F455" wp14:editId="297FD6E7">
            <wp:extent cx="2964180" cy="2255520"/>
            <wp:effectExtent l="0" t="0" r="7620" b="11430"/>
            <wp:docPr id="833882316" name="Gráfico 1">
              <a:extLst xmlns:a="http://schemas.openxmlformats.org/drawingml/2006/main">
                <a:ext uri="{FF2B5EF4-FFF2-40B4-BE49-F238E27FC236}">
                  <a16:creationId xmlns:a16="http://schemas.microsoft.com/office/drawing/2014/main" id="{9E8614CD-D4C2-A747-50F2-B058C21E1E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CC26F0">
        <w:rPr>
          <w:noProof/>
        </w:rPr>
        <w:drawing>
          <wp:inline distT="0" distB="0" distL="0" distR="0" wp14:anchorId="6556FC26" wp14:editId="7117027B">
            <wp:extent cx="2674620" cy="2263140"/>
            <wp:effectExtent l="0" t="0" r="11430" b="3810"/>
            <wp:docPr id="608974688" name="Gráfico 1">
              <a:extLst xmlns:a="http://schemas.openxmlformats.org/drawingml/2006/main">
                <a:ext uri="{FF2B5EF4-FFF2-40B4-BE49-F238E27FC236}">
                  <a16:creationId xmlns:a16="http://schemas.microsoft.com/office/drawing/2014/main" id="{099C3053-467B-6145-C04A-753FA0B952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5BC1D19" w14:textId="77777777" w:rsidR="00063522" w:rsidRDefault="00063522" w:rsidP="00AA12E3">
      <w:pPr>
        <w:rPr>
          <w:bCs/>
        </w:rPr>
      </w:pPr>
    </w:p>
    <w:p w14:paraId="054D44CB" w14:textId="67C7C405" w:rsidR="00CC26F0" w:rsidRPr="00CC26F0" w:rsidRDefault="00CC26F0" w:rsidP="00AA12E3">
      <w:pPr>
        <w:rPr>
          <w:bCs/>
        </w:rPr>
      </w:pPr>
      <w:r w:rsidRPr="00CC26F0">
        <w:rPr>
          <w:bCs/>
        </w:rPr>
        <w:t xml:space="preserve">La falta de mano de obra en el campo es un problema para numerosas explotaciones ganaderas y agrícolas, tanto para cubrir puestos de trabajo fijo como para los que se precisan en determinadas campañas, como puede ser la vendimia, recogida de patata, etc. Hay dificultad para captar mano de obra nacional y en muchos casos son </w:t>
      </w:r>
      <w:r w:rsidRPr="00CC26F0">
        <w:rPr>
          <w:b/>
          <w:bCs/>
        </w:rPr>
        <w:t>los inmigrantes, de países de la Unión Europea o de fuera del marco comunitario</w:t>
      </w:r>
      <w:r w:rsidRPr="00CC26F0">
        <w:rPr>
          <w:bCs/>
        </w:rPr>
        <w:t xml:space="preserve">, los que acceden a estos puestos. También se aprecia las variaciones según las temporadas agrícolas. Así, la afiliación mínima es en enero, y el tope llega en el periodo de cosechas y vendimia, en septiembre y octubre, por lo que la diferencia entre el mes de mayor contratación y el de menos puede alcanzar los 6.000 trabajadores. Como referencia, en un mes medio, como puede ser junio 2025, en Castilla y León estaban afiliados al sector agrario un total de 65.217 trabajadores, de los cuales 13.874 eran extranjeros (sumando UE y no UE), lo que significa el 21,27% de la afiliación total del sector, por debajo de la media nacional, que es del 28,57%. </w:t>
      </w:r>
    </w:p>
    <w:p w14:paraId="0054D2BD" w14:textId="77777777" w:rsidR="00CC26F0" w:rsidRPr="00CC26F0" w:rsidRDefault="00CC26F0" w:rsidP="00AA12E3">
      <w:pPr>
        <w:rPr>
          <w:bCs/>
        </w:rPr>
      </w:pPr>
      <w:r w:rsidRPr="00CC26F0">
        <w:rPr>
          <w:bCs/>
        </w:rPr>
        <w:t xml:space="preserve">En </w:t>
      </w:r>
      <w:r w:rsidRPr="00CC26F0">
        <w:rPr>
          <w:bCs/>
          <w:u w:val="single"/>
        </w:rPr>
        <w:t>2025</w:t>
      </w:r>
      <w:r w:rsidRPr="00CC26F0">
        <w:rPr>
          <w:bCs/>
        </w:rPr>
        <w:t xml:space="preserve"> se confirma el incremento de la afiliación extranjera en el sector agrario, tanto en España (10.990 afiliados más que el año anterior) como en nuestra Comunidad (987 más). En ambos casos, el mayor porcentaje de extranjeros se encuentran en el régimen general, siendo el 50% en Castilla y León y el 36% en </w:t>
      </w:r>
      <w:r w:rsidRPr="00CC26F0">
        <w:rPr>
          <w:bCs/>
        </w:rPr>
        <w:lastRenderedPageBreak/>
        <w:t>España, mientras que en autónomos el porcentaje de extranjeros en el sector agrario es muy bajo y similar en ambos ámbitos territoriales, suponiendo el 3% en España y el 2% en Castilla y León.</w:t>
      </w:r>
    </w:p>
    <w:bookmarkEnd w:id="6"/>
    <w:p w14:paraId="4698093A" w14:textId="77777777" w:rsidR="00063522" w:rsidRDefault="00063522" w:rsidP="00AA12E3">
      <w:pPr>
        <w:rPr>
          <w:b/>
          <w:bCs/>
        </w:rPr>
      </w:pPr>
    </w:p>
    <w:p w14:paraId="51255438" w14:textId="33365643" w:rsidR="00CC26F0" w:rsidRDefault="00CC26F0" w:rsidP="00AA12E3">
      <w:pPr>
        <w:rPr>
          <w:b/>
          <w:bCs/>
        </w:rPr>
      </w:pPr>
      <w:r w:rsidRPr="00CC26F0">
        <w:rPr>
          <w:b/>
          <w:bCs/>
        </w:rPr>
        <w:t xml:space="preserve">Salario mínimo interprofesional </w:t>
      </w:r>
    </w:p>
    <w:p w14:paraId="3F5B4E1A" w14:textId="77777777" w:rsidR="00730F67" w:rsidRPr="00CC26F0" w:rsidRDefault="00730F67" w:rsidP="00AA12E3">
      <w:pPr>
        <w:rPr>
          <w:b/>
          <w:bCs/>
        </w:rPr>
      </w:pPr>
    </w:p>
    <w:p w14:paraId="0B64E8BF" w14:textId="75B7DDD6" w:rsidR="00CC26F0" w:rsidRPr="008F0DE0" w:rsidRDefault="00CC26F0" w:rsidP="00AA12E3">
      <w:r w:rsidRPr="00CC26F0">
        <w:t xml:space="preserve">El SMI para el 2025 se estableció en 1.184 euros al mes en 14 pagas, por lo tanto, 16.576 euros brutos al año, tras una subida del 4,41% respecto a 2024. Para los trabajadores temporeros a los que se les pague la parte proporcional de domingos y festivos, así como las gratificaciones extraordinarias, el salario diario no podrá ser inferior a 56,08 euros, y se ha de añadir la parte correspondiente a vacaciones no disfrutadas. </w:t>
      </w:r>
      <w:r w:rsidRPr="008F0DE0">
        <w:t>Con esta nueva subida del SMI, el incremento desde 2016 supone ya el 80 %, por lo que ASAJA vuelve a solicitar bonificaciones en las cotizaciones a la Seguridad Social para amortiguar esta subida.</w:t>
      </w:r>
    </w:p>
    <w:p w14:paraId="68933DC9" w14:textId="77777777" w:rsidR="00063522" w:rsidRPr="008F0DE0" w:rsidRDefault="00063522" w:rsidP="00AA12E3"/>
    <w:p w14:paraId="3941AE92" w14:textId="7C5BCB4D" w:rsidR="00CC26F0" w:rsidRDefault="00CC26F0" w:rsidP="00AA12E3">
      <w:pPr>
        <w:rPr>
          <w:b/>
          <w:bCs/>
        </w:rPr>
      </w:pPr>
      <w:r w:rsidRPr="00CC26F0">
        <w:rPr>
          <w:b/>
          <w:bCs/>
        </w:rPr>
        <w:t>Seguridad Social</w:t>
      </w:r>
    </w:p>
    <w:p w14:paraId="4AF6574B" w14:textId="77777777" w:rsidR="00063522" w:rsidRDefault="00063522" w:rsidP="00AA12E3">
      <w:pPr>
        <w:rPr>
          <w:b/>
          <w:bCs/>
        </w:rPr>
      </w:pPr>
    </w:p>
    <w:p w14:paraId="27D2DFF2" w14:textId="77777777" w:rsidR="00CC26F0" w:rsidRPr="00CC26F0" w:rsidRDefault="00CC26F0" w:rsidP="00AA12E3">
      <w:pPr>
        <w:rPr>
          <w:bCs/>
        </w:rPr>
      </w:pPr>
      <w:r w:rsidRPr="00CC26F0">
        <w:rPr>
          <w:bCs/>
        </w:rPr>
        <w:t xml:space="preserve">Respecto a las </w:t>
      </w:r>
      <w:r w:rsidRPr="00CC26F0">
        <w:rPr>
          <w:b/>
        </w:rPr>
        <w:t>pensiones de jubilación</w:t>
      </w:r>
      <w:r w:rsidRPr="00CC26F0">
        <w:rPr>
          <w:bCs/>
        </w:rPr>
        <w:t xml:space="preserve"> de los autónomos y asalariados del campo.</w:t>
      </w:r>
    </w:p>
    <w:p w14:paraId="18FF4F3F" w14:textId="39BB6650" w:rsidR="00CC26F0" w:rsidRPr="00CC26F0" w:rsidRDefault="00CC26F0" w:rsidP="00AA12E3">
      <w:pPr>
        <w:rPr>
          <w:bCs/>
        </w:rPr>
      </w:pPr>
      <w:r w:rsidRPr="00CC26F0">
        <w:rPr>
          <w:bCs/>
        </w:rPr>
        <w:t>Hoy en día, sigue sin permitírseles la integración de lagunas en los periodos en los que no existe la obligación de cotizar, computando como cero la base de esos meses en lo que no ha habido cotización, mientras que, en el régimen general, excepto para los agrícolas por cuenta ajena, esos meses se cotizaría por el 100% de la base mínima para mayores de 18 años durante 48 meses y el resto de las mensualidades al 50% de la citada base mínima.</w:t>
      </w:r>
      <w:r w:rsidR="00656035">
        <w:rPr>
          <w:bCs/>
        </w:rPr>
        <w:t xml:space="preserve"> </w:t>
      </w:r>
      <w:r w:rsidRPr="00CC26F0">
        <w:rPr>
          <w:bCs/>
        </w:rPr>
        <w:t>Al no existir esa integración se está penalizando a los trabajadores autónomos (mayoría en Castilla y León) y a los asalariados agrarios, disminuyendo de forma muy importante la cuantía final de la pensión. Por ello, desde ASAJA se insiste en la necesidad de que hagan las reformas normativas necesarias para acabar con la discriminación que sufren los trabajadores del sector agrario.</w:t>
      </w:r>
    </w:p>
    <w:p w14:paraId="75C170C6" w14:textId="77777777" w:rsidR="00730F67" w:rsidRDefault="00730F67" w:rsidP="00AA12E3">
      <w:pPr>
        <w:rPr>
          <w:b/>
        </w:rPr>
      </w:pPr>
    </w:p>
    <w:p w14:paraId="158FEA2C" w14:textId="74943BA7" w:rsidR="00CC26F0" w:rsidRPr="00CC26F0" w:rsidRDefault="00CC26F0" w:rsidP="00AA12E3">
      <w:pPr>
        <w:rPr>
          <w:b/>
        </w:rPr>
      </w:pPr>
      <w:r w:rsidRPr="00CC26F0">
        <w:rPr>
          <w:b/>
        </w:rPr>
        <w:t>Laboral</w:t>
      </w:r>
    </w:p>
    <w:p w14:paraId="206F7B59" w14:textId="77777777" w:rsidR="00730F67" w:rsidRDefault="00730F67" w:rsidP="00AA12E3">
      <w:pPr>
        <w:rPr>
          <w:bCs/>
        </w:rPr>
      </w:pPr>
    </w:p>
    <w:p w14:paraId="4D175BFF" w14:textId="1910468E" w:rsidR="00CC26F0" w:rsidRPr="00CC26F0" w:rsidRDefault="00CC26F0" w:rsidP="00AA12E3">
      <w:pPr>
        <w:rPr>
          <w:bCs/>
        </w:rPr>
      </w:pPr>
      <w:r w:rsidRPr="00CC26F0">
        <w:rPr>
          <w:bCs/>
        </w:rPr>
        <w:t>La publicación, en abril, de la Le</w:t>
      </w:r>
      <w:hyperlink r:id="rId49" w:tgtFrame="_blank" w:history="1"/>
      <w:r w:rsidRPr="00CC26F0">
        <w:rPr>
          <w:bCs/>
        </w:rPr>
        <w:t xml:space="preserve">y de prevención de las pérdidas y el desperdicio alimentario </w:t>
      </w:r>
      <w:r w:rsidRPr="00CC26F0">
        <w:rPr>
          <w:b/>
          <w:bCs/>
        </w:rPr>
        <w:t>modificó el artículo 15.2 del Estatuto de los Trabajadores</w:t>
      </w:r>
      <w:r w:rsidRPr="00CC26F0">
        <w:rPr>
          <w:bCs/>
        </w:rPr>
        <w:t xml:space="preserve"> para incluir las campañas agrarias y agroalimentarias como “circunstancias de la producción” que generan un desajuste temporal entre el empleo estable y disponible y que justifican la utilización del contrato de duración determinada previsto para hacer frente a estas coyunturas por las empresas de estos sectores hasta un máximo de 120 días, esto es, 30 días por encima de los 90 establecidos con carácter general. Estos días no pueden utilizarse de forma continuada y las empresas deberán planificar el uso de estos contratos de manera distribuida a lo largo del año. </w:t>
      </w:r>
    </w:p>
    <w:p w14:paraId="14312074" w14:textId="77777777" w:rsidR="00CC26F0" w:rsidRPr="00CC26F0" w:rsidRDefault="00CC26F0" w:rsidP="00AA12E3">
      <w:pPr>
        <w:rPr>
          <w:bCs/>
        </w:rPr>
      </w:pPr>
      <w:r w:rsidRPr="00CC26F0">
        <w:rPr>
          <w:bCs/>
        </w:rPr>
        <w:t>Es importante destacar que estos contratos no pueden utilizarse para trabajos en contratas, subcontratas o concesiones administrativas que constituyan la actividad habitual de la empresa, a menos que concurran las circunstancias de la producción descritas.</w:t>
      </w:r>
    </w:p>
    <w:p w14:paraId="3BB6BB50" w14:textId="77777777" w:rsidR="00CC26F0" w:rsidRPr="00CC26F0" w:rsidRDefault="00CC26F0" w:rsidP="00AA12E3">
      <w:pPr>
        <w:rPr>
          <w:bCs/>
        </w:rPr>
      </w:pPr>
      <w:r w:rsidRPr="00CC26F0">
        <w:rPr>
          <w:bCs/>
        </w:rPr>
        <w:t>Respecto a la reducción de jornada laboral de 40 a 37,5 horas semanales, pactada entre el Gobierno y los sindicatos (que todavía no se ha puesto en marcha), ASAJA la rechaza al no tener en cuenta las particularidades de nuestro sector, donde los trabajos agrícolas dependen de factores como la climatología y los ciclos de producción, con lo cual se complicará la negociación de los convenios colectivos.</w:t>
      </w:r>
    </w:p>
    <w:p w14:paraId="28B7897A" w14:textId="77777777" w:rsidR="00063522" w:rsidRDefault="00063522" w:rsidP="00AA12E3">
      <w:pPr>
        <w:rPr>
          <w:b/>
          <w:bCs/>
        </w:rPr>
      </w:pPr>
    </w:p>
    <w:p w14:paraId="6C3CB63D" w14:textId="677FB109" w:rsidR="00CC26F0" w:rsidRDefault="00CC26F0" w:rsidP="00AA12E3">
      <w:pPr>
        <w:rPr>
          <w:b/>
          <w:bCs/>
        </w:rPr>
      </w:pPr>
      <w:r w:rsidRPr="00CC26F0">
        <w:rPr>
          <w:b/>
          <w:bCs/>
        </w:rPr>
        <w:lastRenderedPageBreak/>
        <w:t>IRPF</w:t>
      </w:r>
    </w:p>
    <w:p w14:paraId="47B32D56" w14:textId="77777777" w:rsidR="00730F67" w:rsidRPr="00CC26F0" w:rsidRDefault="00730F67" w:rsidP="00AA12E3">
      <w:pPr>
        <w:rPr>
          <w:b/>
          <w:bCs/>
        </w:rPr>
      </w:pPr>
    </w:p>
    <w:p w14:paraId="6A2FE203" w14:textId="77777777" w:rsidR="004221B7" w:rsidRDefault="00CC26F0" w:rsidP="00AA12E3">
      <w:r w:rsidRPr="00CC26F0">
        <w:t>Hacienda mantuvo durante 2025 el sistema de módulos y sus límites de facturación para que los autónomos puedan tributar en este régimen.</w:t>
      </w:r>
    </w:p>
    <w:p w14:paraId="399C52C0" w14:textId="54BEBEB7" w:rsidR="004221B7" w:rsidRPr="004221B7" w:rsidRDefault="004221B7" w:rsidP="004221B7">
      <w:r>
        <w:t>No obstante, e</w:t>
      </w:r>
      <w:r w:rsidRPr="004221B7">
        <w:t>n la orden por la que se desarrollan para el año 2025 el método de estimación objetiva del Impuesto sobre la Renta de las Personas Físicas y el régimen especial simplificado del Impuesto sobre el Valor Añadido</w:t>
      </w:r>
      <w:r w:rsidRPr="004221B7">
        <w:rPr>
          <w:b/>
          <w:bCs/>
        </w:rPr>
        <w:t xml:space="preserve"> </w:t>
      </w:r>
      <w:r w:rsidRPr="004221B7">
        <w:t>se incluyó una de las medidas que ASAJA propuso en las negociaciones con el Gobierno y que ha trabajado hasta poder lograrla. Se trata de la no inclusión en el cómputo de los ingresos totales del IVA, para poder acogerse al régimen de módulos.</w:t>
      </w:r>
    </w:p>
    <w:p w14:paraId="5284072C" w14:textId="45936703" w:rsidR="00CC26F0" w:rsidRPr="00CC26F0" w:rsidRDefault="00CC26F0" w:rsidP="00AA12E3">
      <w:r w:rsidRPr="00CC26F0">
        <w:t>En 2025, el sector agrícola y ganadero ha contado con una reducción del 5 % en los rendimientos netos de módulos.</w:t>
      </w:r>
    </w:p>
    <w:p w14:paraId="2E13F6AE" w14:textId="77777777" w:rsidR="00CC26F0" w:rsidRPr="00CC26F0" w:rsidRDefault="00CC26F0" w:rsidP="00AA12E3">
      <w:r w:rsidRPr="00CC26F0">
        <w:t>Desde ASAJA insistimos un año más que estas medidas benefician exclusivamente a las explotaciones que están adscritas al sistema de módulos, que numéricamente son las más numerosas, pero deja fuera a otras que están obligadas a cotizar en otro régimen fiscal, bien por estar más dimensionadas o bien por gestionarse bajo fórmulas jurídicas asociativas, algo muy frecuente en el caso de granjas ganaderas como el vacuno de leche.</w:t>
      </w:r>
    </w:p>
    <w:p w14:paraId="40C28331" w14:textId="77777777" w:rsidR="00063522" w:rsidRDefault="00063522" w:rsidP="00AA12E3">
      <w:pPr>
        <w:rPr>
          <w:b/>
          <w:bCs/>
        </w:rPr>
      </w:pPr>
    </w:p>
    <w:p w14:paraId="330CEA82" w14:textId="2421D3AE" w:rsidR="00CC26F0" w:rsidRPr="00CC26F0" w:rsidRDefault="00CC26F0" w:rsidP="00AA12E3">
      <w:pPr>
        <w:rPr>
          <w:b/>
          <w:bCs/>
        </w:rPr>
      </w:pPr>
      <w:r w:rsidRPr="00CC26F0">
        <w:rPr>
          <w:b/>
          <w:bCs/>
        </w:rPr>
        <w:t>IVA</w:t>
      </w:r>
    </w:p>
    <w:p w14:paraId="5BEBC7C2" w14:textId="77777777" w:rsidR="00730F67" w:rsidRDefault="00730F67" w:rsidP="00AA12E3"/>
    <w:p w14:paraId="118D5319" w14:textId="6FDBBCED" w:rsidR="00CC26F0" w:rsidRPr="00CC26F0" w:rsidRDefault="00CC26F0" w:rsidP="00AA12E3">
      <w:r w:rsidRPr="00CC26F0">
        <w:t>El 1 de enero de 2025 entró en vigor la subida del Impuesto al Valor Añadido (IVA) de los alimentos. Así, todos los alimentos básicos tributan al 4%, y el resto al 10%, como la carne y el pescado. Como novedad destaca que ahora los productos de leche fermentada estarán incluidos en el IVA superreducido del 4%.</w:t>
      </w:r>
    </w:p>
    <w:p w14:paraId="75B99FB3" w14:textId="77777777" w:rsidR="00CC26F0" w:rsidRPr="00CC26F0" w:rsidRDefault="00CC26F0" w:rsidP="00AA12E3">
      <w:r w:rsidRPr="00CC26F0">
        <w:t>De esta manera, 2025 dio por finalizada la reducción del IVA de los alimentos, que comenzó en 2022 para contrarrestar la crisis de precios provocada por la guerra en Ucrania. En aquel momento, los alimentos básicos o de primera necesidad como pan, leche, huevos, legumbres o frutas pasaron a tener un IVA del 0%. Mientras que otros alimentos como las pastas o los aceites de semilla (de girasol) tenían un IVA del 5%.</w:t>
      </w:r>
    </w:p>
    <w:p w14:paraId="36D1F1AE" w14:textId="20EA6DC1" w:rsidR="00730F67" w:rsidRPr="00656035" w:rsidRDefault="00CC26F0" w:rsidP="00AA12E3">
      <w:r w:rsidRPr="00CC26F0">
        <w:t>Fue en octubre del año 2024 cuando se decidió retomar el IVA de forma progresiva, con los alimentos de primera necesidad subiendo a un IVA del 2% y los otros alimentos al 7,5%. No obstante, desde enero han subido aún más su valor retomando su IVA original. Caso especial es el del aceite de oliva, que originalmente tenía un IVA del 10% y con las medidas aplicadas en 2022 bajó al 0%, y en 2025 se quedó al 4%. Una recuperación del IVA que ha contribuido a un incremento del precio de la cesta de la compra, a pesar de las demandas continuas del sector. Desde ASAJA se valora negativamente esta medida, al suponer una pérdida del poder adquisitivo, que además ha supuesto a muchos productores tener que adelantarlo ellos a Hacienda.</w:t>
      </w:r>
    </w:p>
    <w:p w14:paraId="4B408F91" w14:textId="77777777" w:rsidR="00730F67" w:rsidRDefault="00730F67" w:rsidP="00AA12E3">
      <w:pPr>
        <w:rPr>
          <w:b/>
          <w:bCs/>
        </w:rPr>
      </w:pPr>
    </w:p>
    <w:p w14:paraId="1D0F2433" w14:textId="77777777" w:rsidR="00730F67" w:rsidRDefault="00730F67" w:rsidP="00AA12E3">
      <w:pPr>
        <w:jc w:val="center"/>
        <w:rPr>
          <w:b/>
          <w:bCs/>
        </w:rPr>
      </w:pPr>
    </w:p>
    <w:p w14:paraId="6A8B11A5" w14:textId="65E1A8A1" w:rsidR="00CC26F0" w:rsidRDefault="00CC26F0" w:rsidP="00AA12E3">
      <w:pPr>
        <w:jc w:val="center"/>
        <w:rPr>
          <w:b/>
          <w:bCs/>
        </w:rPr>
      </w:pPr>
      <w:r w:rsidRPr="00CC26F0">
        <w:rPr>
          <w:b/>
          <w:bCs/>
        </w:rPr>
        <w:t>POLÍTICA HIDRAÚLICA</w:t>
      </w:r>
    </w:p>
    <w:p w14:paraId="20B852AF" w14:textId="77777777" w:rsidR="00063522" w:rsidRPr="00CC26F0" w:rsidRDefault="00063522" w:rsidP="00AA12E3">
      <w:pPr>
        <w:jc w:val="center"/>
        <w:rPr>
          <w:b/>
          <w:bCs/>
        </w:rPr>
      </w:pPr>
    </w:p>
    <w:p w14:paraId="113D5DD8" w14:textId="63CB7089" w:rsidR="00CC26F0" w:rsidRPr="00CC26F0" w:rsidRDefault="00CC26F0" w:rsidP="00AA12E3">
      <w:r w:rsidRPr="00CC26F0">
        <w:t>A finales de mayo la Confederación Hidrográfica del Duero, presentó al Consejo del Agua el informe anual de seguimiento del Plan Hidrológico del Duero correspondiente al ejercicio 2024, donde se aborda las demandas de agua por sectores, el cumplimiento de los caudades ecológicos, el estado de las masas de agua y el grado de cumplimiento del programa de medidas.</w:t>
      </w:r>
      <w:r w:rsidR="00656035">
        <w:t xml:space="preserve"> </w:t>
      </w:r>
      <w:r w:rsidRPr="00CC26F0">
        <w:t xml:space="preserve">El </w:t>
      </w:r>
      <w:proofErr w:type="gramStart"/>
      <w:r w:rsidR="00DC3CEA">
        <w:t>Secretario General</w:t>
      </w:r>
      <w:proofErr w:type="gramEnd"/>
      <w:r w:rsidR="00DC3CEA">
        <w:t xml:space="preserve"> </w:t>
      </w:r>
      <w:r w:rsidRPr="00CC26F0">
        <w:t xml:space="preserve">de ASAJA </w:t>
      </w:r>
      <w:r w:rsidR="00DC3CEA">
        <w:t xml:space="preserve">Castilla y León </w:t>
      </w:r>
      <w:r w:rsidRPr="00CC26F0">
        <w:t xml:space="preserve">en el Consejo volvió a denunciar el retraso en las actuaciones </w:t>
      </w:r>
      <w:r w:rsidRPr="00CC26F0">
        <w:lastRenderedPageBreak/>
        <w:t>previstas en el Plan en materia de nuevos regadíos y su modernización, por lo que señaló que, dado que la superficie prevista es mucho menor que la que necesitan los agricultores, lo que debe hacer la Confederación es, al menos, cumplir con sus compromisos y permitir que el sector obtenga una rentabilidad económica y social de esos regadíos.</w:t>
      </w:r>
    </w:p>
    <w:p w14:paraId="1232AC25" w14:textId="77777777" w:rsidR="00B83B6E" w:rsidRDefault="00B83B6E" w:rsidP="00AA12E3"/>
    <w:p w14:paraId="7A45DC71" w14:textId="2B3B04C4" w:rsidR="00CC26F0" w:rsidRPr="00CC26F0" w:rsidRDefault="00CC26F0" w:rsidP="00AA12E3">
      <w:r w:rsidRPr="00CC26F0">
        <w:t>Se ha observado un aumento de las denuncias por parte de la CHD, motivadas principalmente por superficie que no se encuentra declarada para regar, aunque se disponga de concesión de agua suficiente o por no disponer de pozos autorizados. Desde ASAJA se solicita un cambio en la forma de actuar de la Confederación, haciendo necesario un marco jurídico que se adapte a la realidad del sector, informando a los afectados para poder corregir las anomalías antes de sancionar, lo que permitiría poder continuar con la actividad de una forma normal sin causar trastornos económicos graves a las explotaciones agrarias.</w:t>
      </w:r>
    </w:p>
    <w:p w14:paraId="304792D3" w14:textId="77777777" w:rsidR="00B83B6E" w:rsidRDefault="00B83B6E" w:rsidP="00AA12E3"/>
    <w:p w14:paraId="6526C4FF" w14:textId="3D02D238" w:rsidR="00CC26F0" w:rsidRPr="00CC26F0" w:rsidRDefault="00CC26F0" w:rsidP="00AA12E3">
      <w:r w:rsidRPr="00CC26F0">
        <w:t xml:space="preserve">ASAJA reitera su rechazo a los caudales ecológicos muy restrictivos que se impusieron en el actual Plan, así como que se haya cerrado la puerta a nuevos regadíos, condenando la agricultura a no crecer en los próximos años. También reprocha que se haya prohibido el establecimiento de nuevas ganaderías o pequeñas agroindustrias en zonas de acuíferos considerados en mal estado cuantitativo, cuando la ganadería representa una demanda residual de agua. </w:t>
      </w:r>
    </w:p>
    <w:p w14:paraId="1B6064D9" w14:textId="77777777" w:rsidR="00CC26F0" w:rsidRDefault="00CC26F0" w:rsidP="00AA12E3">
      <w:pPr>
        <w:rPr>
          <w:highlight w:val="yellow"/>
        </w:rPr>
      </w:pPr>
    </w:p>
    <w:p w14:paraId="6D9E9293" w14:textId="1EC5603F" w:rsidR="00C911FA" w:rsidRPr="004B6898" w:rsidRDefault="00C911FA" w:rsidP="00AA12E3">
      <w:r w:rsidRPr="004B6898">
        <w:t>Actualmente se encuentra en elaboración el cuarto Plan Hidrológico de la Demarcación Hidrográfica del Duero (2028-2033). La primera fase de la revisión del actual Plan finalizó en noviembre de 2025, con la presentación de la Memoria de los denominados “Documentos iniciales”, siendo un documento básico que incluye el programa, el calendario, el estudio general sobre la demarcación y las fórmulas de consulta</w:t>
      </w:r>
    </w:p>
    <w:p w14:paraId="776A0EC1" w14:textId="77777777" w:rsidR="00C911FA" w:rsidRPr="004B6898" w:rsidRDefault="00C911FA" w:rsidP="00AA12E3">
      <w:r w:rsidRPr="004B6898">
        <w:t>La elaboración continúa con la actualización del documento denominado ‘Esquema de Temas Importantes’, documento intermedio que pretende describir y valorar los principales problemas actuales y previsibles que dificultan el logro de los objetivos de la planificación hidrológica, así como las posibles alternativas de actuación dirigidas a resolverlos de acuerdo con los programas de medidas elaborados por las autoridades competentes para que, tras su debate, queden establecidas las directrices de acuerdo a las que se preparará la propuesta de Plan Hidrológico. Este documento está en consulta pública desde el 29 de noviembre de 2025 hasta el 28 de mayo de 2026.</w:t>
      </w:r>
    </w:p>
    <w:p w14:paraId="3AC4FDF8" w14:textId="04FECCE6" w:rsidR="00C911FA" w:rsidRPr="004B6898" w:rsidRDefault="00C911FA" w:rsidP="00AA12E3">
      <w:r w:rsidRPr="004B6898">
        <w:t>L</w:t>
      </w:r>
      <w:r w:rsidR="00E75FF7" w:rsidRPr="004B6898">
        <w:t>a</w:t>
      </w:r>
      <w:r w:rsidRPr="004B6898">
        <w:t xml:space="preserve">s </w:t>
      </w:r>
      <w:r w:rsidR="00E75FF7" w:rsidRPr="004B6898">
        <w:t>medidas</w:t>
      </w:r>
      <w:r w:rsidRPr="004B6898">
        <w:t xml:space="preserve"> propuest</w:t>
      </w:r>
      <w:r w:rsidR="004B6898" w:rsidRPr="004B6898">
        <w:t>a</w:t>
      </w:r>
      <w:r w:rsidRPr="004B6898">
        <w:t xml:space="preserve">s </w:t>
      </w:r>
      <w:r w:rsidR="004B6898" w:rsidRPr="004B6898">
        <w:t>en esto primeros textos</w:t>
      </w:r>
      <w:r w:rsidRPr="004B6898">
        <w:t xml:space="preserve"> no parecen recoger las demandas del sector</w:t>
      </w:r>
      <w:r w:rsidR="004B6898" w:rsidRPr="004B6898">
        <w:t>,</w:t>
      </w:r>
      <w:r w:rsidRPr="004B6898">
        <w:t xml:space="preserve"> ya planteadas en anteriores ciclos de planificación</w:t>
      </w:r>
      <w:r w:rsidR="00E75FF7" w:rsidRPr="004B6898">
        <w:t xml:space="preserve">, sino más bien lo contrario, </w:t>
      </w:r>
      <w:r w:rsidR="004B6898" w:rsidRPr="004B6898">
        <w:t xml:space="preserve">se incide en la misma </w:t>
      </w:r>
      <w:r w:rsidR="00E75FF7" w:rsidRPr="004B6898">
        <w:t>línea que dirige la política hidráulica nacional desde hace años</w:t>
      </w:r>
      <w:r w:rsidRPr="004B6898">
        <w:t xml:space="preserve">. </w:t>
      </w:r>
    </w:p>
    <w:p w14:paraId="7206C0FC" w14:textId="7AC719C5" w:rsidR="00E75FF7" w:rsidRPr="004B6898" w:rsidRDefault="00C911FA" w:rsidP="00AA12E3">
      <w:r w:rsidRPr="004B6898">
        <w:t xml:space="preserve">En una comunidad autónoma como la de Castilla y León, donde </w:t>
      </w:r>
      <w:r w:rsidR="00E75FF7" w:rsidRPr="004B6898">
        <w:t xml:space="preserve">hay almacenamiento de agua y posibilidad de ampliarlo con nuevas regulaciones, </w:t>
      </w:r>
      <w:r w:rsidRPr="004B6898">
        <w:t xml:space="preserve">tenemos </w:t>
      </w:r>
      <w:r w:rsidR="00E75FF7" w:rsidRPr="004B6898">
        <w:t xml:space="preserve">uno de los menores porcentajes de superficie de regadío y la </w:t>
      </w:r>
      <w:r w:rsidRPr="004B6898">
        <w:t>mayor superficie de secano de España</w:t>
      </w:r>
      <w:r w:rsidR="00E75FF7" w:rsidRPr="004B6898">
        <w:t xml:space="preserve">. Necesitamos </w:t>
      </w:r>
      <w:r w:rsidRPr="004B6898">
        <w:t xml:space="preserve">una regulación </w:t>
      </w:r>
      <w:r w:rsidR="00E75FF7" w:rsidRPr="004B6898">
        <w:t xml:space="preserve">que optimice el recurso y nos permita </w:t>
      </w:r>
      <w:r w:rsidRPr="004B6898">
        <w:t>disponer de</w:t>
      </w:r>
      <w:r w:rsidR="00E75FF7" w:rsidRPr="004B6898">
        <w:t xml:space="preserve"> él</w:t>
      </w:r>
      <w:r w:rsidRPr="004B6898">
        <w:t xml:space="preserve"> donde y cuando haga falta, y a unos costes </w:t>
      </w:r>
      <w:r w:rsidR="004B6898" w:rsidRPr="004B6898">
        <w:t>asumibles para</w:t>
      </w:r>
      <w:r w:rsidRPr="004B6898">
        <w:t xml:space="preserve"> la viabilidad de las explotaciones agroganaderas. </w:t>
      </w:r>
    </w:p>
    <w:p w14:paraId="451D3F8C" w14:textId="21329B3D" w:rsidR="00C911FA" w:rsidRPr="00656035" w:rsidRDefault="00E75FF7" w:rsidP="00AA12E3">
      <w:r w:rsidRPr="004B6898">
        <w:t>D</w:t>
      </w:r>
      <w:r w:rsidR="00C911FA" w:rsidRPr="004B6898">
        <w:t>esde ASASJA seguimos trabajando para que se valore el papel de los agricultores de regadío</w:t>
      </w:r>
      <w:r w:rsidR="004B6898" w:rsidRPr="004B6898">
        <w:t>,</w:t>
      </w:r>
      <w:r w:rsidRPr="004B6898">
        <w:t xml:space="preserve"> que </w:t>
      </w:r>
      <w:r w:rsidR="004B6898" w:rsidRPr="004B6898">
        <w:t xml:space="preserve">dispongan de agua, que les </w:t>
      </w:r>
      <w:r w:rsidRPr="004B6898">
        <w:t xml:space="preserve">permite tener explotaciones viables, rentables, incorporar jóvenes y fijar población en el medio rural. </w:t>
      </w:r>
      <w:r w:rsidR="004B6898" w:rsidRPr="004B6898">
        <w:t>L</w:t>
      </w:r>
      <w:r w:rsidRPr="004B6898">
        <w:t xml:space="preserve">a agricultura de </w:t>
      </w:r>
      <w:r w:rsidRPr="004B6898">
        <w:lastRenderedPageBreak/>
        <w:t xml:space="preserve">regadío es la que impulsa el desarrollo económico </w:t>
      </w:r>
      <w:r w:rsidR="004B6898" w:rsidRPr="004B6898">
        <w:t xml:space="preserve">y fija población </w:t>
      </w:r>
      <w:r w:rsidRPr="004B6898">
        <w:t>en amplios territorios rurales</w:t>
      </w:r>
      <w:r w:rsidR="004B6898" w:rsidRPr="004B6898">
        <w:t>.</w:t>
      </w:r>
    </w:p>
    <w:p w14:paraId="3EA8E940" w14:textId="77777777" w:rsidR="00B83B6E" w:rsidRPr="00CC26F0" w:rsidRDefault="00B83B6E" w:rsidP="00AA12E3">
      <w:pPr>
        <w:rPr>
          <w:highlight w:val="yellow"/>
        </w:rPr>
      </w:pPr>
    </w:p>
    <w:p w14:paraId="5C09961F" w14:textId="77777777" w:rsidR="00CC26F0" w:rsidRDefault="00CC26F0" w:rsidP="00AA12E3">
      <w:pPr>
        <w:jc w:val="center"/>
        <w:rPr>
          <w:b/>
        </w:rPr>
      </w:pPr>
      <w:r w:rsidRPr="00CC26F0">
        <w:rPr>
          <w:b/>
        </w:rPr>
        <w:t>MEDIO AMBIENTE</w:t>
      </w:r>
    </w:p>
    <w:p w14:paraId="051CDC78" w14:textId="77777777" w:rsidR="00B83B6E" w:rsidRPr="00CC26F0" w:rsidRDefault="00B83B6E" w:rsidP="00AA12E3">
      <w:pPr>
        <w:jc w:val="center"/>
      </w:pPr>
    </w:p>
    <w:p w14:paraId="146D3273" w14:textId="77777777" w:rsidR="00B83B6E" w:rsidRPr="00B83B6E" w:rsidRDefault="00B83B6E" w:rsidP="00AA12E3">
      <w:pPr>
        <w:rPr>
          <w:b/>
          <w:bCs/>
        </w:rPr>
      </w:pPr>
      <w:r w:rsidRPr="00B83B6E">
        <w:rPr>
          <w:b/>
          <w:bCs/>
        </w:rPr>
        <w:t>Lobo</w:t>
      </w:r>
    </w:p>
    <w:p w14:paraId="5B4A8D77" w14:textId="77777777" w:rsidR="00B83B6E" w:rsidRDefault="00B83B6E" w:rsidP="00AA12E3"/>
    <w:p w14:paraId="76D1136D" w14:textId="3C3513EF" w:rsidR="00CC26F0" w:rsidRPr="00CC26F0" w:rsidRDefault="00CC26F0" w:rsidP="00AA12E3">
      <w:r w:rsidRPr="00CC26F0">
        <w:t>En mayo de 2025 el Parlamento Europeo aprobó de forma definitiva la reforma que reclasifica el lobo de “estrictamente protegido” a “protegido” en el marco del Convenio de Berna. ASAJA valoró esta decisión como un logro histórico para el campo europeo y reclamó al Gobierno de España que aplicara cuanto antes esta posibilidad y excluyera al lobo del LESPRE.</w:t>
      </w:r>
    </w:p>
    <w:p w14:paraId="7B65FAA3" w14:textId="77777777" w:rsidR="00B83B6E" w:rsidRDefault="00B83B6E" w:rsidP="00AA12E3"/>
    <w:p w14:paraId="4DE33994" w14:textId="3F42A94E" w:rsidR="00CC26F0" w:rsidRPr="00CC26F0" w:rsidRDefault="00CC26F0" w:rsidP="00AA12E3">
      <w:r w:rsidRPr="00CC26F0">
        <w:t>En junio se reunió a nivel estatal la llamada “mesa de diálogo para la coexistencia del lobo”. La modificación de la Directiva de Hábitats de la UE, impulsada en parte tras las quejas de varios gobiernos regionales, organizaciones como ASAJA y entidades europeas, activó en España la cláusula incluida en la Ley contra el Desperdicio Alimentario, que obliga a sacar al lobo del LESPRE en toda España. En esa reunión ASAJA además reclamó al MAPA que actuara con urgencia y diseñara un nuevo marco de ayudas para proteger a las explotaciones, garantizando indemnizaciones rápidas que permitan gestionar de forma eficaz los daños de todas las especies cinegéticas.</w:t>
      </w:r>
    </w:p>
    <w:p w14:paraId="3619D98E" w14:textId="77777777" w:rsidR="00B83B6E" w:rsidRDefault="00B83B6E" w:rsidP="00AA12E3"/>
    <w:p w14:paraId="64B53154" w14:textId="20D6E13F" w:rsidR="00B83B6E" w:rsidRPr="00B83B6E" w:rsidRDefault="00B83B6E" w:rsidP="00AA12E3">
      <w:pPr>
        <w:rPr>
          <w:b/>
          <w:bCs/>
        </w:rPr>
      </w:pPr>
      <w:r w:rsidRPr="00B83B6E">
        <w:rPr>
          <w:b/>
          <w:bCs/>
        </w:rPr>
        <w:t>Otras especies silvestres</w:t>
      </w:r>
    </w:p>
    <w:p w14:paraId="24D52AC7" w14:textId="77777777" w:rsidR="00B83B6E" w:rsidRDefault="00B83B6E" w:rsidP="00AA12E3"/>
    <w:p w14:paraId="2124BBB5" w14:textId="16325AE1" w:rsidR="00CC26F0" w:rsidRPr="00CC26F0" w:rsidRDefault="00CC26F0" w:rsidP="00AA12E3">
      <w:r w:rsidRPr="00CC26F0">
        <w:t>En febrero de 2025, el presidente de ASAJA acompañado de representantes de Burgos y Valladolid se reunió con el delegado del Gobierno para que actuara contra la plaga de conejos en tres frentes:</w:t>
      </w:r>
    </w:p>
    <w:p w14:paraId="1941D989" w14:textId="77777777" w:rsidR="00CC26F0" w:rsidRPr="00CC26F0" w:rsidRDefault="00CC26F0" w:rsidP="00AA12E3">
      <w:pPr>
        <w:pStyle w:val="Prrafodelista"/>
        <w:numPr>
          <w:ilvl w:val="0"/>
          <w:numId w:val="9"/>
        </w:numPr>
      </w:pPr>
      <w:r w:rsidRPr="00CC26F0">
        <w:t>Que en las infraestructuras en proceso o las nuevas que se proyecten, se instalen mallas u otros mecanismos que impidan que se socaven huras.</w:t>
      </w:r>
    </w:p>
    <w:p w14:paraId="0E431AE3" w14:textId="77777777" w:rsidR="00CC26F0" w:rsidRPr="00CC26F0" w:rsidRDefault="00CC26F0" w:rsidP="00AA12E3">
      <w:pPr>
        <w:pStyle w:val="Prrafodelista"/>
        <w:numPr>
          <w:ilvl w:val="0"/>
          <w:numId w:val="9"/>
        </w:numPr>
      </w:pPr>
      <w:r w:rsidRPr="00CC26F0">
        <w:t>Que en las ya existentes se establezcan medidas para evitar el asentamiento de las colonias de conejos.</w:t>
      </w:r>
    </w:p>
    <w:p w14:paraId="3F6B4032" w14:textId="77777777" w:rsidR="00CC26F0" w:rsidRPr="00CC26F0" w:rsidRDefault="00CC26F0" w:rsidP="00AA12E3">
      <w:pPr>
        <w:pStyle w:val="Prrafodelista"/>
        <w:numPr>
          <w:ilvl w:val="0"/>
          <w:numId w:val="9"/>
        </w:numPr>
      </w:pPr>
      <w:r w:rsidRPr="00CC26F0">
        <w:t>Mientras no se corrijan las deficiencias, el estado debe asumir los daños que el mal estado de mantenimiento de las infraestructuras está permitiendo.</w:t>
      </w:r>
    </w:p>
    <w:p w14:paraId="7A4ECEC8" w14:textId="77777777" w:rsidR="00B83B6E" w:rsidRDefault="00B83B6E" w:rsidP="00AA12E3"/>
    <w:p w14:paraId="108A8DD1" w14:textId="18BBDE60" w:rsidR="00CC26F0" w:rsidRPr="00CC26F0" w:rsidRDefault="00CC26F0" w:rsidP="00AA12E3">
      <w:r w:rsidRPr="00CC26F0">
        <w:t>En las mismas fechas se reunió con el consejero de Medio Ambiente, para informarles que la Junta elaboró una instrucción que agiliza los trámites para efectuar controles cinegéticos de conejos en un listado de los municipios más afectados, en concreto, 260 municipios, al cual se podrían incorporar otros si crecieras en ellos las poblaciones de conejos.</w:t>
      </w:r>
    </w:p>
    <w:p w14:paraId="3F84A2A4" w14:textId="77777777" w:rsidR="00B83B6E" w:rsidRDefault="00B83B6E" w:rsidP="00AA12E3"/>
    <w:p w14:paraId="0A737A61" w14:textId="3138B4A0" w:rsidR="00B83B6E" w:rsidRDefault="00CC26F0" w:rsidP="00AA12E3">
      <w:r w:rsidRPr="00CC26F0">
        <w:t>Tras la aparición de un foco de peste porcina africana en jabalíes muertos, ASAJA señaló que el plan de control y en su caso de erradicación debía tener como principal objetivo la vigilancia y el control de la enfermedad en los jabalíes siendo necesario un control de los censos este suido en Castilla y León y el resto de España, exigiendo a la Junta y al Estado que diseñaran un plan de actuación dotado de medidas y de presupuesto económico suficiente</w:t>
      </w:r>
      <w:r w:rsidR="004221B7">
        <w:t xml:space="preserve">. </w:t>
      </w:r>
      <w:r w:rsidR="004221B7" w:rsidRPr="004221B7">
        <w:t>En respuesta, la Administración de Castilla y León implementó dichas iniciativas, facilitando al máximo las acciones destinadas al control poblacional de estos animales silvestres.</w:t>
      </w:r>
    </w:p>
    <w:p w14:paraId="553A1BB9" w14:textId="77777777" w:rsidR="00AB4B50" w:rsidRPr="00AB4B50" w:rsidRDefault="00AB4B50" w:rsidP="00AA12E3">
      <w:pPr>
        <w:tabs>
          <w:tab w:val="left" w:pos="1010"/>
        </w:tabs>
      </w:pPr>
    </w:p>
    <w:p w14:paraId="31465AEE" w14:textId="150A01AB" w:rsidR="00AB4B50" w:rsidRPr="00AB4B50" w:rsidRDefault="00AB4B50" w:rsidP="00AA12E3">
      <w:pPr>
        <w:jc w:val="center"/>
        <w:rPr>
          <w:b/>
          <w:bCs/>
        </w:rPr>
      </w:pPr>
      <w:r w:rsidRPr="00AB4B50">
        <w:rPr>
          <w:b/>
          <w:bCs/>
        </w:rPr>
        <w:lastRenderedPageBreak/>
        <w:t>INCENDIOS</w:t>
      </w:r>
    </w:p>
    <w:p w14:paraId="731B2450" w14:textId="77777777" w:rsidR="00AB4B50" w:rsidRPr="00AB4B50" w:rsidRDefault="00AB4B50" w:rsidP="00AA12E3"/>
    <w:p w14:paraId="734D18AE" w14:textId="77777777" w:rsidR="00AB4B50" w:rsidRPr="00AB4B50" w:rsidRDefault="00AB4B50" w:rsidP="00AA12E3">
      <w:r w:rsidRPr="00AB4B50">
        <w:t xml:space="preserve">Los incendios del verano 2025, y en especial los del mes de agosto, alcanzaron una virulencia fuera de lo habitual, afectando especialmente a la franja oeste de la Comunidad Autónoma. Las cifras finales apuntan </w:t>
      </w:r>
      <w:r w:rsidRPr="00AB4B50">
        <w:rPr>
          <w:b/>
          <w:bCs/>
        </w:rPr>
        <w:t>143.880 hectáreas quemadas</w:t>
      </w:r>
      <w:r w:rsidRPr="00AB4B50">
        <w:t> en total en </w:t>
      </w:r>
      <w:r w:rsidRPr="00AB4B50">
        <w:rPr>
          <w:b/>
          <w:bCs/>
        </w:rPr>
        <w:t>1.216</w:t>
      </w:r>
      <w:r w:rsidRPr="00AB4B50">
        <w:t xml:space="preserve">, con la provincia de León como la más afectada, con cerca de cien mil hectáreas, seguida por Zamora, con incendios graves como el de Porto, que ha afectado a 20.000 hectáreas, y después Salamanca, con 11.000 ha, Ávila, con cerca de 7.500 y Palencia, con unas 5.200 hectáreas afectadas. La superficie quemada incluye matorral, pastizal, arbolado y terreno agrícola. Desde el primer momento, ASAJA reclamó una respuesta coordinada y eficiente de todas las administraciones, medios de extinción y ayudas urgentes para sostener las frágiles economías de los agricultores y los ganaderos y de todas las familias de los pueblos afectados. </w:t>
      </w:r>
    </w:p>
    <w:p w14:paraId="6FB8C2B8" w14:textId="77777777" w:rsidR="00AB4B50" w:rsidRPr="00AB4B50" w:rsidRDefault="00AB4B50" w:rsidP="00AA12E3">
      <w:r w:rsidRPr="00AB4B50">
        <w:t xml:space="preserve">Gracias a la </w:t>
      </w:r>
      <w:r w:rsidRPr="00656035">
        <w:rPr>
          <w:b/>
          <w:bCs/>
        </w:rPr>
        <w:t>rápida reivindicación de ASAJA, el gobierno de Alfonso Fernández Mañueco aceptó incluir en la ayuda directa de 5500 euros</w:t>
      </w:r>
      <w:r w:rsidRPr="00AB4B50">
        <w:t xml:space="preserve"> para autónomos a todos los agricultores y ganaderos, como autónomos que son. Además, se establecieron una serie de </w:t>
      </w:r>
      <w:r w:rsidRPr="00656035">
        <w:rPr>
          <w:b/>
          <w:bCs/>
        </w:rPr>
        <w:t>baremos para compensar las pérdidas</w:t>
      </w:r>
      <w:r w:rsidRPr="00AB4B50">
        <w:t xml:space="preserve">, atendiendo a criterios como la producción y el tipo de explotación. La cuantía de la ayuda de la Junta a agricultores y ganaderos llegó hasta los 18.000 euros en función de los daños declarados (incluidos los 5.500 de la ayuda directa al profesional). </w:t>
      </w:r>
    </w:p>
    <w:p w14:paraId="1E130242" w14:textId="268C9543" w:rsidR="00AB4B50" w:rsidRPr="00AB4B50" w:rsidRDefault="00AB4B50" w:rsidP="00AA12E3">
      <w:r w:rsidRPr="00AB4B50">
        <w:t xml:space="preserve">Paralelamente, también </w:t>
      </w:r>
      <w:r w:rsidRPr="00656035">
        <w:rPr>
          <w:b/>
          <w:bCs/>
        </w:rPr>
        <w:t>se trabajó con el Ministerio de Agricultura, que habilitó una compensación importante</w:t>
      </w:r>
      <w:r w:rsidRPr="00AB4B50">
        <w:t xml:space="preserve"> para los agricultores y ganaderos afectados por los grandes incendios de este verano. ASAJA valoró especialmente la sencillez de la tramitación y la rapidez en transferir los fondos. Solo </w:t>
      </w:r>
      <w:r w:rsidR="008A4BB1" w:rsidRPr="00AB4B50">
        <w:t>hay que mencionar</w:t>
      </w:r>
      <w:r w:rsidRPr="00AB4B50">
        <w:t xml:space="preserve"> que aún están pendientes de resolver algunos de los recursos que hemos presentado a la Consejería, relativos a ayudas que están pendientes.</w:t>
      </w:r>
    </w:p>
    <w:p w14:paraId="5A4A69BA" w14:textId="77777777" w:rsidR="00AB4B50" w:rsidRPr="00AB4B50" w:rsidRDefault="00AB4B50" w:rsidP="00AA12E3">
      <w:r w:rsidRPr="00AB4B50">
        <w:t xml:space="preserve">La devastación que estos incendios ha provocado apunta también que es el momento de </w:t>
      </w:r>
      <w:r w:rsidRPr="00656035">
        <w:rPr>
          <w:b/>
          <w:bCs/>
        </w:rPr>
        <w:t>revertir políticas que desde hace años se están aplicando y perjudicando al medio rural</w:t>
      </w:r>
      <w:r w:rsidRPr="00AB4B50">
        <w:t>, ya que provocan un mayor abandono y acumulación de masa de combustible que hacen prácticamente imposible el control del fuego.</w:t>
      </w:r>
    </w:p>
    <w:p w14:paraId="73C6F6E8" w14:textId="77777777" w:rsidR="00AB4B50" w:rsidRPr="00AB4B50" w:rsidRDefault="00AB4B50" w:rsidP="00AA12E3">
      <w:r w:rsidRPr="00AB4B50">
        <w:t>ASAJA considera fundamental que se protejan los núcleos urbanos para que no se repita la situación de este verano, cuando el fuego amenazó o arrasó numerosas poblaciones, cuyos vecinos tuvieron que ser evacuados. También es necesaria la apertura de cortafuegos y accesos amplios que faciliten las labores de extinción, así como la limpieza preventiva de montes y perímetros urbanos en los municipios de riesgo.  Además, hay que revisar  las infraestructuras hídricas, para que las tomas de agua funcionen en caso de ser necesario.</w:t>
      </w:r>
    </w:p>
    <w:p w14:paraId="32FB2987" w14:textId="1B5A37FE" w:rsidR="00AB4B50" w:rsidRDefault="000C4442" w:rsidP="00AA12E3">
      <w:r w:rsidRPr="00AB4B50">
        <w:rPr>
          <w:noProof/>
        </w:rPr>
        <w:lastRenderedPageBreak/>
        <w:drawing>
          <wp:anchor distT="0" distB="0" distL="114300" distR="114300" simplePos="0" relativeHeight="251658240" behindDoc="1" locked="0" layoutInCell="1" allowOverlap="1" wp14:anchorId="68F01472" wp14:editId="12AD1AF4">
            <wp:simplePos x="0" y="0"/>
            <wp:positionH relativeFrom="column">
              <wp:posOffset>-3810</wp:posOffset>
            </wp:positionH>
            <wp:positionV relativeFrom="paragraph">
              <wp:posOffset>0</wp:posOffset>
            </wp:positionV>
            <wp:extent cx="3940810" cy="2628900"/>
            <wp:effectExtent l="0" t="0" r="2540" b="0"/>
            <wp:wrapSquare wrapText="bothSides"/>
            <wp:docPr id="1978750152" name="Imagen 2" descr="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50152" name="Imagen 2" descr="Personas sentadas en una mesa&#10;&#10;El contenido generado por IA puede ser incorrec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0810" cy="2628900"/>
                    </a:xfrm>
                    <a:prstGeom prst="rect">
                      <a:avLst/>
                    </a:prstGeom>
                    <a:noFill/>
                    <a:ln>
                      <a:noFill/>
                    </a:ln>
                  </pic:spPr>
                </pic:pic>
              </a:graphicData>
            </a:graphic>
          </wp:anchor>
        </w:drawing>
      </w:r>
      <w:r w:rsidR="00AB4B50" w:rsidRPr="00AB4B50">
        <w:t xml:space="preserve">Por último, ASAJA quiere </w:t>
      </w:r>
      <w:r w:rsidR="00AB4B50" w:rsidRPr="00656035">
        <w:rPr>
          <w:b/>
          <w:bCs/>
        </w:rPr>
        <w:t>destacar y agradecer el trabajo</w:t>
      </w:r>
      <w:r w:rsidR="00AB4B50" w:rsidRPr="00AB4B50">
        <w:t xml:space="preserve"> de todos los equipos que trabajaron en la extinción de los fuegos: UME, bomberos forestales de las diferentes administraciones, equipos sanitarios y de apoyo logístico… y, muy especialmente, la entrega y esfuerzo sin límite de los propios voluntarios de los pueblos, cuya resistencia fue esencial para que el fuego no arrasara todo. En este sentido, ASAJA considera que es importante tener en cuenta y mantener estos grupos de voluntarios, de forma coordinada con los oficiales, porque se ha demostrado que su conocimiento y experiencia son imprescindibles para superar estas situaciones de emergencia.</w:t>
      </w:r>
    </w:p>
    <w:p w14:paraId="568BCA95" w14:textId="77777777" w:rsidR="00AA12E3" w:rsidRDefault="00AA12E3" w:rsidP="00AA12E3"/>
    <w:p w14:paraId="0E45C65D" w14:textId="77777777" w:rsidR="00AA12E3" w:rsidRPr="00656035" w:rsidRDefault="00AA12E3" w:rsidP="00AA12E3"/>
    <w:p w14:paraId="6E106A9E" w14:textId="77777777" w:rsidR="00656035" w:rsidRPr="00730F67" w:rsidRDefault="00656035" w:rsidP="00AA12E3">
      <w:pPr>
        <w:jc w:val="center"/>
        <w:rPr>
          <w:b/>
          <w:bCs/>
        </w:rPr>
      </w:pPr>
      <w:r w:rsidRPr="00730F67">
        <w:rPr>
          <w:b/>
          <w:bCs/>
        </w:rPr>
        <w:t>TÉCNICOS: ATENCIÓN INTEGRAL AL SECTOR</w:t>
      </w:r>
    </w:p>
    <w:p w14:paraId="06D72CC2" w14:textId="77777777" w:rsidR="00656035" w:rsidRPr="00730F67" w:rsidRDefault="00656035" w:rsidP="00AA12E3"/>
    <w:p w14:paraId="07DCBD9C" w14:textId="77777777" w:rsidR="00656035" w:rsidRDefault="00656035" w:rsidP="00AA12E3">
      <w:r w:rsidRPr="00730F67">
        <w:t xml:space="preserve">En 2025 ASAJA fortaleció su </w:t>
      </w:r>
      <w:r w:rsidRPr="00730F67">
        <w:rPr>
          <w:b/>
          <w:bCs/>
        </w:rPr>
        <w:t>red de servicios técnicos</w:t>
      </w:r>
      <w:r w:rsidRPr="00730F67">
        <w:t xml:space="preserve"> y de atención integral a los cerca de 18.000 agricultores y ganaderos que son socios de nuestras nueve organizaciones provinciales, en una red de 45 oficinas distribuidas por todo el territorio de Castilla y León. Los más de 160 empleados de la organización, con amplia experiencia y formación técnica en diferentes áreas, tienen el cometido de sacar adelante los programas de formación, el asesoramiento técnico y jurídico, la gestión de las ayudas, la contratación de los seguros agrarios y generales, la contabilidad y fiscalidad, el asesoramiento laboral, los programas de incorporación de jóvenes al sector agrario, y en definitiva todos los trámites necesarios en la gestión de una explotación agrícola o ganadera. </w:t>
      </w:r>
    </w:p>
    <w:p w14:paraId="528451BA" w14:textId="77777777" w:rsidR="00CA02EF" w:rsidRDefault="00CA02EF" w:rsidP="00AA12E3"/>
    <w:p w14:paraId="3A62C6D0" w14:textId="6D5C6999" w:rsidR="00656035" w:rsidRDefault="00CA02EF" w:rsidP="00AA12E3">
      <w:r w:rsidRPr="00CA02EF">
        <w:t>Precisamente en este contexto se inscribe la inauguración de varias oficinas que fortalecerán la presencia y el apoyo a los agricultores y ganaderos de la región. Desde julio de 2025, la nueva oficina regional de ASAJA está en funcionamiento, ofreciendo instalaciones modernas y funcionales que se adaptan a las demandas tecnológicas actuales.</w:t>
      </w:r>
      <w:r w:rsidRPr="00CA02EF">
        <w:rPr>
          <w:color w:val="000000"/>
          <w:sz w:val="27"/>
          <w:szCs w:val="27"/>
          <w:shd w:val="clear" w:color="auto" w:fill="F4F5F6"/>
        </w:rPr>
        <w:t xml:space="preserve"> </w:t>
      </w:r>
      <w:r w:rsidRPr="00CA02EF">
        <w:t>Además, en febrero se inauguró la nueva oficina provincial de ASAJA en Burgos, y en diciembre se amplió la sede provincial de Palencia. Estas iniciativas son esenciales para garantizar que la organización pueda ofrecer un mejor servicio a sus socios, quienes confían en su respaldo dentro de un entorno cada vez más competitivo.</w:t>
      </w:r>
    </w:p>
    <w:p w14:paraId="3A8F4263" w14:textId="77777777" w:rsidR="00CA02EF" w:rsidRPr="00730F67" w:rsidRDefault="00CA02EF" w:rsidP="00AA12E3"/>
    <w:p w14:paraId="7A71FBCA" w14:textId="77777777" w:rsidR="00656035" w:rsidRPr="00730F67" w:rsidRDefault="00656035" w:rsidP="00AA12E3">
      <w:r w:rsidRPr="00730F67">
        <w:t xml:space="preserve">Punto fundamental en la actividad de nuestras oficinas es la tramitación de la PAC. </w:t>
      </w:r>
      <w:r w:rsidRPr="00730F67">
        <w:rPr>
          <w:b/>
          <w:bCs/>
        </w:rPr>
        <w:t>En la campaña PAC 2025</w:t>
      </w:r>
      <w:r w:rsidRPr="00730F67">
        <w:t xml:space="preserve"> el número de solicitantes en Castilla y León descendió hasta 60.757, un 3,6% menos que las presentadas el pasado año, mientras que la superficie crece ligeramente en 4.451 hectáreas, hasta los 5.278.403. Aunque el </w:t>
      </w:r>
      <w:r w:rsidRPr="00730F67">
        <w:lastRenderedPageBreak/>
        <w:t xml:space="preserve">número global de PAC presentadas en Castilla y León ha descendido, por el contrario, ha aumentado el número de expedientes presentados por ASAJA, alcanzando las 14.794 solicitudes presentadas, el 24% del total, manteniendo, un año más, </w:t>
      </w:r>
      <w:r w:rsidRPr="00730F67">
        <w:rPr>
          <w:b/>
          <w:bCs/>
        </w:rPr>
        <w:t>su liderazgo como primera entidad gestora de expedientes</w:t>
      </w:r>
      <w:r w:rsidRPr="00730F67">
        <w:t xml:space="preserve"> a gran distancia del resto. En ASAJA ha ocurrido justo lo contrario que en el global de la región, tramitándose casi un 50% más de PAC que hace diez años.</w:t>
      </w:r>
    </w:p>
    <w:p w14:paraId="01D5799C" w14:textId="77777777" w:rsidR="00656035" w:rsidRPr="00730F67" w:rsidRDefault="00656035" w:rsidP="00AA12E3"/>
    <w:p w14:paraId="75A707A5" w14:textId="6A556A43" w:rsidR="00656035" w:rsidRPr="00730F67" w:rsidRDefault="00656035" w:rsidP="00AA12E3">
      <w:r w:rsidRPr="00730F67">
        <w:t xml:space="preserve">A la tramitación de la PAC, hay que sumar el apoyo y asesoramiento de nuestro equipo técnico en todas las </w:t>
      </w:r>
      <w:r w:rsidRPr="00730F67">
        <w:rPr>
          <w:b/>
          <w:bCs/>
        </w:rPr>
        <w:t>ayudas</w:t>
      </w:r>
      <w:r w:rsidRPr="00730F67">
        <w:t xml:space="preserve"> que repercuten en los agricultores y ganaderos y sus explotaciones, no solo en el momento de la solicitud, sino a lo largo de todo el proceso hasta que la ayuda es ingresada: Incorporación de Jóvenes y Modernización de Explotaciones y demás líneas englobadas en Desarrollo Rural, Plan </w:t>
      </w:r>
      <w:proofErr w:type="spellStart"/>
      <w:r w:rsidRPr="00730F67">
        <w:t>Renove</w:t>
      </w:r>
      <w:proofErr w:type="spellEnd"/>
      <w:r w:rsidRPr="00730F67">
        <w:t xml:space="preserve">, Sucesión de explotaciones, ayudas apícolas, reestructuración del viñedo, construcción de cebaderos, ayudas especiales, etc.  También fundamental en nuestra cartera de Servicios es el Departamento de </w:t>
      </w:r>
      <w:r w:rsidRPr="00730F67">
        <w:rPr>
          <w:b/>
          <w:bCs/>
        </w:rPr>
        <w:t xml:space="preserve">Seguros, </w:t>
      </w:r>
      <w:r w:rsidRPr="00730F67">
        <w:t xml:space="preserve">tanto agrarios como generales. </w:t>
      </w:r>
      <w:r w:rsidR="008A4BB1" w:rsidRPr="00730F67">
        <w:t>Hay que destacar</w:t>
      </w:r>
      <w:r w:rsidRPr="00730F67">
        <w:t xml:space="preserve"> en este punto que una de cada cuatro pólizas agrarias suscritas por los agricultores y ganaderos de Castilla y León pasan por nuestras oficinas.</w:t>
      </w:r>
    </w:p>
    <w:p w14:paraId="23DD4B11" w14:textId="77777777" w:rsidR="00656035" w:rsidRPr="00730F67" w:rsidRDefault="00656035" w:rsidP="00AA12E3"/>
    <w:p w14:paraId="35672D75" w14:textId="3BEEBA1D" w:rsidR="00656035" w:rsidRPr="00730F67" w:rsidRDefault="00656035" w:rsidP="00AA12E3">
      <w:r w:rsidRPr="00730F67">
        <w:t xml:space="preserve">En cuanto a la formación, en el año 2025 ASAJA Castilla y León </w:t>
      </w:r>
      <w:r w:rsidRPr="00730F67">
        <w:rPr>
          <w:b/>
          <w:bCs/>
        </w:rPr>
        <w:t>ha realizado 18 cursos de incorporación a la empresa agraria en modalidad online</w:t>
      </w:r>
      <w:r w:rsidRPr="00730F67">
        <w:t>, dando formación a más de 250 alumnos, de los cuales el 63% son hombres y el 37% mujeres, atendiendo la fuerte demanda que está llegando desde los diferentes puntos de la región. En el 2025 se puso en marcha la nueva normativa que regula los Cursos de Incorporación a la Empresa Agraria, cuya superación permite el acceso a la formación mínima exigida para poder ser beneficiario de ayudas vinculadas a la PAC, como pueden ser las relativas a la incorporación o al reconocimiento de derechos de la reserva nacional. A partir de ahora, los alumnos tienen que realizar, por un lado, una parte teórica impartida a través de la plataforma de ASAJA, y por otra, una parte práctica a través de dos estancias en explotaciones agrarias y a formación en las escuelas de la Consejería de Agricultura.</w:t>
      </w:r>
    </w:p>
    <w:p w14:paraId="5247A3AA" w14:textId="77777777" w:rsidR="00656035" w:rsidRDefault="00656035" w:rsidP="00AA12E3"/>
    <w:p w14:paraId="215E9982" w14:textId="77777777" w:rsidR="00656035" w:rsidRPr="00730F67" w:rsidRDefault="00656035" w:rsidP="00AA12E3">
      <w:r w:rsidRPr="00730F67">
        <w:t xml:space="preserve">A su vez, se ha impartido </w:t>
      </w:r>
      <w:r w:rsidRPr="00730F67">
        <w:rPr>
          <w:b/>
          <w:bCs/>
        </w:rPr>
        <w:t>formación presencial</w:t>
      </w:r>
      <w:r w:rsidRPr="00730F67">
        <w:t xml:space="preserve">: cursos, charlas, jornadas…, que apoya la realización de acciones de formación profesional y adquisición de competencias, aunque fueron pocas las que pudieron hacerse con fondos públicos debido a la reducción del presupuesto asignado a formación en el periodo PEPAC 2023-2027. De este modo se han quedado fuera acciones obligatorias para que los profesionales puedan ejercer sus actividades, cursos importantes y necesarios, como los de Bienestar Animal en el Transporte de Animales y los de Usuario Profesional de productos fitosanitarios, nivel básico y cualificado, que han tenido que realizarse con un coste que ha tenido que asumir el sector. </w:t>
      </w:r>
    </w:p>
    <w:p w14:paraId="4533E785" w14:textId="77777777" w:rsidR="00656035" w:rsidRPr="00730F67" w:rsidRDefault="00656035" w:rsidP="00AA12E3">
      <w:r w:rsidRPr="00730F67">
        <w:t xml:space="preserve">Además de la formación subvencionada, se han impartido cursos, jornadas y charlas informativas con temática novedosa, que pretenden contribuir a la mejora del sector y la fijación de población en el medio rural, tales como “agricultura 4.0.”, “empoderamiento digital”, “jornada apícola”, “jornada ecológica”, “uso y manejo de GPS”, “elaboración cata de vino y queso”, “Política Agraria Comunitaria”, “seguros agrarios” o “enfermedad hemorrágica epizoótica” entre otros. </w:t>
      </w:r>
    </w:p>
    <w:p w14:paraId="10B3B21F" w14:textId="77777777" w:rsidR="00656035" w:rsidRDefault="00656035" w:rsidP="00AA12E3"/>
    <w:p w14:paraId="51BAD0F0" w14:textId="5066BED4" w:rsidR="00656035" w:rsidRPr="00730F67" w:rsidRDefault="00656035" w:rsidP="00AA12E3">
      <w:pPr>
        <w:rPr>
          <w:b/>
          <w:bCs/>
        </w:rPr>
      </w:pPr>
      <w:r w:rsidRPr="00730F67">
        <w:t xml:space="preserve">A primeros de julio de 2025, se convocaron las </w:t>
      </w:r>
      <w:r w:rsidRPr="00730F67">
        <w:rPr>
          <w:b/>
          <w:bCs/>
        </w:rPr>
        <w:t>ayudas para la mejora de las estructuras de producción y modernización de las explotaciones agrarias</w:t>
      </w:r>
      <w:r w:rsidRPr="00730F67">
        <w:t xml:space="preserve">, </w:t>
      </w:r>
      <w:r w:rsidRPr="00730F67">
        <w:lastRenderedPageBreak/>
        <w:t xml:space="preserve">habiéndose presentado un total de 2.613 solicitudes: 958 para la incorporación de jóvenes, siendo la ayuda media solicitada de 62.741€ y 1655 para la modernización de explotaciones, con una ayuda media de 40.833,64€. Es importante destacar que un 79% de las solicitudes han sido presentadas por las OPAS y URCACYL y de ese porcentaje </w:t>
      </w:r>
      <w:r w:rsidRPr="00730F67">
        <w:rPr>
          <w:b/>
          <w:bCs/>
        </w:rPr>
        <w:t>el 48% han sido presentadas por ASAJA.</w:t>
      </w:r>
    </w:p>
    <w:p w14:paraId="06EE6F1E" w14:textId="77777777" w:rsidR="00656035" w:rsidRPr="00730F67" w:rsidRDefault="00656035" w:rsidP="00AA12E3"/>
    <w:p w14:paraId="042982E8" w14:textId="77777777" w:rsidR="00656035" w:rsidRDefault="00656035" w:rsidP="00AA12E3">
      <w:pPr>
        <w:rPr>
          <w:lang w:val="es-ES_tradnl"/>
        </w:rPr>
      </w:pPr>
      <w:r w:rsidRPr="00730F67">
        <w:t xml:space="preserve">Además, desde el año 2017, ASAJA Castilla y León, presta el </w:t>
      </w:r>
      <w:r w:rsidRPr="00730F67">
        <w:rPr>
          <w:b/>
          <w:bCs/>
        </w:rPr>
        <w:t>servicio de asesoramiento</w:t>
      </w:r>
      <w:r w:rsidRPr="00730F67">
        <w:t xml:space="preserve"> dirigido a los titulares de explotaciones agrarias de Castilla y León, así como a forestales y a Pymes asentadas en el medio rural, con el objetivo de ayudar al sector para que pueda incrementar la competitividad y rentabilidad de sus explotaciones tanto en temas de producción de alimentos como en sanidad animal, vegetal, fertilización orgánica y mineral, así como a mejorar las técnicas disponibles en cultivos y en cría de ganado, entre otras.  Desde la campaña 2021-2022 el asesoramiento se hace a través de una ayuda que cubre el servicio prestado, siendo el número de asesorados por ASAJA con ayuda en la campaña 2025 de 2.350</w:t>
      </w:r>
      <w:r w:rsidRPr="00730F67">
        <w:rPr>
          <w:lang w:val="es-ES_tradnl"/>
        </w:rPr>
        <w:t>.</w:t>
      </w:r>
    </w:p>
    <w:p w14:paraId="2800B465" w14:textId="77777777" w:rsidR="002E0401" w:rsidRDefault="002E0401" w:rsidP="00AA12E3">
      <w:pPr>
        <w:rPr>
          <w:lang w:val="es-ES_tradnl"/>
        </w:rPr>
      </w:pPr>
    </w:p>
    <w:p w14:paraId="53508828" w14:textId="40AB12F7" w:rsidR="002E0401" w:rsidRDefault="002E0401" w:rsidP="00AA12E3">
      <w:r w:rsidRPr="002E0401">
        <w:t xml:space="preserve">Tordesillas acogió </w:t>
      </w:r>
      <w:r w:rsidR="00AC1D6C">
        <w:t>el</w:t>
      </w:r>
      <w:r w:rsidRPr="002E0401">
        <w:t xml:space="preserve"> 28 y 29 de noviembre </w:t>
      </w:r>
      <w:r w:rsidR="00AC1D6C">
        <w:t xml:space="preserve">de 2025, </w:t>
      </w:r>
      <w:r w:rsidRPr="002E0401">
        <w:t>la Convención</w:t>
      </w:r>
      <w:r w:rsidR="00AC1D6C">
        <w:t xml:space="preserve"> Anual</w:t>
      </w:r>
      <w:r w:rsidRPr="002E0401">
        <w:t xml:space="preserve"> de Empleados de ASAJA Castilla y León,</w:t>
      </w:r>
      <w:r>
        <w:rPr>
          <w:rFonts w:ascii="Times New Roman" w:hAnsi="Times New Roman" w:cs="Times New Roman"/>
          <w:lang w:eastAsia="es-ES"/>
        </w:rPr>
        <w:t xml:space="preserve"> </w:t>
      </w:r>
      <w:r w:rsidRPr="002E0401">
        <w:t xml:space="preserve">en la que participaron los </w:t>
      </w:r>
      <w:r>
        <w:t xml:space="preserve">casi 165 </w:t>
      </w:r>
      <w:r w:rsidRPr="002E0401">
        <w:t>empleados</w:t>
      </w:r>
      <w:r>
        <w:t xml:space="preserve"> </w:t>
      </w:r>
      <w:r w:rsidRPr="002E0401">
        <w:t>de las nueve organizaciones provinciales</w:t>
      </w:r>
      <w:r>
        <w:t xml:space="preserve"> y la</w:t>
      </w:r>
      <w:r w:rsidRPr="002E0401">
        <w:t xml:space="preserve"> regional</w:t>
      </w:r>
      <w:r>
        <w:t>. E</w:t>
      </w:r>
      <w:r w:rsidRPr="002E0401">
        <w:t xml:space="preserve">sta edición estuvo enfocada a la adaptación a las nuevas tecnologías digitales, con el objetivo de mejorar los servicios que se ofrecen a los socios, los agricultores y ganaderos, </w:t>
      </w:r>
      <w:r>
        <w:t xml:space="preserve">pero </w:t>
      </w:r>
      <w:r w:rsidRPr="002E0401">
        <w:t>siempre sin perder lo que es el sello de ASAJA, que es la atención personal y directa.</w:t>
      </w:r>
    </w:p>
    <w:p w14:paraId="27151F9D" w14:textId="77777777" w:rsidR="009B039E" w:rsidRDefault="009B039E" w:rsidP="00AA12E3"/>
    <w:p w14:paraId="2CAEC1CD" w14:textId="78CB0145" w:rsidR="00AC1D6C" w:rsidRPr="00AC1D6C" w:rsidRDefault="009B039E" w:rsidP="00AC1D6C">
      <w:r w:rsidRPr="009B039E">
        <w:t xml:space="preserve">En las oficinas de ASAJA, </w:t>
      </w:r>
      <w:r>
        <w:t>también se ofrece a los</w:t>
      </w:r>
      <w:r w:rsidRPr="009B039E">
        <w:t xml:space="preserve"> socios un servicio integral de asesoramiento fiscal y laboral que se adapta a las particularidades del sector agrario. Nuestros técnicos expertos cuentan con una amplia experiencia y conocimiento en la materia, lo que nos permite brindar soluciones personalizadas y optimizadas para cada situación.</w:t>
      </w:r>
      <w:r>
        <w:t xml:space="preserve"> </w:t>
      </w:r>
      <w:r w:rsidR="00AC1D6C" w:rsidRPr="00AC1D6C">
        <w:t xml:space="preserve">Entre los servicios que </w:t>
      </w:r>
      <w:r w:rsidR="00AC1D6C">
        <w:t>se ofrecen se encuentra</w:t>
      </w:r>
      <w:r w:rsidR="00AC1D6C" w:rsidRPr="00AC1D6C">
        <w:t> </w:t>
      </w:r>
      <w:r w:rsidR="00AC1D6C">
        <w:t>la gestión de</w:t>
      </w:r>
      <w:r w:rsidR="00AC1D6C" w:rsidRPr="00AC1D6C">
        <w:t xml:space="preserve"> la declaración de la renta (IRPF), módulos, IVA y devoluciones de impuestos especiales como el gasóleo agrícola. </w:t>
      </w:r>
    </w:p>
    <w:p w14:paraId="54FBA896" w14:textId="77777777" w:rsidR="00656035" w:rsidRDefault="00656035" w:rsidP="00AA12E3">
      <w:pPr>
        <w:tabs>
          <w:tab w:val="left" w:pos="1010"/>
        </w:tabs>
      </w:pPr>
    </w:p>
    <w:p w14:paraId="1B6B06D1" w14:textId="77777777" w:rsidR="000C4442" w:rsidRDefault="000C4442" w:rsidP="00AA12E3">
      <w:pPr>
        <w:tabs>
          <w:tab w:val="left" w:pos="1010"/>
        </w:tabs>
      </w:pPr>
    </w:p>
    <w:p w14:paraId="2F66A1ED" w14:textId="77777777" w:rsidR="00656035" w:rsidRDefault="00656035" w:rsidP="00AA12E3">
      <w:pPr>
        <w:tabs>
          <w:tab w:val="left" w:pos="1010"/>
        </w:tabs>
      </w:pPr>
    </w:p>
    <w:p w14:paraId="6C71D07D" w14:textId="77777777" w:rsidR="00AA7528" w:rsidRPr="00AB4B50" w:rsidRDefault="00AA7528" w:rsidP="00AA12E3">
      <w:pPr>
        <w:jc w:val="center"/>
        <w:rPr>
          <w:b/>
          <w:bCs/>
        </w:rPr>
      </w:pPr>
      <w:r w:rsidRPr="00AB4B50">
        <w:rPr>
          <w:b/>
          <w:bCs/>
        </w:rPr>
        <w:t>FERIAS Y ACTIVIDADES</w:t>
      </w:r>
    </w:p>
    <w:p w14:paraId="6558404C" w14:textId="77777777" w:rsidR="00AA7528" w:rsidRPr="00AB4B50" w:rsidRDefault="00AA7528" w:rsidP="00AA12E3">
      <w:pPr>
        <w:rPr>
          <w:b/>
          <w:bCs/>
        </w:rPr>
      </w:pPr>
    </w:p>
    <w:p w14:paraId="05A78B3D" w14:textId="77777777" w:rsidR="00AA7528" w:rsidRPr="00AB4B50" w:rsidRDefault="00AA7528" w:rsidP="00AA12E3">
      <w:r w:rsidRPr="00AB4B50">
        <w:t>Las ferias, jornadas, etc. ofrecen un marco propicio a acercar nuestra organización a sus socios, los agricultores y ganaderos. Por ello, ASAJA Castilla y León participa en diversos encuentros y foros con contenido técnico o social de temática agraria.</w:t>
      </w:r>
    </w:p>
    <w:p w14:paraId="07955EA8" w14:textId="6EEFB076" w:rsidR="00AA7528" w:rsidRPr="00AB4B50" w:rsidRDefault="00AA7528" w:rsidP="00AA12E3"/>
    <w:p w14:paraId="5DA58D9D" w14:textId="77777777" w:rsidR="000C4442" w:rsidRDefault="000C4442" w:rsidP="00AA12E3">
      <w:pPr>
        <w:rPr>
          <w:b/>
          <w:bCs/>
        </w:rPr>
      </w:pPr>
    </w:p>
    <w:p w14:paraId="085D0F0D" w14:textId="08988150" w:rsidR="00AA7528" w:rsidRDefault="00AB4B50" w:rsidP="00AA12E3">
      <w:pPr>
        <w:rPr>
          <w:b/>
          <w:bCs/>
        </w:rPr>
      </w:pPr>
      <w:r>
        <w:rPr>
          <w:b/>
          <w:bCs/>
        </w:rPr>
        <w:t>Feria Agraria</w:t>
      </w:r>
    </w:p>
    <w:p w14:paraId="18AAE279" w14:textId="7B2128DE" w:rsidR="00656035" w:rsidRPr="00AB4B50" w:rsidRDefault="00656035" w:rsidP="00AA12E3">
      <w:pPr>
        <w:rPr>
          <w:b/>
          <w:bCs/>
        </w:rPr>
      </w:pPr>
    </w:p>
    <w:p w14:paraId="75172C27" w14:textId="56CA2981" w:rsidR="00AA7528" w:rsidRDefault="000C4442" w:rsidP="00AA12E3">
      <w:r w:rsidRPr="00AB4B50">
        <w:rPr>
          <w:noProof/>
        </w:rPr>
        <w:lastRenderedPageBreak/>
        <w:drawing>
          <wp:anchor distT="0" distB="0" distL="114300" distR="114300" simplePos="0" relativeHeight="251659264" behindDoc="0" locked="0" layoutInCell="1" allowOverlap="1" wp14:anchorId="4EC0F553" wp14:editId="0795AF66">
            <wp:simplePos x="0" y="0"/>
            <wp:positionH relativeFrom="column">
              <wp:posOffset>-13335</wp:posOffset>
            </wp:positionH>
            <wp:positionV relativeFrom="paragraph">
              <wp:posOffset>157480</wp:posOffset>
            </wp:positionV>
            <wp:extent cx="3912235" cy="2360295"/>
            <wp:effectExtent l="0" t="0" r="0" b="1905"/>
            <wp:wrapSquare wrapText="bothSides"/>
            <wp:docPr id="352672092" name="Imagen 3" descr="Un grupo de personas de p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72092" name="Imagen 3" descr="Un grupo de personas de pie&#10;&#10;El contenido generado por IA puede ser incorrect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12235"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528" w:rsidRPr="00AB4B50">
        <w:t>A finales de enero se celebró la octava edición de Agraria, la bienal de maquinaria agrícola que organiza Feria de Valladolid, que rozó su récord histórico de visitantes, al acercarse a las 33.000 personas. Un año más, ASAJA Castilla y León contó con un stand muy visitado por los socios, atendido por los compañeros técnicos en las diferentes organizaciones provinciales de ASAJA (Ávila, Burgos, León, Palencia, Salamanca, Segovia, Soria, Valladolid y Zamora, junto al equipo regional).</w:t>
      </w:r>
    </w:p>
    <w:p w14:paraId="1A35A355" w14:textId="77777777" w:rsidR="00AA7528" w:rsidRPr="00AB4B50" w:rsidRDefault="00AA7528" w:rsidP="00AA12E3"/>
    <w:p w14:paraId="0AD28BEF" w14:textId="77777777" w:rsidR="00656035" w:rsidRDefault="00656035" w:rsidP="00AA12E3">
      <w:pPr>
        <w:rPr>
          <w:b/>
          <w:bCs/>
        </w:rPr>
      </w:pPr>
    </w:p>
    <w:p w14:paraId="16C7B4C5" w14:textId="386B74DB" w:rsidR="00AA7528" w:rsidRDefault="000C4442" w:rsidP="00AA12E3">
      <w:pPr>
        <w:rPr>
          <w:b/>
          <w:bCs/>
        </w:rPr>
      </w:pPr>
      <w:r w:rsidRPr="00AB4B50">
        <w:rPr>
          <w:noProof/>
        </w:rPr>
        <w:drawing>
          <wp:anchor distT="0" distB="0" distL="114300" distR="114300" simplePos="0" relativeHeight="251660288" behindDoc="0" locked="0" layoutInCell="1" allowOverlap="1" wp14:anchorId="52B5F702" wp14:editId="27DCD85F">
            <wp:simplePos x="0" y="0"/>
            <wp:positionH relativeFrom="column">
              <wp:posOffset>-13335</wp:posOffset>
            </wp:positionH>
            <wp:positionV relativeFrom="paragraph">
              <wp:posOffset>187325</wp:posOffset>
            </wp:positionV>
            <wp:extent cx="3883025" cy="2390140"/>
            <wp:effectExtent l="0" t="0" r="3175" b="0"/>
            <wp:wrapSquare wrapText="bothSides"/>
            <wp:docPr id="284159178" name="Imagen 1" descr="Un grupo de personas de p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59178" name="Imagen 1" descr="Un grupo de personas de pie&#10;&#10;El contenido generado por IA puede ser incorrect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3025" cy="239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B50">
        <w:rPr>
          <w:b/>
          <w:bCs/>
        </w:rPr>
        <w:t>Encuentro de Mujeres</w:t>
      </w:r>
    </w:p>
    <w:p w14:paraId="34E3544D" w14:textId="34AF3540" w:rsidR="000C4442" w:rsidRDefault="00AA7528" w:rsidP="00AA12E3">
      <w:r w:rsidRPr="00AB4B50">
        <w:t>Coincidiendo con la feria Agraria, ASAJA celebró el 28 de enero una jornada dedicada a las mujeres profesionales de la agricultura y de la ganadería en Castilla y León, bajo el título “Mujeres con voz propia”. En el encuentro mujeres de todas las provincias de Castilla y León compartieron sus experiencias y propusieron mejoras para sus explotaciones y también para impulsar su apuesta vital, que es trabajar y residir en los pueblos. Entre otras, participaron Ana Pastor, agricultora, presidenta de ASAJA Soria, vocal en el Comité Ejecutivo Nacional y vicepresidenta de ASAJA Mujeres;</w:t>
      </w:r>
      <w:r w:rsidR="000C4442" w:rsidRPr="000C4442">
        <w:rPr>
          <w:noProof/>
        </w:rPr>
        <w:t xml:space="preserve"> </w:t>
      </w:r>
      <w:r w:rsidRPr="00AB4B50">
        <w:t>Begoña Bello, apicultora y responsable de ASAJA en El Bierzo, y también Blanca Corroto, presidenta de ASAJA Mujeres y ASAJA Toledo.</w:t>
      </w:r>
    </w:p>
    <w:p w14:paraId="0924F43D" w14:textId="77777777" w:rsidR="000C4442" w:rsidRPr="000C4442" w:rsidRDefault="000C4442" w:rsidP="00AA12E3"/>
    <w:p w14:paraId="079B649A" w14:textId="77777777" w:rsidR="000C4442" w:rsidRDefault="000C4442" w:rsidP="00AA12E3">
      <w:pPr>
        <w:rPr>
          <w:b/>
          <w:bCs/>
        </w:rPr>
      </w:pPr>
    </w:p>
    <w:p w14:paraId="0D738082" w14:textId="73F1356C" w:rsidR="00AA7528" w:rsidRDefault="00AA7528" w:rsidP="00AA12E3">
      <w:pPr>
        <w:rPr>
          <w:b/>
          <w:bCs/>
        </w:rPr>
      </w:pPr>
      <w:r w:rsidRPr="00AB4B50">
        <w:rPr>
          <w:b/>
          <w:bCs/>
        </w:rPr>
        <w:t>D</w:t>
      </w:r>
      <w:r w:rsidR="00AB4B50">
        <w:rPr>
          <w:b/>
          <w:bCs/>
        </w:rPr>
        <w:t>emoagro</w:t>
      </w:r>
    </w:p>
    <w:p w14:paraId="3066EACE" w14:textId="5F083266" w:rsidR="00656035" w:rsidRPr="00AB4B50" w:rsidRDefault="000C4442" w:rsidP="00AA12E3">
      <w:pPr>
        <w:rPr>
          <w:b/>
          <w:bCs/>
        </w:rPr>
      </w:pPr>
      <w:r w:rsidRPr="00AB4B50">
        <w:rPr>
          <w:noProof/>
        </w:rPr>
        <w:lastRenderedPageBreak/>
        <w:drawing>
          <wp:anchor distT="0" distB="0" distL="114300" distR="114300" simplePos="0" relativeHeight="251661312" behindDoc="0" locked="0" layoutInCell="1" allowOverlap="1" wp14:anchorId="48809E48" wp14:editId="54BD1415">
            <wp:simplePos x="0" y="0"/>
            <wp:positionH relativeFrom="margin">
              <wp:align>left</wp:align>
            </wp:positionH>
            <wp:positionV relativeFrom="paragraph">
              <wp:posOffset>173355</wp:posOffset>
            </wp:positionV>
            <wp:extent cx="3867150" cy="2283460"/>
            <wp:effectExtent l="0" t="0" r="0" b="2540"/>
            <wp:wrapSquare wrapText="bothSides"/>
            <wp:docPr id="1124531365" name="Imagen 4" descr="Un grupo de personas junto a una señal de alto en un ca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31365" name="Imagen 4" descr="Un grupo de personas junto a una señal de alto en un campo&#10;&#10;El contenido generado por IA puede ser incorrect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88196" cy="229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5ABC8" w14:textId="57E33416" w:rsidR="00AA7528" w:rsidRDefault="00AA7528" w:rsidP="00AA12E3">
      <w:r w:rsidRPr="00AB4B50">
        <w:t>En mayo Medina del Campo acogió la 6ª edición de Demoagro, el mayor evento demostrativo de maquinaria agrícola en campo abierto de España, que se celebró los días 20, 21 y 22 de mayo. Se dieron cita en este evento miles de agricultores de toda España, representantes empresariales e institucionales, así como técnicos en materias agrarias, entre otros. Como en ediciones anteriores, ASAJA Castilla y León contó con stand, por el que pasaron sus socios y simpatizantes, y que tuvo tanto su lado lúdico como su lado reivindicativo.</w:t>
      </w:r>
    </w:p>
    <w:p w14:paraId="73677A77" w14:textId="77777777" w:rsidR="00AA7528" w:rsidRPr="00AB4B50" w:rsidRDefault="00AA7528" w:rsidP="00AA12E3"/>
    <w:p w14:paraId="63D20D35" w14:textId="77777777" w:rsidR="00AA7528" w:rsidRPr="00AB4B50" w:rsidRDefault="00AA7528" w:rsidP="00AA12E3"/>
    <w:p w14:paraId="0C518C57" w14:textId="09404AD8" w:rsidR="00AA7528" w:rsidRDefault="00AA7528" w:rsidP="00AA12E3">
      <w:pPr>
        <w:rPr>
          <w:b/>
          <w:bCs/>
        </w:rPr>
      </w:pPr>
      <w:proofErr w:type="spellStart"/>
      <w:r w:rsidRPr="00AB4B50">
        <w:rPr>
          <w:b/>
          <w:bCs/>
        </w:rPr>
        <w:t>O</w:t>
      </w:r>
      <w:r w:rsidR="00AB4B50">
        <w:rPr>
          <w:b/>
          <w:bCs/>
        </w:rPr>
        <w:t>vinnova</w:t>
      </w:r>
      <w:proofErr w:type="spellEnd"/>
    </w:p>
    <w:p w14:paraId="7492896E" w14:textId="77777777" w:rsidR="000C4442" w:rsidRDefault="000C4442" w:rsidP="00AA12E3">
      <w:pPr>
        <w:rPr>
          <w:b/>
          <w:bCs/>
        </w:rPr>
      </w:pPr>
    </w:p>
    <w:p w14:paraId="2F81902B" w14:textId="76FCE95A" w:rsidR="00AA7528" w:rsidRPr="000C4442" w:rsidRDefault="000C4442" w:rsidP="00AA12E3">
      <w:pPr>
        <w:rPr>
          <w:b/>
          <w:bCs/>
        </w:rPr>
      </w:pPr>
      <w:r w:rsidRPr="00AB4B50">
        <w:rPr>
          <w:noProof/>
        </w:rPr>
        <w:drawing>
          <wp:anchor distT="0" distB="0" distL="114300" distR="114300" simplePos="0" relativeHeight="251662336" behindDoc="0" locked="0" layoutInCell="1" allowOverlap="1" wp14:anchorId="407CEE62" wp14:editId="1A97FDBF">
            <wp:simplePos x="0" y="0"/>
            <wp:positionH relativeFrom="column">
              <wp:posOffset>-3810</wp:posOffset>
            </wp:positionH>
            <wp:positionV relativeFrom="paragraph">
              <wp:posOffset>2540</wp:posOffset>
            </wp:positionV>
            <wp:extent cx="4154604" cy="2133600"/>
            <wp:effectExtent l="0" t="0" r="0" b="0"/>
            <wp:wrapSquare wrapText="bothSides"/>
            <wp:docPr id="1432792967" name="Imagen 5" descr="Un grupo de personas posando para la cámara delante de un carte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92967" name="Imagen 5" descr="Un grupo de personas posando para la cámara delante de un cartel&#10;&#10;El contenido generado por IA puede ser incorrec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54604" cy="2133600"/>
                    </a:xfrm>
                    <a:prstGeom prst="rect">
                      <a:avLst/>
                    </a:prstGeom>
                    <a:noFill/>
                    <a:ln>
                      <a:noFill/>
                    </a:ln>
                  </pic:spPr>
                </pic:pic>
              </a:graphicData>
            </a:graphic>
          </wp:anchor>
        </w:drawing>
      </w:r>
      <w:r w:rsidR="00AA7528" w:rsidRPr="00AB4B50">
        <w:t xml:space="preserve">El ferial de Zamora, </w:t>
      </w:r>
      <w:proofErr w:type="spellStart"/>
      <w:r w:rsidR="00AA7528" w:rsidRPr="00AB4B50">
        <w:t>Ifeza</w:t>
      </w:r>
      <w:proofErr w:type="spellEnd"/>
      <w:r w:rsidR="00AA7528" w:rsidRPr="00AB4B50">
        <w:t xml:space="preserve">, acogió del 22 al 24 de octubre </w:t>
      </w:r>
      <w:proofErr w:type="spellStart"/>
      <w:r w:rsidR="00AA7528" w:rsidRPr="00AB4B50">
        <w:t>Ovinnova</w:t>
      </w:r>
      <w:proofErr w:type="spellEnd"/>
      <w:r w:rsidR="00AA7528" w:rsidRPr="00AB4B50">
        <w:t xml:space="preserve"> 2025, el salón monográfico sobre ganadería ovina de carne y leche más importante de España, que este año celebraba su tercera edición. ASAJA estuvo de nuevo presente con su stand, atendido por los técnicos de ASAJA Zamora. Donaciano Dujo, presidente regional, José Antonio Turrado, secretario, y el presidente de la OPA en la provincia, Antonio Medina, asistieron a la inauguración.</w:t>
      </w:r>
    </w:p>
    <w:p w14:paraId="096CD63A" w14:textId="77777777" w:rsidR="00AA12E3" w:rsidRPr="00AB4B50" w:rsidRDefault="00AA12E3" w:rsidP="00AA12E3"/>
    <w:p w14:paraId="18847BB1" w14:textId="53E5EADE" w:rsidR="00AA7528" w:rsidRPr="00AB4B50" w:rsidRDefault="00AA7528" w:rsidP="00AA12E3"/>
    <w:p w14:paraId="2D8A0660" w14:textId="77777777" w:rsidR="00AA7528" w:rsidRPr="00AB4B50" w:rsidRDefault="00AA7528" w:rsidP="00AA12E3">
      <w:pPr>
        <w:rPr>
          <w:b/>
          <w:bCs/>
        </w:rPr>
      </w:pPr>
    </w:p>
    <w:p w14:paraId="6D7A0968" w14:textId="77777777" w:rsidR="00656035" w:rsidRDefault="00656035" w:rsidP="00AA12E3">
      <w:pPr>
        <w:rPr>
          <w:b/>
          <w:bCs/>
        </w:rPr>
      </w:pPr>
    </w:p>
    <w:p w14:paraId="232358E2" w14:textId="5C2408FF" w:rsidR="00AA7528" w:rsidRDefault="00AA7528" w:rsidP="00AA12E3">
      <w:pPr>
        <w:rPr>
          <w:b/>
          <w:bCs/>
        </w:rPr>
      </w:pPr>
      <w:r w:rsidRPr="00AB4B50">
        <w:rPr>
          <w:b/>
          <w:bCs/>
        </w:rPr>
        <w:t>E</w:t>
      </w:r>
      <w:r w:rsidR="00AB4B50">
        <w:rPr>
          <w:b/>
          <w:bCs/>
        </w:rPr>
        <w:t xml:space="preserve">xpo </w:t>
      </w:r>
      <w:proofErr w:type="spellStart"/>
      <w:r w:rsidR="00AB4B50">
        <w:rPr>
          <w:b/>
          <w:bCs/>
        </w:rPr>
        <w:t>Sagris</w:t>
      </w:r>
      <w:proofErr w:type="spellEnd"/>
    </w:p>
    <w:p w14:paraId="11A4036C" w14:textId="77777777" w:rsidR="00656035" w:rsidRPr="00AB4B50" w:rsidRDefault="00656035" w:rsidP="00AA12E3">
      <w:pPr>
        <w:rPr>
          <w:b/>
          <w:bCs/>
        </w:rPr>
      </w:pPr>
    </w:p>
    <w:p w14:paraId="1E159EEF" w14:textId="3C200CE6" w:rsidR="00AA7528" w:rsidRDefault="000C4442" w:rsidP="00AA12E3">
      <w:r w:rsidRPr="00AB4B50">
        <w:rPr>
          <w:noProof/>
        </w:rPr>
        <w:lastRenderedPageBreak/>
        <w:drawing>
          <wp:anchor distT="0" distB="0" distL="114300" distR="114300" simplePos="0" relativeHeight="251663360" behindDoc="0" locked="0" layoutInCell="1" allowOverlap="1" wp14:anchorId="349BA634" wp14:editId="3599F848">
            <wp:simplePos x="0" y="0"/>
            <wp:positionH relativeFrom="column">
              <wp:posOffset>-3810</wp:posOffset>
            </wp:positionH>
            <wp:positionV relativeFrom="paragraph">
              <wp:posOffset>-1905</wp:posOffset>
            </wp:positionV>
            <wp:extent cx="4219575" cy="2515669"/>
            <wp:effectExtent l="0" t="0" r="0" b="0"/>
            <wp:wrapSquare wrapText="bothSides"/>
            <wp:docPr id="1809300529" name="Imagen 7" descr="Un grupo de personas de p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00529" name="Imagen 7" descr="Un grupo de personas de pie&#10;&#10;El contenido generado por IA puede ser incorrect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19575" cy="2515669"/>
                    </a:xfrm>
                    <a:prstGeom prst="rect">
                      <a:avLst/>
                    </a:prstGeom>
                    <a:noFill/>
                    <a:ln>
                      <a:noFill/>
                    </a:ln>
                  </pic:spPr>
                </pic:pic>
              </a:graphicData>
            </a:graphic>
          </wp:anchor>
        </w:drawing>
      </w:r>
      <w:r w:rsidR="00AA7528" w:rsidRPr="00AB4B50">
        <w:t>El campo se acercó a la ciudad en la primera edición de </w:t>
      </w:r>
      <w:hyperlink r:id="rId56" w:history="1">
        <w:r w:rsidR="00AA7528" w:rsidRPr="00AB4B50">
          <w:rPr>
            <w:rStyle w:val="Hipervnculo"/>
          </w:rPr>
          <w:t>EXPO SAGRIS</w:t>
        </w:r>
      </w:hyperlink>
      <w:r w:rsidR="00AA7528" w:rsidRPr="00AB4B50">
        <w:t>, organizado por IFEMA Madrid en colaboración con ALAS (Alianza por una Agricultura Sostenible) como asociación promotora. Del 6 al 8 de noviembre, el Salón de la Agricultura y la Ganadería desarrolló un centenar de actividades que buscaban mostrar la realidad, la innovación, el talento y la riqueza sociocultural del mundo agroalimentario. ASAJA, entre otras entidades del sector, ha colaborado en la iniciativa.</w:t>
      </w:r>
    </w:p>
    <w:p w14:paraId="51108C81" w14:textId="77777777" w:rsidR="00656035" w:rsidRDefault="00656035" w:rsidP="00AA12E3"/>
    <w:p w14:paraId="1AB76488" w14:textId="77777777" w:rsidR="000C4442" w:rsidRPr="00AB4B50" w:rsidRDefault="000C4442" w:rsidP="00AA12E3"/>
    <w:p w14:paraId="4D80CB54" w14:textId="77777777" w:rsidR="00656035" w:rsidRDefault="00656035" w:rsidP="00AA12E3">
      <w:pPr>
        <w:rPr>
          <w:b/>
          <w:bCs/>
        </w:rPr>
      </w:pPr>
    </w:p>
    <w:p w14:paraId="291FB8EB" w14:textId="29195FE6" w:rsidR="00AA7528" w:rsidRDefault="00AB4B50" w:rsidP="00AA12E3">
      <w:pPr>
        <w:rPr>
          <w:b/>
          <w:bCs/>
        </w:rPr>
      </w:pPr>
      <w:r>
        <w:rPr>
          <w:b/>
          <w:bCs/>
        </w:rPr>
        <w:t>Premios Joven Agricultor</w:t>
      </w:r>
    </w:p>
    <w:p w14:paraId="1DDCD468" w14:textId="77777777" w:rsidR="00656035" w:rsidRPr="00AB4B50" w:rsidRDefault="00656035" w:rsidP="00AA12E3"/>
    <w:p w14:paraId="4105D548" w14:textId="28F67444" w:rsidR="00AA7528" w:rsidRPr="00AB4B50" w:rsidRDefault="000C4442" w:rsidP="00AA12E3">
      <w:pPr>
        <w:spacing w:after="100" w:afterAutospacing="1"/>
      </w:pPr>
      <w:r w:rsidRPr="00AB4B50">
        <w:rPr>
          <w:noProof/>
        </w:rPr>
        <w:drawing>
          <wp:anchor distT="0" distB="0" distL="114300" distR="114300" simplePos="0" relativeHeight="251664384" behindDoc="0" locked="0" layoutInCell="1" allowOverlap="1" wp14:anchorId="11D71B83" wp14:editId="1347DC97">
            <wp:simplePos x="0" y="0"/>
            <wp:positionH relativeFrom="column">
              <wp:posOffset>-3810</wp:posOffset>
            </wp:positionH>
            <wp:positionV relativeFrom="paragraph">
              <wp:posOffset>-3175</wp:posOffset>
            </wp:positionV>
            <wp:extent cx="4081155" cy="2362200"/>
            <wp:effectExtent l="0" t="0" r="0" b="0"/>
            <wp:wrapSquare wrapText="bothSides"/>
            <wp:docPr id="730275282" name="Imagen 6" descr="Grupo de personas posando para una fo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75282" name="Imagen 6" descr="Grupo de personas posando para una foto&#10;&#10;El contenido generado por IA puede ser incorrect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81155" cy="2362200"/>
                    </a:xfrm>
                    <a:prstGeom prst="rect">
                      <a:avLst/>
                    </a:prstGeom>
                    <a:noFill/>
                    <a:ln>
                      <a:noFill/>
                    </a:ln>
                  </pic:spPr>
                </pic:pic>
              </a:graphicData>
            </a:graphic>
          </wp:anchor>
        </w:drawing>
      </w:r>
      <w:r w:rsidR="00AA7528" w:rsidRPr="00AB4B50">
        <w:t xml:space="preserve">La joven ganadera Mónica Domínguez García, de Valdefuentes de </w:t>
      </w:r>
      <w:proofErr w:type="spellStart"/>
      <w:r w:rsidR="00AA7528" w:rsidRPr="00AB4B50">
        <w:t>Sangusín</w:t>
      </w:r>
      <w:proofErr w:type="spellEnd"/>
      <w:r w:rsidR="00AA7528" w:rsidRPr="00AB4B50">
        <w:t xml:space="preserve"> (Salamanca), ha sido reconocida con el Premio Joven Agricultor del Año 2025 que concede ASAJA en el marco del XI Congreso Joven Agricultor, celebrado en la primera feria EXPO SAGRIS, en Madrid. A su nombre hay que sumar el de Nerea del río, joven ganadera de ovino de Robladillo de </w:t>
      </w:r>
      <w:proofErr w:type="spellStart"/>
      <w:r w:rsidR="00AA7528" w:rsidRPr="00AB4B50">
        <w:t>Ucieza</w:t>
      </w:r>
      <w:proofErr w:type="spellEnd"/>
      <w:r w:rsidR="00AA7528" w:rsidRPr="00AB4B50">
        <w:t xml:space="preserve"> (Palencia), y el de Elsa García, ganadera de bovino con explotación en Ávila. Este lugar destacado que ha ocupado Castilla y León prueba el alto nivel de profesionalidad y calidad que alcanza la ganadería en nuestra tierra, y también el cada vez más importante papel que desempeñan las mujeres al frente de las explotaciones.</w:t>
      </w:r>
    </w:p>
    <w:p w14:paraId="17D3F0B1" w14:textId="21DF6679" w:rsidR="00AA7528" w:rsidRPr="00AB4B50" w:rsidRDefault="00AA7528" w:rsidP="00AA12E3"/>
    <w:p w14:paraId="38C57F5B" w14:textId="77777777" w:rsidR="00AA7528" w:rsidRDefault="00AA7528" w:rsidP="00AA12E3"/>
    <w:p w14:paraId="1730885E" w14:textId="77777777" w:rsidR="000C4442" w:rsidRPr="00AB4B50" w:rsidRDefault="000C4442" w:rsidP="00AA12E3"/>
    <w:p w14:paraId="763A31F3" w14:textId="77777777" w:rsidR="00656035" w:rsidRDefault="00656035" w:rsidP="00AA12E3">
      <w:pPr>
        <w:rPr>
          <w:b/>
          <w:bCs/>
        </w:rPr>
      </w:pPr>
    </w:p>
    <w:p w14:paraId="0BB3A3B9" w14:textId="7DC7D4C3" w:rsidR="00AA7528" w:rsidRDefault="00AB4B50" w:rsidP="00AA12E3">
      <w:pPr>
        <w:rPr>
          <w:b/>
          <w:bCs/>
        </w:rPr>
      </w:pPr>
      <w:r>
        <w:rPr>
          <w:b/>
          <w:bCs/>
        </w:rPr>
        <w:t>C</w:t>
      </w:r>
      <w:r w:rsidRPr="00AB4B50">
        <w:rPr>
          <w:b/>
          <w:bCs/>
        </w:rPr>
        <w:t>ampaña de firmas por un etiquetado claro</w:t>
      </w:r>
    </w:p>
    <w:p w14:paraId="2A2241A4" w14:textId="62538DFF" w:rsidR="00656035" w:rsidRPr="00AB4B50" w:rsidRDefault="000C4442" w:rsidP="00AA12E3">
      <w:pPr>
        <w:rPr>
          <w:b/>
          <w:bCs/>
        </w:rPr>
      </w:pPr>
      <w:r w:rsidRPr="00AB4B50">
        <w:rPr>
          <w:noProof/>
        </w:rPr>
        <w:lastRenderedPageBreak/>
        <w:drawing>
          <wp:anchor distT="0" distB="0" distL="114300" distR="114300" simplePos="0" relativeHeight="251665408" behindDoc="0" locked="0" layoutInCell="1" allowOverlap="1" wp14:anchorId="06B0AAA1" wp14:editId="3A553EBC">
            <wp:simplePos x="0" y="0"/>
            <wp:positionH relativeFrom="margin">
              <wp:align>left</wp:align>
            </wp:positionH>
            <wp:positionV relativeFrom="paragraph">
              <wp:posOffset>177165</wp:posOffset>
            </wp:positionV>
            <wp:extent cx="3943350" cy="2114550"/>
            <wp:effectExtent l="0" t="0" r="0" b="0"/>
            <wp:wrapSquare wrapText="bothSides"/>
            <wp:docPr id="19828275" name="Imagen 2" descr="Sitio web&#10;&#10;El contenido generado por IA puede ser incorrect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275" name="Imagen 2" descr="Sitio web&#10;&#10;El contenido generado por IA puede ser incorrecto.">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4335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CA5A3" w14:textId="6A9D0638" w:rsidR="00AA7528" w:rsidRDefault="00AA7528" w:rsidP="00AA12E3">
      <w:r w:rsidRPr="00AB4B50">
        <w:t>ASAJA, junto a Coldiretti, principal OPA italiana, lanzó una iniciativa ciudadana europea bajo el título “No a la comida falsa: por la mención del origen en la etiqueta</w:t>
      </w:r>
      <w:r w:rsidRPr="00AB4B50">
        <w:rPr>
          <w:b/>
          <w:bCs/>
        </w:rPr>
        <w:t xml:space="preserve">”. </w:t>
      </w:r>
      <w:r w:rsidRPr="00AB4B50">
        <w:t xml:space="preserve">El principal objetivo es lograr un cambio legislativo real en la Unión Europea: que el etiquetado del origen sea obligatorio en todos los alimentos que entren en el mercado común. Desde ASAJA  Castilla y León se han recogido </w:t>
      </w:r>
      <w:r w:rsidR="00792CC8">
        <w:t>mile</w:t>
      </w:r>
      <w:r w:rsidRPr="00AB4B50">
        <w:t xml:space="preserve">s de firmas, que han sido tramitadas desde ASAJA nacional. </w:t>
      </w:r>
    </w:p>
    <w:p w14:paraId="4E979447" w14:textId="77777777" w:rsidR="00656035" w:rsidRDefault="00656035" w:rsidP="00AA12E3">
      <w:pPr>
        <w:tabs>
          <w:tab w:val="left" w:pos="1010"/>
        </w:tabs>
      </w:pPr>
    </w:p>
    <w:p w14:paraId="3908AD17" w14:textId="77777777" w:rsidR="000C4442" w:rsidRDefault="000C4442" w:rsidP="00AA12E3">
      <w:pPr>
        <w:tabs>
          <w:tab w:val="left" w:pos="1010"/>
        </w:tabs>
      </w:pPr>
    </w:p>
    <w:p w14:paraId="5457C89E" w14:textId="77777777" w:rsidR="00AE03AC" w:rsidRDefault="00AE03AC" w:rsidP="00AA12E3">
      <w:pPr>
        <w:tabs>
          <w:tab w:val="left" w:pos="1010"/>
        </w:tabs>
      </w:pPr>
    </w:p>
    <w:p w14:paraId="229D0CF9" w14:textId="77777777" w:rsidR="00AE03AC" w:rsidRDefault="00AE03AC" w:rsidP="00AA12E3">
      <w:pPr>
        <w:tabs>
          <w:tab w:val="left" w:pos="1010"/>
        </w:tabs>
      </w:pPr>
    </w:p>
    <w:p w14:paraId="1D57E55C" w14:textId="77777777" w:rsidR="00656035" w:rsidRPr="00AB4B50" w:rsidRDefault="00656035" w:rsidP="00AA12E3">
      <w:pPr>
        <w:tabs>
          <w:tab w:val="left" w:pos="1010"/>
        </w:tabs>
      </w:pPr>
    </w:p>
    <w:p w14:paraId="62C456EF" w14:textId="2032A09F" w:rsidR="00AA7528" w:rsidRDefault="00AA7528" w:rsidP="00AA12E3">
      <w:pPr>
        <w:jc w:val="center"/>
        <w:rPr>
          <w:b/>
          <w:bCs/>
        </w:rPr>
      </w:pPr>
      <w:r w:rsidRPr="00AB4B50">
        <w:rPr>
          <w:b/>
          <w:bCs/>
        </w:rPr>
        <w:t>MOVILIZACIONES</w:t>
      </w:r>
      <w:r w:rsidR="003A5AB5">
        <w:rPr>
          <w:b/>
          <w:bCs/>
        </w:rPr>
        <w:t xml:space="preserve"> Y PROTESTAS</w:t>
      </w:r>
    </w:p>
    <w:p w14:paraId="53EE7BF0" w14:textId="77777777" w:rsidR="003A5AB5" w:rsidRPr="00AB4B50" w:rsidRDefault="003A5AB5" w:rsidP="00AA12E3">
      <w:pPr>
        <w:jc w:val="center"/>
        <w:rPr>
          <w:b/>
          <w:bCs/>
        </w:rPr>
      </w:pPr>
    </w:p>
    <w:p w14:paraId="2147EE49" w14:textId="77777777" w:rsidR="00AA7528" w:rsidRPr="00AB4B50" w:rsidRDefault="00AA7528" w:rsidP="00AA12E3">
      <w:pPr>
        <w:rPr>
          <w:b/>
          <w:bCs/>
        </w:rPr>
      </w:pPr>
    </w:p>
    <w:p w14:paraId="5F8D29BB" w14:textId="77777777" w:rsidR="00AA7528" w:rsidRPr="00AB4B50" w:rsidRDefault="00AA7528" w:rsidP="00AA12E3">
      <w:r w:rsidRPr="00AB4B50">
        <w:t>El año 2025 empezó con movilizaciones y terminó igual. Se confirma que los focos de tensión provienen del contexto europeo e internacional. Esta tendencia ya comenzó desde la invasión de Ucrania por Rusia, que desestabilizó los mercados de cereal y también repercutió en los precios de insumos como el fertilizante. En este 2025, la reelección de Donald Trump y su política arancelaria ha sido un golpe sobre la mesa del planeta, y está obligando a replantear los acuerdos comerciales internacionales. Por supuesto también afecta a las importaciones y exportaciones que mantiene la Unión Europea, y repercute tanto en la financiación de las políticas europeas, como la PAC.</w:t>
      </w:r>
    </w:p>
    <w:p w14:paraId="4586C226" w14:textId="77777777" w:rsidR="00AA7528" w:rsidRDefault="00AA7528" w:rsidP="00AA12E3">
      <w:r w:rsidRPr="00AB4B50">
        <w:t xml:space="preserve"> Esto se traduce en que ASAJA tiene que volcar sus esfuerzos reivindicativos reforzando su presencia en Bruselas, estableciendo lazos sólidos con el resto de las organizaciones profesionales agrarias, a través de COPA-COGECA, estructura supranacional en la que nuestra OPA está bien representada, ocupando puestos relevantes también en los grupos de producciones específicas. La vertebración del sector es esencial para pelear en un mundo de grandes  y poderosos bloques.</w:t>
      </w:r>
    </w:p>
    <w:p w14:paraId="72C4EFED" w14:textId="77777777" w:rsidR="000C4442" w:rsidRDefault="000C4442" w:rsidP="00AA12E3"/>
    <w:p w14:paraId="1ACE0FD5" w14:textId="77777777" w:rsidR="00656035" w:rsidRDefault="00656035" w:rsidP="00AA12E3"/>
    <w:p w14:paraId="75BF6FB6" w14:textId="77777777" w:rsidR="000C4442" w:rsidRDefault="000C4442" w:rsidP="00AA12E3"/>
    <w:p w14:paraId="08913C4E" w14:textId="77777777" w:rsidR="000C4442" w:rsidRDefault="000C4442" w:rsidP="00AA12E3"/>
    <w:p w14:paraId="4B611577" w14:textId="77777777" w:rsidR="000C4442" w:rsidRDefault="000C4442" w:rsidP="00AA12E3"/>
    <w:p w14:paraId="087C84A4" w14:textId="77777777" w:rsidR="000C4442" w:rsidRDefault="000C4442" w:rsidP="00AA12E3"/>
    <w:p w14:paraId="113C1234" w14:textId="77777777" w:rsidR="000C4442" w:rsidRDefault="000C4442" w:rsidP="00AA12E3"/>
    <w:p w14:paraId="4D611C8D" w14:textId="77777777" w:rsidR="000C4442" w:rsidRDefault="000C4442" w:rsidP="00AA12E3"/>
    <w:p w14:paraId="587A83A6" w14:textId="77777777" w:rsidR="000C4442" w:rsidRPr="00AB4B50" w:rsidRDefault="000C4442" w:rsidP="00AA12E3"/>
    <w:p w14:paraId="5DD31620" w14:textId="77777777" w:rsidR="00AA7528" w:rsidRPr="00AB4B50" w:rsidRDefault="00AA7528" w:rsidP="00AA12E3"/>
    <w:p w14:paraId="0604C02A" w14:textId="77777777" w:rsidR="00AA7528" w:rsidRDefault="00AA7528" w:rsidP="00AA12E3">
      <w:pPr>
        <w:rPr>
          <w:b/>
          <w:bCs/>
        </w:rPr>
      </w:pPr>
      <w:r w:rsidRPr="00AB4B50">
        <w:rPr>
          <w:b/>
          <w:bCs/>
        </w:rPr>
        <w:lastRenderedPageBreak/>
        <w:t>20 ENERO 2025 – Estrasburgo (Francia)</w:t>
      </w:r>
    </w:p>
    <w:p w14:paraId="2ADDD19C" w14:textId="54E12977" w:rsidR="00656035" w:rsidRPr="00AB4B50" w:rsidRDefault="00AE03AC" w:rsidP="00AA12E3">
      <w:pPr>
        <w:rPr>
          <w:b/>
          <w:bCs/>
        </w:rPr>
      </w:pPr>
      <w:r w:rsidRPr="00AB4B50">
        <w:rPr>
          <w:noProof/>
        </w:rPr>
        <w:drawing>
          <wp:anchor distT="0" distB="0" distL="114300" distR="114300" simplePos="0" relativeHeight="251666432" behindDoc="0" locked="0" layoutInCell="1" allowOverlap="1" wp14:anchorId="39095A1C" wp14:editId="5D00A501">
            <wp:simplePos x="0" y="0"/>
            <wp:positionH relativeFrom="margin">
              <wp:align>left</wp:align>
            </wp:positionH>
            <wp:positionV relativeFrom="paragraph">
              <wp:posOffset>179070</wp:posOffset>
            </wp:positionV>
            <wp:extent cx="3762375" cy="2286000"/>
            <wp:effectExtent l="0" t="0" r="9525" b="0"/>
            <wp:wrapSquare wrapText="bothSides"/>
            <wp:docPr id="1919722467" name="Imagen 1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22467" name="Imagen 12" descr="Diagrama&#10;&#10;El contenido generado por IA puede ser incorrect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62375" cy="2286000"/>
                    </a:xfrm>
                    <a:prstGeom prst="rect">
                      <a:avLst/>
                    </a:prstGeom>
                    <a:noFill/>
                    <a:ln>
                      <a:noFill/>
                    </a:ln>
                  </pic:spPr>
                </pic:pic>
              </a:graphicData>
            </a:graphic>
            <wp14:sizeRelH relativeFrom="margin">
              <wp14:pctWidth>0</wp14:pctWidth>
            </wp14:sizeRelH>
          </wp:anchor>
        </w:drawing>
      </w:r>
    </w:p>
    <w:p w14:paraId="57E780EB" w14:textId="0977019D" w:rsidR="00AE03AC" w:rsidRDefault="00AA7528" w:rsidP="00AA12E3">
      <w:r w:rsidRPr="00AB4B50">
        <w:t xml:space="preserve">Acción </w:t>
      </w:r>
      <w:hyperlink r:id="rId61" w:history="1">
        <w:r w:rsidRPr="00AB4B50">
          <w:rPr>
            <w:rStyle w:val="Hipervnculo"/>
          </w:rPr>
          <w:t>#StopMercosur</w:t>
        </w:r>
      </w:hyperlink>
      <w:r w:rsidRPr="00AB4B50">
        <w:t xml:space="preserve"> de ASAJA junto con CEJA, rama juvenil del COPA, y los Jóvenes agricultores de la FNSEA francesa. Se reivindicó un futuro justo para el campo europeo, con una advertencia clara contra lo que podría suponer la firma con Mercosur, y se pidió una PAC sólida que garantice el relevo generacional.</w:t>
      </w:r>
    </w:p>
    <w:p w14:paraId="1D2BCD25" w14:textId="77777777" w:rsidR="00AE03AC" w:rsidRPr="00AB4B50" w:rsidRDefault="00AE03AC" w:rsidP="00AA12E3"/>
    <w:p w14:paraId="49420CA6" w14:textId="77777777" w:rsidR="000C4442" w:rsidRDefault="000C4442" w:rsidP="00AA12E3">
      <w:pPr>
        <w:rPr>
          <w:b/>
          <w:bCs/>
        </w:rPr>
      </w:pPr>
    </w:p>
    <w:p w14:paraId="24E4DA2D" w14:textId="4FC4BAE0" w:rsidR="00AA7528" w:rsidRDefault="00AA7528" w:rsidP="00AA12E3">
      <w:pPr>
        <w:rPr>
          <w:b/>
          <w:bCs/>
        </w:rPr>
      </w:pPr>
      <w:r w:rsidRPr="00AB4B50">
        <w:rPr>
          <w:b/>
          <w:bCs/>
        </w:rPr>
        <w:t xml:space="preserve">17 FEBRERO 2025 – </w:t>
      </w:r>
      <w:proofErr w:type="spellStart"/>
      <w:r w:rsidRPr="00AB4B50">
        <w:rPr>
          <w:b/>
          <w:bCs/>
        </w:rPr>
        <w:t>Babilafuente</w:t>
      </w:r>
      <w:proofErr w:type="spellEnd"/>
      <w:r w:rsidRPr="00AB4B50">
        <w:rPr>
          <w:b/>
          <w:bCs/>
        </w:rPr>
        <w:t xml:space="preserve"> (Salamanca)</w:t>
      </w:r>
    </w:p>
    <w:p w14:paraId="18EF459F" w14:textId="418CD3A4" w:rsidR="00656035" w:rsidRPr="00AB4B50" w:rsidRDefault="00AE03AC" w:rsidP="00AA12E3">
      <w:pPr>
        <w:rPr>
          <w:b/>
          <w:bCs/>
        </w:rPr>
      </w:pPr>
      <w:r w:rsidRPr="00AB4B50">
        <w:rPr>
          <w:noProof/>
        </w:rPr>
        <w:drawing>
          <wp:anchor distT="0" distB="0" distL="114300" distR="114300" simplePos="0" relativeHeight="251667456" behindDoc="0" locked="0" layoutInCell="1" allowOverlap="1" wp14:anchorId="32726118" wp14:editId="52A01F0E">
            <wp:simplePos x="0" y="0"/>
            <wp:positionH relativeFrom="margin">
              <wp:align>left</wp:align>
            </wp:positionH>
            <wp:positionV relativeFrom="paragraph">
              <wp:posOffset>171450</wp:posOffset>
            </wp:positionV>
            <wp:extent cx="3877310" cy="2181225"/>
            <wp:effectExtent l="0" t="0" r="8890" b="9525"/>
            <wp:wrapSquare wrapText="bothSides"/>
            <wp:docPr id="1655144246" name="Imagen 11" descr="Un grupo de personas con instrumentos musical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44246" name="Imagen 11" descr="Un grupo de personas con instrumentos musicales&#10;&#10;El contenido generado por IA puede ser incorrect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7731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2C756" w14:textId="60FE9F13" w:rsidR="00AA7528" w:rsidRDefault="00AA7528" w:rsidP="00AA12E3">
      <w:r w:rsidRPr="00AB4B50">
        <w:t xml:space="preserve">Protesta </w:t>
      </w:r>
      <w:r w:rsidR="00AE03AC">
        <w:t xml:space="preserve">en unidad de acción </w:t>
      </w:r>
      <w:r w:rsidRPr="00AB4B50">
        <w:t xml:space="preserve">frente a la planta de </w:t>
      </w:r>
      <w:proofErr w:type="spellStart"/>
      <w:r w:rsidRPr="00AB4B50">
        <w:t>Babilafuente</w:t>
      </w:r>
      <w:proofErr w:type="spellEnd"/>
      <w:r w:rsidRPr="00AB4B50">
        <w:t xml:space="preserve"> contra los precios de derribo del cereal. Centenares de profesionales del campo de </w:t>
      </w:r>
      <w:r w:rsidR="00AE03AC">
        <w:t>toda</w:t>
      </w:r>
      <w:r w:rsidRPr="00AB4B50">
        <w:t xml:space="preserve"> Castilla y León, escoltados por cuarenta tractores de la zona, se concentraban contra los precios de derribo del cerea</w:t>
      </w:r>
      <w:r w:rsidR="00AE03AC">
        <w:t>l.</w:t>
      </w:r>
      <w:r w:rsidRPr="00AB4B50">
        <w:t xml:space="preserve"> </w:t>
      </w:r>
    </w:p>
    <w:p w14:paraId="5E9273D9" w14:textId="77777777" w:rsidR="00AE03AC" w:rsidRDefault="00AE03AC" w:rsidP="00AA12E3">
      <w:pPr>
        <w:rPr>
          <w:b/>
          <w:bCs/>
        </w:rPr>
      </w:pPr>
    </w:p>
    <w:p w14:paraId="445475E8" w14:textId="77777777" w:rsidR="00AE03AC" w:rsidRDefault="00AE03AC" w:rsidP="00AA12E3">
      <w:pPr>
        <w:rPr>
          <w:b/>
          <w:bCs/>
        </w:rPr>
      </w:pPr>
    </w:p>
    <w:p w14:paraId="513CC6E8" w14:textId="6C0CDBAD" w:rsidR="00AA7528" w:rsidRDefault="00AA7528" w:rsidP="00AA12E3">
      <w:pPr>
        <w:rPr>
          <w:b/>
          <w:bCs/>
        </w:rPr>
      </w:pPr>
      <w:r w:rsidRPr="00AB4B50">
        <w:rPr>
          <w:b/>
          <w:bCs/>
        </w:rPr>
        <w:t>19 MARZO 2025 – Parma (Italia)</w:t>
      </w:r>
    </w:p>
    <w:p w14:paraId="070E53DA" w14:textId="6D446560" w:rsidR="00656035" w:rsidRPr="00AB4B50" w:rsidRDefault="00AE03AC" w:rsidP="00AA12E3">
      <w:pPr>
        <w:rPr>
          <w:b/>
          <w:bCs/>
        </w:rPr>
      </w:pPr>
      <w:r w:rsidRPr="00AB4B50">
        <w:rPr>
          <w:noProof/>
        </w:rPr>
        <w:drawing>
          <wp:anchor distT="0" distB="0" distL="114300" distR="114300" simplePos="0" relativeHeight="251668480" behindDoc="0" locked="0" layoutInCell="1" allowOverlap="1" wp14:anchorId="2E988850" wp14:editId="4B2E091F">
            <wp:simplePos x="0" y="0"/>
            <wp:positionH relativeFrom="margin">
              <wp:align>left</wp:align>
            </wp:positionH>
            <wp:positionV relativeFrom="paragraph">
              <wp:posOffset>179070</wp:posOffset>
            </wp:positionV>
            <wp:extent cx="4000500" cy="2308860"/>
            <wp:effectExtent l="0" t="0" r="0" b="0"/>
            <wp:wrapSquare wrapText="bothSides"/>
            <wp:docPr id="1818856091" name="Imagen 13" descr="Grupo de personas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56091" name="Imagen 13" descr="Grupo de personas en la calle&#10;&#10;El contenido generado por IA puede ser incorrect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0050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79144" w14:textId="35858887" w:rsidR="00AA7528" w:rsidRDefault="00AA7528" w:rsidP="00AA12E3">
      <w:r w:rsidRPr="00AB4B50">
        <w:t xml:space="preserve">Más de 20.000 agricultores y ganaderos se manifestaron el 19 de marzo de 2025 en la ciudad italiana de Parma ante la Agencia Europea de Seguridad Alimentaria (EFSA) para pedir rigor científico y médico en la evaluación de alimentos cultivados en laboratorio. ASAJA, que estuvo representada por el vicepresidente Juan Luis Delgado, presidente de </w:t>
      </w:r>
      <w:r w:rsidRPr="00AB4B50">
        <w:lastRenderedPageBreak/>
        <w:t>ASAJA Salamanca y ganadero, pide a las instituciones comunitarias mayor rigor en la evaluación de la seguridad y el impacto medioambiental de los productos de laboratorio.</w:t>
      </w:r>
    </w:p>
    <w:p w14:paraId="6F4E7F98" w14:textId="77777777" w:rsidR="00AE03AC" w:rsidRPr="00AE03AC" w:rsidRDefault="00AE03AC" w:rsidP="00AA12E3"/>
    <w:p w14:paraId="31503FD6" w14:textId="77777777" w:rsidR="00656035" w:rsidRDefault="00656035" w:rsidP="00AA12E3">
      <w:pPr>
        <w:rPr>
          <w:b/>
          <w:bCs/>
        </w:rPr>
      </w:pPr>
    </w:p>
    <w:p w14:paraId="5EACBFA2" w14:textId="4A29668E" w:rsidR="00AA7528" w:rsidRDefault="00AA7528" w:rsidP="00AA12E3">
      <w:pPr>
        <w:rPr>
          <w:b/>
          <w:bCs/>
        </w:rPr>
      </w:pPr>
      <w:r w:rsidRPr="00AB4B50">
        <w:rPr>
          <w:b/>
          <w:bCs/>
        </w:rPr>
        <w:t>20 MAYO – Bruselas (Bélgica)</w:t>
      </w:r>
    </w:p>
    <w:p w14:paraId="4B605854" w14:textId="2E260FC6" w:rsidR="00656035" w:rsidRPr="00AB4B50" w:rsidRDefault="00656035" w:rsidP="00AA12E3">
      <w:pPr>
        <w:rPr>
          <w:b/>
          <w:bCs/>
          <w:color w:val="000000" w:themeColor="text1"/>
        </w:rPr>
      </w:pPr>
    </w:p>
    <w:p w14:paraId="24409347" w14:textId="0537DCE6" w:rsidR="00AA7528" w:rsidRDefault="00AE03AC" w:rsidP="00AA12E3">
      <w:pPr>
        <w:rPr>
          <w:color w:val="000000" w:themeColor="text1"/>
        </w:rPr>
      </w:pPr>
      <w:r w:rsidRPr="00AB4B50">
        <w:rPr>
          <w:noProof/>
        </w:rPr>
        <w:drawing>
          <wp:anchor distT="0" distB="0" distL="114300" distR="114300" simplePos="0" relativeHeight="251669504" behindDoc="0" locked="0" layoutInCell="1" allowOverlap="1" wp14:anchorId="5D258B6C" wp14:editId="4B221F59">
            <wp:simplePos x="0" y="0"/>
            <wp:positionH relativeFrom="margin">
              <wp:align>left</wp:align>
            </wp:positionH>
            <wp:positionV relativeFrom="paragraph">
              <wp:posOffset>59690</wp:posOffset>
            </wp:positionV>
            <wp:extent cx="4048125" cy="2228850"/>
            <wp:effectExtent l="0" t="0" r="9525" b="0"/>
            <wp:wrapSquare wrapText="bothSides"/>
            <wp:docPr id="1978584044" name="Imagen 15" descr="Una caricatura de una ciuda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84044" name="Imagen 15" descr="Una caricatura de una ciudad&#10;&#10;El contenido generado por IA puede ser incorrect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4812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528" w:rsidRPr="00AB4B50">
        <w:rPr>
          <w:color w:val="000000" w:themeColor="text1"/>
        </w:rPr>
        <w:t>Por una PAC fuerte y bien financiada. El martes 20 de mayo, en 20 países de la Unión Europea, el sector agrario alzó la voz en una acción conjunta y coordinada sin precedentes. Agricultores y ganaderos de toda Europa —unidos bajo el paraguas de COPA-COGECA— salieron a la calle para advertir de un riesgo real y urgente: la posible desaparición de la Política Agraria Común tal y como la conocemos. Allí estuvo también ASAJA.</w:t>
      </w:r>
    </w:p>
    <w:p w14:paraId="1A5CD884" w14:textId="77777777" w:rsidR="00656035" w:rsidRPr="00AB4B50" w:rsidRDefault="00656035" w:rsidP="00AA12E3">
      <w:pPr>
        <w:rPr>
          <w:color w:val="000000" w:themeColor="text1"/>
        </w:rPr>
      </w:pPr>
    </w:p>
    <w:p w14:paraId="2D981F7F" w14:textId="77777777" w:rsidR="00656035" w:rsidRDefault="00656035" w:rsidP="00AA12E3">
      <w:pPr>
        <w:rPr>
          <w:b/>
          <w:bCs/>
        </w:rPr>
      </w:pPr>
    </w:p>
    <w:p w14:paraId="7736403B" w14:textId="76EAED22" w:rsidR="00AA7528" w:rsidRDefault="00AA7528" w:rsidP="00AA12E3">
      <w:pPr>
        <w:rPr>
          <w:b/>
          <w:bCs/>
        </w:rPr>
      </w:pPr>
      <w:r w:rsidRPr="00AB4B50">
        <w:rPr>
          <w:b/>
          <w:bCs/>
        </w:rPr>
        <w:t>4 JUNIO -Madrid</w:t>
      </w:r>
    </w:p>
    <w:p w14:paraId="6D975B75" w14:textId="3CD7F7F1" w:rsidR="00656035" w:rsidRPr="00AB4B50" w:rsidRDefault="00AE03AC" w:rsidP="00AA12E3">
      <w:pPr>
        <w:rPr>
          <w:b/>
          <w:bCs/>
        </w:rPr>
      </w:pPr>
      <w:r w:rsidRPr="00AB4B50">
        <w:rPr>
          <w:noProof/>
        </w:rPr>
        <w:drawing>
          <wp:anchor distT="0" distB="0" distL="114300" distR="114300" simplePos="0" relativeHeight="251670528" behindDoc="0" locked="0" layoutInCell="1" allowOverlap="1" wp14:anchorId="45943592" wp14:editId="444FA79A">
            <wp:simplePos x="0" y="0"/>
            <wp:positionH relativeFrom="margin">
              <wp:align>left</wp:align>
            </wp:positionH>
            <wp:positionV relativeFrom="paragraph">
              <wp:posOffset>177165</wp:posOffset>
            </wp:positionV>
            <wp:extent cx="4086225" cy="2238375"/>
            <wp:effectExtent l="0" t="0" r="9525" b="9525"/>
            <wp:wrapSquare wrapText="bothSides"/>
            <wp:docPr id="2042301983" name="Imagen 9" descr="Un grupo de personas en una alfomb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01983" name="Imagen 9" descr="Un grupo de personas en una alfombra&#10;&#10;El contenido generado por IA puede ser incorrect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86225" cy="2238375"/>
                    </a:xfrm>
                    <a:prstGeom prst="rect">
                      <a:avLst/>
                    </a:prstGeom>
                    <a:noFill/>
                    <a:ln>
                      <a:noFill/>
                    </a:ln>
                  </pic:spPr>
                </pic:pic>
              </a:graphicData>
            </a:graphic>
            <wp14:sizeRelH relativeFrom="margin">
              <wp14:pctWidth>0</wp14:pctWidth>
            </wp14:sizeRelH>
          </wp:anchor>
        </w:drawing>
      </w:r>
    </w:p>
    <w:p w14:paraId="774B05F3" w14:textId="7E2A6E57" w:rsidR="00AA7528" w:rsidRDefault="00AA7528" w:rsidP="00AA12E3">
      <w:r w:rsidRPr="00AB4B50">
        <w:t>El sector cerealista di</w:t>
      </w:r>
      <w:r w:rsidR="00AE03AC">
        <w:t>jo</w:t>
      </w:r>
      <w:r w:rsidRPr="00AB4B50">
        <w:t xml:space="preserve"> basta. Cientos de agricultores, convocados por ASAJA en unidad de acción con el resto de OPA, se manifestaron el pasado 4 de junio ante el ministerio de Agricultura, en Madrid, exigiendo precios dignos para los cereales y apoyos para salir de la crisis actual de falta de rentabilidad. La protesta sirvió para trasladar públicamente las reivindicaciones, tras meses de crisis de rentabilidad agravada por los altos costes de producción, el hundimiento de los precios y la competencia desleal de importaciones masivas.</w:t>
      </w:r>
    </w:p>
    <w:p w14:paraId="2772C62F" w14:textId="77777777" w:rsidR="00656035" w:rsidRPr="00AB4B50" w:rsidRDefault="00656035" w:rsidP="00AA12E3"/>
    <w:p w14:paraId="1430387C" w14:textId="6ECAC974" w:rsidR="00AA7528" w:rsidRDefault="00AA7528" w:rsidP="00AA12E3"/>
    <w:p w14:paraId="6245379E" w14:textId="77777777" w:rsidR="00AE03AC" w:rsidRDefault="00AE03AC" w:rsidP="00AA12E3"/>
    <w:p w14:paraId="63D22525" w14:textId="77777777" w:rsidR="00AE03AC" w:rsidRPr="00AB4B50" w:rsidRDefault="00AE03AC" w:rsidP="00AA12E3"/>
    <w:p w14:paraId="4F434997" w14:textId="77777777" w:rsidR="00656035" w:rsidRDefault="00656035" w:rsidP="00AA12E3">
      <w:pPr>
        <w:rPr>
          <w:b/>
          <w:bCs/>
        </w:rPr>
      </w:pPr>
    </w:p>
    <w:p w14:paraId="18F3B49B" w14:textId="7929AF9E" w:rsidR="00AA7528" w:rsidRDefault="00AA7528" w:rsidP="00AA12E3">
      <w:pPr>
        <w:rPr>
          <w:b/>
          <w:bCs/>
        </w:rPr>
      </w:pPr>
      <w:r w:rsidRPr="00AB4B50">
        <w:rPr>
          <w:b/>
          <w:bCs/>
        </w:rPr>
        <w:t>16 JULIO – Bruselas (Bélgica)</w:t>
      </w:r>
    </w:p>
    <w:p w14:paraId="1E3E7A8A" w14:textId="772EEBE7" w:rsidR="00656035" w:rsidRPr="00AB4B50" w:rsidRDefault="00AE03AC" w:rsidP="00AA12E3">
      <w:pPr>
        <w:rPr>
          <w:b/>
          <w:bCs/>
        </w:rPr>
      </w:pPr>
      <w:r w:rsidRPr="00AB4B50">
        <w:rPr>
          <w:noProof/>
        </w:rPr>
        <w:lastRenderedPageBreak/>
        <w:drawing>
          <wp:anchor distT="0" distB="0" distL="114300" distR="114300" simplePos="0" relativeHeight="251671552" behindDoc="0" locked="0" layoutInCell="1" allowOverlap="1" wp14:anchorId="740A12A7" wp14:editId="79820154">
            <wp:simplePos x="0" y="0"/>
            <wp:positionH relativeFrom="margin">
              <wp:align>left</wp:align>
            </wp:positionH>
            <wp:positionV relativeFrom="paragraph">
              <wp:posOffset>179705</wp:posOffset>
            </wp:positionV>
            <wp:extent cx="4010025" cy="2305050"/>
            <wp:effectExtent l="0" t="0" r="9525" b="0"/>
            <wp:wrapSquare wrapText="bothSides"/>
            <wp:docPr id="771083356" name="Imagen 8" descr="Un grupo de personas de pie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83356" name="Imagen 8" descr="Un grupo de personas de pie en la calle&#10;&#10;El contenido generado por IA puede ser incorrect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1002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463B1" w14:textId="0DF12541" w:rsidR="00AA7528" w:rsidRDefault="00AA7528" w:rsidP="00AA12E3">
      <w:r w:rsidRPr="00AB4B50">
        <w:t>El pasado 16 de julio ASAJA se manifestó en Bruselas, frente al Parlamento Europeo, junto a miles de agricultores y representantes de toda Europa, en una movilización organizada por COPA- COGECA y FWA.  Por parte de ASAJA Castilla y León asistieron Donaciano Dujo, José Antonio Turrado y Nuria Ruiz, presidente, secretario general y gerente de la organización agraria en la Comunidad Autónoma. Para Donaciano Dujo, “hay un riesgo cierto de desmantelamiento de la PAC como política común y que sean los Estados o incluso las comunidades autónomas las que orienten la política y las ayudas.</w:t>
      </w:r>
    </w:p>
    <w:p w14:paraId="4CDD6E0F" w14:textId="77777777" w:rsidR="00AE03AC" w:rsidRDefault="00AE03AC" w:rsidP="00AA12E3">
      <w:pPr>
        <w:rPr>
          <w:b/>
          <w:bCs/>
        </w:rPr>
      </w:pPr>
    </w:p>
    <w:p w14:paraId="16C5343E" w14:textId="77777777" w:rsidR="00AE03AC" w:rsidRDefault="00AE03AC" w:rsidP="00AA12E3">
      <w:pPr>
        <w:rPr>
          <w:b/>
          <w:bCs/>
        </w:rPr>
      </w:pPr>
    </w:p>
    <w:p w14:paraId="58F1BCFC" w14:textId="1B4C0FB8" w:rsidR="00AA7528" w:rsidRDefault="00AA7528" w:rsidP="00AA12E3">
      <w:pPr>
        <w:rPr>
          <w:b/>
          <w:bCs/>
        </w:rPr>
      </w:pPr>
      <w:r w:rsidRPr="00AB4B50">
        <w:rPr>
          <w:b/>
          <w:bCs/>
        </w:rPr>
        <w:t>18 DICIEMBRE – Bruselas (Bélgica)</w:t>
      </w:r>
    </w:p>
    <w:p w14:paraId="57FDB9F0" w14:textId="0601E5B0" w:rsidR="00656035" w:rsidRPr="00AB4B50" w:rsidRDefault="00AE03AC" w:rsidP="00AA12E3">
      <w:pPr>
        <w:rPr>
          <w:b/>
          <w:bCs/>
        </w:rPr>
      </w:pPr>
      <w:r w:rsidRPr="00AB4B50">
        <w:rPr>
          <w:noProof/>
        </w:rPr>
        <w:drawing>
          <wp:anchor distT="0" distB="0" distL="114300" distR="114300" simplePos="0" relativeHeight="251672576" behindDoc="0" locked="0" layoutInCell="1" allowOverlap="1" wp14:anchorId="4CC738CD" wp14:editId="11D536A1">
            <wp:simplePos x="0" y="0"/>
            <wp:positionH relativeFrom="margin">
              <wp:align>left</wp:align>
            </wp:positionH>
            <wp:positionV relativeFrom="paragraph">
              <wp:posOffset>173355</wp:posOffset>
            </wp:positionV>
            <wp:extent cx="4151630" cy="2085975"/>
            <wp:effectExtent l="0" t="0" r="1270" b="9525"/>
            <wp:wrapSquare wrapText="bothSides"/>
            <wp:docPr id="1959703887" name="Imagen 14" descr="Una caricatura de una ciuda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03887" name="Imagen 14" descr="Una caricatura de una ciudad&#10;&#10;El contenido generado por IA puede ser incorrecto."/>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51630" cy="2085975"/>
                    </a:xfrm>
                    <a:prstGeom prst="rect">
                      <a:avLst/>
                    </a:prstGeom>
                    <a:noFill/>
                    <a:ln>
                      <a:noFill/>
                    </a:ln>
                  </pic:spPr>
                </pic:pic>
              </a:graphicData>
            </a:graphic>
            <wp14:sizeRelV relativeFrom="margin">
              <wp14:pctHeight>0</wp14:pctHeight>
            </wp14:sizeRelV>
          </wp:anchor>
        </w:drawing>
      </w:r>
    </w:p>
    <w:p w14:paraId="4CEC03FC" w14:textId="0B4C37B6" w:rsidR="00AA7528" w:rsidRDefault="00AA7528" w:rsidP="00AA12E3">
      <w:r w:rsidRPr="00AB4B50">
        <w:t>Semanas antes a la votación de enero que finalmente daría paso al acuerdo de Mercosur con el apoyo de la mayoría de los países, más de 15.000 agricultores europeos y 200 tractores colapsaron el centro de Bruselas en una protesta masiva contra el acuerdo comercial, que consideran una amenaza para sus economías por la posible entrada de productos agrícolas sudamericanos más baratos y con menores regulaciones.  Fue una protesta histórica, en la que participaron agricultores de los 27 estados miembros de la UE. ASAJA estuvo presente con la delegación más importante de agricultores y ganaderos de nuestro país. Desde Castilla y León, se trasladaron miembros de nuestras organizaciones provinciales, encabezados por el presidente regional de ASAJA, Donaciano Dujo.</w:t>
      </w:r>
    </w:p>
    <w:p w14:paraId="2AE87D37" w14:textId="77777777" w:rsidR="00656035" w:rsidRDefault="00656035" w:rsidP="00AA12E3"/>
    <w:p w14:paraId="24436A38" w14:textId="77777777" w:rsidR="00AE03AC" w:rsidRDefault="00AE03AC" w:rsidP="00AA12E3"/>
    <w:p w14:paraId="325B081C" w14:textId="77777777" w:rsidR="00AE03AC" w:rsidRDefault="00AE03AC" w:rsidP="00AA12E3"/>
    <w:p w14:paraId="2CDE98AF" w14:textId="77777777" w:rsidR="00AE03AC" w:rsidRDefault="00AE03AC" w:rsidP="00AA12E3"/>
    <w:p w14:paraId="4FDD0E3F" w14:textId="77777777" w:rsidR="00AE03AC" w:rsidRDefault="00AE03AC" w:rsidP="00AA12E3"/>
    <w:p w14:paraId="19EA3F57" w14:textId="77777777" w:rsidR="00AE03AC" w:rsidRPr="00AB4B50" w:rsidRDefault="00AE03AC" w:rsidP="00AA12E3"/>
    <w:p w14:paraId="7A924404" w14:textId="227DAE11" w:rsidR="00656035" w:rsidRPr="00AB4B50" w:rsidRDefault="00656035" w:rsidP="00AA12E3"/>
    <w:p w14:paraId="774CEE2C" w14:textId="349A2FE3" w:rsidR="00AA7528" w:rsidRDefault="00AA7528" w:rsidP="00AA12E3">
      <w:pPr>
        <w:jc w:val="center"/>
        <w:rPr>
          <w:b/>
          <w:bCs/>
        </w:rPr>
      </w:pPr>
      <w:r w:rsidRPr="00AB4B50">
        <w:rPr>
          <w:b/>
          <w:bCs/>
        </w:rPr>
        <w:lastRenderedPageBreak/>
        <w:t xml:space="preserve">XI </w:t>
      </w:r>
      <w:r w:rsidR="00AB4B50" w:rsidRPr="00AB4B50">
        <w:rPr>
          <w:b/>
          <w:bCs/>
        </w:rPr>
        <w:t>CONGRESO DE ASAJA CASTILLA Y LEÓN</w:t>
      </w:r>
    </w:p>
    <w:p w14:paraId="68E37742" w14:textId="77777777" w:rsidR="00656035" w:rsidRPr="00AB4B50" w:rsidRDefault="00656035" w:rsidP="00AA12E3">
      <w:pPr>
        <w:jc w:val="center"/>
        <w:rPr>
          <w:sz w:val="22"/>
          <w:szCs w:val="22"/>
        </w:rPr>
      </w:pPr>
    </w:p>
    <w:p w14:paraId="13EB2901" w14:textId="77777777" w:rsidR="00AE03AC" w:rsidRDefault="00AE03AC" w:rsidP="00AA12E3">
      <w:r w:rsidRPr="00AB4B50">
        <w:rPr>
          <w:noProof/>
        </w:rPr>
        <w:drawing>
          <wp:inline distT="0" distB="0" distL="0" distR="0" wp14:anchorId="4E1BC5B1" wp14:editId="3FCC2EBE">
            <wp:extent cx="5657850" cy="3120197"/>
            <wp:effectExtent l="0" t="0" r="0" b="4445"/>
            <wp:docPr id="474877815" name="Imagen 1" descr="Un grupo de personas en una plaz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 grupo de personas en una plaza&#10;&#10;El contenido generado por IA puede ser incorrecto."/>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5673873" cy="3129033"/>
                    </a:xfrm>
                    <a:prstGeom prst="rect">
                      <a:avLst/>
                    </a:prstGeom>
                    <a:noFill/>
                    <a:ln>
                      <a:noFill/>
                    </a:ln>
                  </pic:spPr>
                </pic:pic>
              </a:graphicData>
            </a:graphic>
          </wp:inline>
        </w:drawing>
      </w:r>
    </w:p>
    <w:p w14:paraId="3203EC9A" w14:textId="77777777" w:rsidR="00AE03AC" w:rsidRDefault="00AE03AC" w:rsidP="00AA12E3"/>
    <w:p w14:paraId="5D5A032C" w14:textId="3F90D338" w:rsidR="00AA7528" w:rsidRPr="00AB4B50" w:rsidRDefault="00AA7528" w:rsidP="00AA12E3">
      <w:r w:rsidRPr="00AB4B50">
        <w:t xml:space="preserve">La candidatura de Donaciano Dujo, presidente, y José Antonio Turrado, secretario general, resultó reelegida por aclamación por los cerca de 200 compromisarios de las nueve organizaciones provinciales de la Comunidad Autónoma, reunidos el 26 de septiembre en el Auditorio municipal San Francisco de Ávila, en el XI Congreso de ASAJA de Castilla y León. El acto fue inaugurado por el consejero de Medio Ambiente, Juan Carlos Suárez-Quiñones, y clausurado por la consejera de Agricultura, Ganadería y Desarrollo Rural, María González Corral, y por el presidente nacional de la organización, Pedro Barato. </w:t>
      </w:r>
    </w:p>
    <w:p w14:paraId="61388C1E" w14:textId="77777777" w:rsidR="00AA7528" w:rsidRDefault="00AA7528" w:rsidP="00AA12E3">
      <w:bookmarkStart w:id="8" w:name="_Hlk82601232"/>
      <w:r w:rsidRPr="00AB4B50">
        <w:t>El lema elegido para el Congreso fue “Más unidos. Más útiles”. Resumía dos objetivos principales de la organización profesional agraria: primero, trabajar por la unidad del campo para ser fuertes y defender al sector en un momento extraordinariamente complejo, con una nueva PAC en debate y un tenso panorama geopolítico, y segundo enfocar toda su estrategia sindical y de servicios a ser útil a las necesidades de los socios, los agricultores y ganaderos.</w:t>
      </w:r>
      <w:bookmarkEnd w:id="8"/>
    </w:p>
    <w:p w14:paraId="0714D1CC" w14:textId="77777777" w:rsidR="00656035" w:rsidRPr="00AB4B50" w:rsidRDefault="00656035" w:rsidP="00AA7528"/>
    <w:p w14:paraId="516452A2" w14:textId="637B7F76" w:rsidR="00AA7528" w:rsidRPr="00AB4B50" w:rsidRDefault="00AA7528" w:rsidP="00AA7528"/>
    <w:p w14:paraId="597ECAD6" w14:textId="77777777" w:rsidR="00AA7528" w:rsidRPr="00AB4B50" w:rsidRDefault="00AA7528" w:rsidP="00063522">
      <w:pPr>
        <w:tabs>
          <w:tab w:val="left" w:pos="1010"/>
        </w:tabs>
        <w:spacing w:line="276" w:lineRule="auto"/>
      </w:pPr>
    </w:p>
    <w:sectPr w:rsidR="00AA7528" w:rsidRPr="00AB4B50" w:rsidSect="004D2ADB">
      <w:headerReference w:type="even" r:id="rId70"/>
      <w:headerReference w:type="default" r:id="rId71"/>
      <w:footerReference w:type="default" r:id="rId72"/>
      <w:headerReference w:type="first" r:id="rId73"/>
      <w:pgSz w:w="11906" w:h="16838" w:code="9"/>
      <w:pgMar w:top="1560" w:right="1274" w:bottom="1276" w:left="1701" w:header="28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24F39" w14:textId="77777777" w:rsidR="00CD543C" w:rsidRDefault="00CD543C">
      <w:r>
        <w:separator/>
      </w:r>
    </w:p>
  </w:endnote>
  <w:endnote w:type="continuationSeparator" w:id="0">
    <w:p w14:paraId="23656EFA" w14:textId="77777777" w:rsidR="00CD543C" w:rsidRDefault="00CD5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8CD26" w14:textId="6C02C5AA" w:rsidR="00817D9D" w:rsidRDefault="00817D9D" w:rsidP="00D73457">
    <w:pPr>
      <w:pStyle w:val="Piedepgina"/>
      <w:framePr w:wrap="around" w:vAnchor="text" w:hAnchor="margin" w:xAlign="right" w:y="1"/>
      <w:rPr>
        <w:rStyle w:val="Nmerodepgina"/>
        <w:rFonts w:cs="Arial"/>
      </w:rPr>
    </w:pPr>
    <w:r>
      <w:rPr>
        <w:rStyle w:val="Nmerodepgina"/>
        <w:rFonts w:cs="Arial"/>
      </w:rPr>
      <w:fldChar w:fldCharType="begin"/>
    </w:r>
    <w:r>
      <w:rPr>
        <w:rStyle w:val="Nmerodepgina"/>
        <w:rFonts w:cs="Arial"/>
      </w:rPr>
      <w:instrText xml:space="preserve">PAGE  </w:instrText>
    </w:r>
    <w:r>
      <w:rPr>
        <w:rStyle w:val="Nmerodepgina"/>
        <w:rFonts w:cs="Arial"/>
      </w:rPr>
      <w:fldChar w:fldCharType="separate"/>
    </w:r>
    <w:r w:rsidR="000020CD">
      <w:rPr>
        <w:rStyle w:val="Nmerodepgina"/>
        <w:rFonts w:cs="Arial"/>
        <w:noProof/>
      </w:rPr>
      <w:t>1</w:t>
    </w:r>
    <w:r>
      <w:rPr>
        <w:rStyle w:val="Nmerodepgina"/>
        <w:rFonts w:cs="Arial"/>
      </w:rPr>
      <w:fldChar w:fldCharType="end"/>
    </w:r>
  </w:p>
  <w:p w14:paraId="3C62F5F5" w14:textId="77777777" w:rsidR="00817D9D" w:rsidRDefault="00817D9D" w:rsidP="009B643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2F0DB" w14:textId="77777777" w:rsidR="00817D9D" w:rsidRDefault="00817D9D">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3C95" w14:textId="7CC5C272" w:rsidR="00817D9D" w:rsidRPr="00EF6B74" w:rsidRDefault="00817D9D" w:rsidP="00EF6B74">
    <w:pPr>
      <w:pStyle w:val="Piedepgina"/>
      <w:jc w:val="center"/>
      <w:rPr>
        <w:bCs/>
        <w:sz w:val="20"/>
        <w:szCs w:val="20"/>
      </w:rPr>
    </w:pPr>
    <w:r w:rsidRPr="00EF6B74">
      <w:rPr>
        <w:bCs/>
        <w:sz w:val="20"/>
        <w:szCs w:val="20"/>
      </w:rPr>
      <w:t xml:space="preserve">Balance de la agricultura y ganadería de Castilla y León en el año </w:t>
    </w:r>
    <w:r>
      <w:rPr>
        <w:bCs/>
        <w:sz w:val="20"/>
        <w:szCs w:val="20"/>
      </w:rPr>
      <w:t>202</w:t>
    </w:r>
    <w:r w:rsidR="00B47B83">
      <w:rPr>
        <w:bCs/>
        <w:sz w:val="20"/>
        <w:szCs w:val="20"/>
      </w:rPr>
      <w:t>5</w:t>
    </w:r>
    <w:r w:rsidRPr="00EF6B74">
      <w:rPr>
        <w:bCs/>
        <w:sz w:val="20"/>
        <w:szCs w:val="20"/>
      </w:rPr>
      <w:tab/>
    </w:r>
    <w:r w:rsidRPr="00EF6B74">
      <w:rPr>
        <w:bCs/>
        <w:sz w:val="20"/>
        <w:szCs w:val="20"/>
      </w:rPr>
      <w:fldChar w:fldCharType="begin"/>
    </w:r>
    <w:r w:rsidRPr="00EF6B74">
      <w:rPr>
        <w:bCs/>
        <w:sz w:val="20"/>
        <w:szCs w:val="20"/>
      </w:rPr>
      <w:instrText>PAGE   \* MERGEFORMAT</w:instrText>
    </w:r>
    <w:r w:rsidRPr="00EF6B74">
      <w:rPr>
        <w:bCs/>
        <w:sz w:val="20"/>
        <w:szCs w:val="20"/>
      </w:rPr>
      <w:fldChar w:fldCharType="separate"/>
    </w:r>
    <w:r w:rsidRPr="00EF6B74">
      <w:rPr>
        <w:bCs/>
        <w:sz w:val="20"/>
        <w:szCs w:val="20"/>
      </w:rPr>
      <w:t>1</w:t>
    </w:r>
    <w:r w:rsidRPr="00EF6B74">
      <w:rPr>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176D9" w14:textId="77777777" w:rsidR="00CD543C" w:rsidRDefault="00CD543C">
      <w:r>
        <w:separator/>
      </w:r>
    </w:p>
  </w:footnote>
  <w:footnote w:type="continuationSeparator" w:id="0">
    <w:p w14:paraId="781C22EB" w14:textId="77777777" w:rsidR="00CD543C" w:rsidRDefault="00CD5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8F7D1" w14:textId="77777777" w:rsidR="00817D9D" w:rsidRDefault="00817D9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0F40F" w14:textId="77777777" w:rsidR="00E75BC5" w:rsidRDefault="00E75BC5">
    <w:pPr>
      <w:pStyle w:val="Encabezado"/>
    </w:pPr>
  </w:p>
  <w:p w14:paraId="5050AC4F" w14:textId="6EBFB99F" w:rsidR="00817D9D" w:rsidRDefault="00E75BC5" w:rsidP="00E75BC5">
    <w:pPr>
      <w:pStyle w:val="Encabezado"/>
      <w:jc w:val="left"/>
    </w:pPr>
    <w:r>
      <w:rPr>
        <w:noProof/>
      </w:rPr>
      <w:drawing>
        <wp:inline distT="0" distB="0" distL="0" distR="0" wp14:anchorId="3AFE5B7D" wp14:editId="5A80D68C">
          <wp:extent cx="1352550" cy="422910"/>
          <wp:effectExtent l="0" t="0" r="0" b="0"/>
          <wp:docPr id="800161461" name="Imagen 80016146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4239" cy="43907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0915" w14:textId="77777777" w:rsidR="00817D9D" w:rsidRDefault="00817D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32633"/>
    <w:multiLevelType w:val="multilevel"/>
    <w:tmpl w:val="66761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505959"/>
    <w:multiLevelType w:val="hybridMultilevel"/>
    <w:tmpl w:val="CD5E07F2"/>
    <w:lvl w:ilvl="0" w:tplc="C55CDAAE">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D604EB"/>
    <w:multiLevelType w:val="multilevel"/>
    <w:tmpl w:val="94AC1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D2C08"/>
    <w:multiLevelType w:val="hybridMultilevel"/>
    <w:tmpl w:val="C5FA99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2FE6EE3"/>
    <w:multiLevelType w:val="multilevel"/>
    <w:tmpl w:val="71D46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051CB1"/>
    <w:multiLevelType w:val="multilevel"/>
    <w:tmpl w:val="D9EC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5064B7"/>
    <w:multiLevelType w:val="hybridMultilevel"/>
    <w:tmpl w:val="8B305456"/>
    <w:lvl w:ilvl="0" w:tplc="2EAAB74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64A6C65"/>
    <w:multiLevelType w:val="multilevel"/>
    <w:tmpl w:val="43DE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7B268C"/>
    <w:multiLevelType w:val="hybridMultilevel"/>
    <w:tmpl w:val="EFA09416"/>
    <w:lvl w:ilvl="0" w:tplc="01542F1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C505422"/>
    <w:multiLevelType w:val="multilevel"/>
    <w:tmpl w:val="A784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5470702">
    <w:abstractNumId w:val="3"/>
  </w:num>
  <w:num w:numId="2" w16cid:durableId="330909959">
    <w:abstractNumId w:val="5"/>
  </w:num>
  <w:num w:numId="3" w16cid:durableId="120265643">
    <w:abstractNumId w:val="7"/>
  </w:num>
  <w:num w:numId="4" w16cid:durableId="738334006">
    <w:abstractNumId w:val="1"/>
  </w:num>
  <w:num w:numId="5" w16cid:durableId="372460765">
    <w:abstractNumId w:val="4"/>
  </w:num>
  <w:num w:numId="6" w16cid:durableId="1959217426">
    <w:abstractNumId w:val="9"/>
  </w:num>
  <w:num w:numId="7" w16cid:durableId="1823546496">
    <w:abstractNumId w:val="0"/>
  </w:num>
  <w:num w:numId="8" w16cid:durableId="1173254101">
    <w:abstractNumId w:val="8"/>
  </w:num>
  <w:num w:numId="9" w16cid:durableId="193926055">
    <w:abstractNumId w:val="6"/>
  </w:num>
  <w:num w:numId="10" w16cid:durableId="91135173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88A"/>
    <w:rsid w:val="000003A2"/>
    <w:rsid w:val="000016EB"/>
    <w:rsid w:val="00001831"/>
    <w:rsid w:val="00001DE7"/>
    <w:rsid w:val="000020CD"/>
    <w:rsid w:val="00002B16"/>
    <w:rsid w:val="00002BF0"/>
    <w:rsid w:val="00003509"/>
    <w:rsid w:val="00003882"/>
    <w:rsid w:val="00004353"/>
    <w:rsid w:val="0000454D"/>
    <w:rsid w:val="000048DE"/>
    <w:rsid w:val="00004E30"/>
    <w:rsid w:val="000050D2"/>
    <w:rsid w:val="00005780"/>
    <w:rsid w:val="00005B4D"/>
    <w:rsid w:val="0000631C"/>
    <w:rsid w:val="0000666D"/>
    <w:rsid w:val="00010951"/>
    <w:rsid w:val="00012D02"/>
    <w:rsid w:val="000141AC"/>
    <w:rsid w:val="00014828"/>
    <w:rsid w:val="0001598A"/>
    <w:rsid w:val="00015D9C"/>
    <w:rsid w:val="00016329"/>
    <w:rsid w:val="00016E8A"/>
    <w:rsid w:val="00017912"/>
    <w:rsid w:val="00017C82"/>
    <w:rsid w:val="00020DB4"/>
    <w:rsid w:val="00021096"/>
    <w:rsid w:val="000215A2"/>
    <w:rsid w:val="000219E5"/>
    <w:rsid w:val="00022027"/>
    <w:rsid w:val="0002214C"/>
    <w:rsid w:val="00022CD6"/>
    <w:rsid w:val="00022DB6"/>
    <w:rsid w:val="00024586"/>
    <w:rsid w:val="00024CCB"/>
    <w:rsid w:val="00026848"/>
    <w:rsid w:val="00026A4E"/>
    <w:rsid w:val="00030A64"/>
    <w:rsid w:val="0003105D"/>
    <w:rsid w:val="000313AE"/>
    <w:rsid w:val="00034F7E"/>
    <w:rsid w:val="00036003"/>
    <w:rsid w:val="0003626F"/>
    <w:rsid w:val="00036788"/>
    <w:rsid w:val="00036B35"/>
    <w:rsid w:val="00040281"/>
    <w:rsid w:val="00040E0D"/>
    <w:rsid w:val="00043090"/>
    <w:rsid w:val="00046041"/>
    <w:rsid w:val="0004789E"/>
    <w:rsid w:val="000505D2"/>
    <w:rsid w:val="000512E3"/>
    <w:rsid w:val="00051E62"/>
    <w:rsid w:val="000530A5"/>
    <w:rsid w:val="00054A1B"/>
    <w:rsid w:val="00055044"/>
    <w:rsid w:val="00055098"/>
    <w:rsid w:val="00055AEA"/>
    <w:rsid w:val="000561DD"/>
    <w:rsid w:val="000565BA"/>
    <w:rsid w:val="0005662A"/>
    <w:rsid w:val="0006140C"/>
    <w:rsid w:val="00061DC4"/>
    <w:rsid w:val="00061F76"/>
    <w:rsid w:val="00062AC5"/>
    <w:rsid w:val="00063522"/>
    <w:rsid w:val="0006397C"/>
    <w:rsid w:val="00064488"/>
    <w:rsid w:val="000645B6"/>
    <w:rsid w:val="00066097"/>
    <w:rsid w:val="00066614"/>
    <w:rsid w:val="00066FD5"/>
    <w:rsid w:val="000672C8"/>
    <w:rsid w:val="0006744C"/>
    <w:rsid w:val="00070779"/>
    <w:rsid w:val="00073B18"/>
    <w:rsid w:val="00075866"/>
    <w:rsid w:val="00075C75"/>
    <w:rsid w:val="0007609E"/>
    <w:rsid w:val="00076250"/>
    <w:rsid w:val="00076BC2"/>
    <w:rsid w:val="000775F2"/>
    <w:rsid w:val="0008006C"/>
    <w:rsid w:val="000800EB"/>
    <w:rsid w:val="00080402"/>
    <w:rsid w:val="00080DEB"/>
    <w:rsid w:val="000816CF"/>
    <w:rsid w:val="00081DE5"/>
    <w:rsid w:val="0008347E"/>
    <w:rsid w:val="00083699"/>
    <w:rsid w:val="00084B6B"/>
    <w:rsid w:val="000855C3"/>
    <w:rsid w:val="00086B28"/>
    <w:rsid w:val="00086EBC"/>
    <w:rsid w:val="00090A19"/>
    <w:rsid w:val="00090BAD"/>
    <w:rsid w:val="000912F4"/>
    <w:rsid w:val="00091865"/>
    <w:rsid w:val="00091B07"/>
    <w:rsid w:val="000920B1"/>
    <w:rsid w:val="00093128"/>
    <w:rsid w:val="00094815"/>
    <w:rsid w:val="00095F2F"/>
    <w:rsid w:val="00096BC8"/>
    <w:rsid w:val="00096D58"/>
    <w:rsid w:val="00097131"/>
    <w:rsid w:val="00097B8F"/>
    <w:rsid w:val="000A0A9A"/>
    <w:rsid w:val="000A1362"/>
    <w:rsid w:val="000A1D83"/>
    <w:rsid w:val="000A31E4"/>
    <w:rsid w:val="000A3645"/>
    <w:rsid w:val="000A3960"/>
    <w:rsid w:val="000A4133"/>
    <w:rsid w:val="000A4F70"/>
    <w:rsid w:val="000A5AF8"/>
    <w:rsid w:val="000A7769"/>
    <w:rsid w:val="000B0933"/>
    <w:rsid w:val="000B1DCD"/>
    <w:rsid w:val="000B3671"/>
    <w:rsid w:val="000B3849"/>
    <w:rsid w:val="000B4BB9"/>
    <w:rsid w:val="000B4D9B"/>
    <w:rsid w:val="000B4EEF"/>
    <w:rsid w:val="000B55C3"/>
    <w:rsid w:val="000B6D22"/>
    <w:rsid w:val="000B75D0"/>
    <w:rsid w:val="000C0A26"/>
    <w:rsid w:val="000C31F8"/>
    <w:rsid w:val="000C3227"/>
    <w:rsid w:val="000C3918"/>
    <w:rsid w:val="000C393B"/>
    <w:rsid w:val="000C3D97"/>
    <w:rsid w:val="000C4442"/>
    <w:rsid w:val="000C5A39"/>
    <w:rsid w:val="000C614A"/>
    <w:rsid w:val="000D039A"/>
    <w:rsid w:val="000D1BC6"/>
    <w:rsid w:val="000D21D9"/>
    <w:rsid w:val="000D27F9"/>
    <w:rsid w:val="000D3142"/>
    <w:rsid w:val="000D3919"/>
    <w:rsid w:val="000D5E63"/>
    <w:rsid w:val="000D5F9C"/>
    <w:rsid w:val="000D688A"/>
    <w:rsid w:val="000D728C"/>
    <w:rsid w:val="000D7DA7"/>
    <w:rsid w:val="000E0106"/>
    <w:rsid w:val="000E23DB"/>
    <w:rsid w:val="000E2719"/>
    <w:rsid w:val="000E3D65"/>
    <w:rsid w:val="000E463B"/>
    <w:rsid w:val="000E52AF"/>
    <w:rsid w:val="000E58A2"/>
    <w:rsid w:val="000E5A09"/>
    <w:rsid w:val="000E60F3"/>
    <w:rsid w:val="000E6725"/>
    <w:rsid w:val="000E7200"/>
    <w:rsid w:val="000F009D"/>
    <w:rsid w:val="000F0303"/>
    <w:rsid w:val="000F0CD0"/>
    <w:rsid w:val="000F0FD8"/>
    <w:rsid w:val="000F12A9"/>
    <w:rsid w:val="000F1733"/>
    <w:rsid w:val="000F2DB1"/>
    <w:rsid w:val="000F3BD1"/>
    <w:rsid w:val="000F3D28"/>
    <w:rsid w:val="000F6907"/>
    <w:rsid w:val="000F784E"/>
    <w:rsid w:val="000F79AA"/>
    <w:rsid w:val="001004B0"/>
    <w:rsid w:val="001004CA"/>
    <w:rsid w:val="0010174D"/>
    <w:rsid w:val="001019E6"/>
    <w:rsid w:val="00101AF0"/>
    <w:rsid w:val="00101DDD"/>
    <w:rsid w:val="001048A7"/>
    <w:rsid w:val="00104E60"/>
    <w:rsid w:val="0010537D"/>
    <w:rsid w:val="001056CE"/>
    <w:rsid w:val="0010595C"/>
    <w:rsid w:val="00105F12"/>
    <w:rsid w:val="00106678"/>
    <w:rsid w:val="001066CA"/>
    <w:rsid w:val="00106A7C"/>
    <w:rsid w:val="00106EF7"/>
    <w:rsid w:val="001075E7"/>
    <w:rsid w:val="001077F3"/>
    <w:rsid w:val="00110670"/>
    <w:rsid w:val="00110A49"/>
    <w:rsid w:val="00110BBF"/>
    <w:rsid w:val="001112EE"/>
    <w:rsid w:val="00112DD6"/>
    <w:rsid w:val="0011367F"/>
    <w:rsid w:val="0011427B"/>
    <w:rsid w:val="001148F6"/>
    <w:rsid w:val="0011588F"/>
    <w:rsid w:val="00115905"/>
    <w:rsid w:val="00115A5C"/>
    <w:rsid w:val="0011607D"/>
    <w:rsid w:val="0011782C"/>
    <w:rsid w:val="00117963"/>
    <w:rsid w:val="0012030B"/>
    <w:rsid w:val="0012176D"/>
    <w:rsid w:val="00121DFE"/>
    <w:rsid w:val="0012217D"/>
    <w:rsid w:val="0012424C"/>
    <w:rsid w:val="00124600"/>
    <w:rsid w:val="00124AA7"/>
    <w:rsid w:val="00125F40"/>
    <w:rsid w:val="00125F9A"/>
    <w:rsid w:val="001265D1"/>
    <w:rsid w:val="00126615"/>
    <w:rsid w:val="00127228"/>
    <w:rsid w:val="0013033D"/>
    <w:rsid w:val="00130D4E"/>
    <w:rsid w:val="00131435"/>
    <w:rsid w:val="001314AC"/>
    <w:rsid w:val="00131A92"/>
    <w:rsid w:val="001326AF"/>
    <w:rsid w:val="00133AE0"/>
    <w:rsid w:val="0013418D"/>
    <w:rsid w:val="001352AA"/>
    <w:rsid w:val="0013618F"/>
    <w:rsid w:val="00137049"/>
    <w:rsid w:val="001406E9"/>
    <w:rsid w:val="00141450"/>
    <w:rsid w:val="001418A2"/>
    <w:rsid w:val="00141D47"/>
    <w:rsid w:val="00143142"/>
    <w:rsid w:val="00143CCC"/>
    <w:rsid w:val="00143D38"/>
    <w:rsid w:val="0014446A"/>
    <w:rsid w:val="00145A0A"/>
    <w:rsid w:val="00145CDE"/>
    <w:rsid w:val="001461F0"/>
    <w:rsid w:val="001507BB"/>
    <w:rsid w:val="001512D8"/>
    <w:rsid w:val="00151ED4"/>
    <w:rsid w:val="001535DD"/>
    <w:rsid w:val="00154705"/>
    <w:rsid w:val="00154C4C"/>
    <w:rsid w:val="00154C5B"/>
    <w:rsid w:val="00154D25"/>
    <w:rsid w:val="00155127"/>
    <w:rsid w:val="001551DC"/>
    <w:rsid w:val="001574DC"/>
    <w:rsid w:val="00160A30"/>
    <w:rsid w:val="00160C33"/>
    <w:rsid w:val="00160D03"/>
    <w:rsid w:val="00160DCB"/>
    <w:rsid w:val="00161C7A"/>
    <w:rsid w:val="00164581"/>
    <w:rsid w:val="00165C7A"/>
    <w:rsid w:val="001661E0"/>
    <w:rsid w:val="0016668E"/>
    <w:rsid w:val="00167602"/>
    <w:rsid w:val="00170C9B"/>
    <w:rsid w:val="00171FDF"/>
    <w:rsid w:val="00172D3C"/>
    <w:rsid w:val="001730EA"/>
    <w:rsid w:val="0017383F"/>
    <w:rsid w:val="001740C5"/>
    <w:rsid w:val="00175E73"/>
    <w:rsid w:val="00175EB1"/>
    <w:rsid w:val="00175F24"/>
    <w:rsid w:val="00176B0B"/>
    <w:rsid w:val="001777CB"/>
    <w:rsid w:val="001803BB"/>
    <w:rsid w:val="00181390"/>
    <w:rsid w:val="00183D79"/>
    <w:rsid w:val="001843D2"/>
    <w:rsid w:val="0018453B"/>
    <w:rsid w:val="00184A88"/>
    <w:rsid w:val="00185929"/>
    <w:rsid w:val="00186A9C"/>
    <w:rsid w:val="001875FC"/>
    <w:rsid w:val="00187F1F"/>
    <w:rsid w:val="001907FA"/>
    <w:rsid w:val="001910CB"/>
    <w:rsid w:val="001912E6"/>
    <w:rsid w:val="0019130B"/>
    <w:rsid w:val="00191781"/>
    <w:rsid w:val="0019246F"/>
    <w:rsid w:val="001929E8"/>
    <w:rsid w:val="00196075"/>
    <w:rsid w:val="001A041C"/>
    <w:rsid w:val="001A19B0"/>
    <w:rsid w:val="001A1C73"/>
    <w:rsid w:val="001A3C56"/>
    <w:rsid w:val="001A3DD1"/>
    <w:rsid w:val="001A4AD4"/>
    <w:rsid w:val="001A4E26"/>
    <w:rsid w:val="001A4FB0"/>
    <w:rsid w:val="001A64EE"/>
    <w:rsid w:val="001B0543"/>
    <w:rsid w:val="001B0AB4"/>
    <w:rsid w:val="001B28D2"/>
    <w:rsid w:val="001B3E36"/>
    <w:rsid w:val="001B4D82"/>
    <w:rsid w:val="001B690A"/>
    <w:rsid w:val="001B6EB0"/>
    <w:rsid w:val="001B7ECE"/>
    <w:rsid w:val="001C0DCB"/>
    <w:rsid w:val="001C1698"/>
    <w:rsid w:val="001C31A6"/>
    <w:rsid w:val="001C3AEF"/>
    <w:rsid w:val="001C5158"/>
    <w:rsid w:val="001C5740"/>
    <w:rsid w:val="001C5990"/>
    <w:rsid w:val="001C5F15"/>
    <w:rsid w:val="001C634D"/>
    <w:rsid w:val="001D0260"/>
    <w:rsid w:val="001D08CF"/>
    <w:rsid w:val="001D09A3"/>
    <w:rsid w:val="001D11F7"/>
    <w:rsid w:val="001D22F8"/>
    <w:rsid w:val="001D46F4"/>
    <w:rsid w:val="001D4B57"/>
    <w:rsid w:val="001D547A"/>
    <w:rsid w:val="001D6B3A"/>
    <w:rsid w:val="001D6DAC"/>
    <w:rsid w:val="001D6EE5"/>
    <w:rsid w:val="001D6FE2"/>
    <w:rsid w:val="001D7B76"/>
    <w:rsid w:val="001E01D3"/>
    <w:rsid w:val="001E01F6"/>
    <w:rsid w:val="001E0F6E"/>
    <w:rsid w:val="001E23CD"/>
    <w:rsid w:val="001E3647"/>
    <w:rsid w:val="001E450B"/>
    <w:rsid w:val="001E48FC"/>
    <w:rsid w:val="001E5AAF"/>
    <w:rsid w:val="001E75F3"/>
    <w:rsid w:val="001E76B4"/>
    <w:rsid w:val="001E7D5B"/>
    <w:rsid w:val="001F0CB9"/>
    <w:rsid w:val="001F16DD"/>
    <w:rsid w:val="001F2261"/>
    <w:rsid w:val="001F2979"/>
    <w:rsid w:val="001F2E59"/>
    <w:rsid w:val="001F41EE"/>
    <w:rsid w:val="001F605B"/>
    <w:rsid w:val="001F629C"/>
    <w:rsid w:val="001F630C"/>
    <w:rsid w:val="001F6322"/>
    <w:rsid w:val="001F7207"/>
    <w:rsid w:val="001F7C21"/>
    <w:rsid w:val="0020143A"/>
    <w:rsid w:val="00201897"/>
    <w:rsid w:val="00203689"/>
    <w:rsid w:val="0020423D"/>
    <w:rsid w:val="00204786"/>
    <w:rsid w:val="00205FE0"/>
    <w:rsid w:val="002062ED"/>
    <w:rsid w:val="00206D45"/>
    <w:rsid w:val="0020736E"/>
    <w:rsid w:val="00210966"/>
    <w:rsid w:val="00210C42"/>
    <w:rsid w:val="00211168"/>
    <w:rsid w:val="002116F9"/>
    <w:rsid w:val="0021172E"/>
    <w:rsid w:val="00212D9C"/>
    <w:rsid w:val="00214CAD"/>
    <w:rsid w:val="002175FA"/>
    <w:rsid w:val="00217B86"/>
    <w:rsid w:val="00217EF1"/>
    <w:rsid w:val="00220B64"/>
    <w:rsid w:val="002211F4"/>
    <w:rsid w:val="00221AA0"/>
    <w:rsid w:val="002220A0"/>
    <w:rsid w:val="00222965"/>
    <w:rsid w:val="0022367B"/>
    <w:rsid w:val="00223AAE"/>
    <w:rsid w:val="0022467B"/>
    <w:rsid w:val="00224955"/>
    <w:rsid w:val="0022556B"/>
    <w:rsid w:val="002275DE"/>
    <w:rsid w:val="00227966"/>
    <w:rsid w:val="00230054"/>
    <w:rsid w:val="0023179A"/>
    <w:rsid w:val="00231B87"/>
    <w:rsid w:val="002323BB"/>
    <w:rsid w:val="002324C6"/>
    <w:rsid w:val="00234DAE"/>
    <w:rsid w:val="00235096"/>
    <w:rsid w:val="00235803"/>
    <w:rsid w:val="00236179"/>
    <w:rsid w:val="00236D14"/>
    <w:rsid w:val="00236D16"/>
    <w:rsid w:val="00240BA4"/>
    <w:rsid w:val="00241606"/>
    <w:rsid w:val="00241E51"/>
    <w:rsid w:val="0024327B"/>
    <w:rsid w:val="00243F24"/>
    <w:rsid w:val="00244615"/>
    <w:rsid w:val="002449DD"/>
    <w:rsid w:val="00244FC3"/>
    <w:rsid w:val="00246885"/>
    <w:rsid w:val="00247F78"/>
    <w:rsid w:val="00253891"/>
    <w:rsid w:val="00253D4F"/>
    <w:rsid w:val="00254FB0"/>
    <w:rsid w:val="0025521F"/>
    <w:rsid w:val="00256179"/>
    <w:rsid w:val="00256CD7"/>
    <w:rsid w:val="00257757"/>
    <w:rsid w:val="0025790C"/>
    <w:rsid w:val="00260108"/>
    <w:rsid w:val="002623F8"/>
    <w:rsid w:val="002626D1"/>
    <w:rsid w:val="002631C9"/>
    <w:rsid w:val="002634C3"/>
    <w:rsid w:val="00263730"/>
    <w:rsid w:val="00263DDB"/>
    <w:rsid w:val="0026408F"/>
    <w:rsid w:val="00264374"/>
    <w:rsid w:val="002643A3"/>
    <w:rsid w:val="0026540F"/>
    <w:rsid w:val="00265A0E"/>
    <w:rsid w:val="00265C21"/>
    <w:rsid w:val="0026681C"/>
    <w:rsid w:val="00267027"/>
    <w:rsid w:val="0027061D"/>
    <w:rsid w:val="0027173B"/>
    <w:rsid w:val="00272981"/>
    <w:rsid w:val="00272F7D"/>
    <w:rsid w:val="00273EFA"/>
    <w:rsid w:val="0027405B"/>
    <w:rsid w:val="00274FBB"/>
    <w:rsid w:val="00276019"/>
    <w:rsid w:val="00276B54"/>
    <w:rsid w:val="00276E02"/>
    <w:rsid w:val="0027793A"/>
    <w:rsid w:val="002812F2"/>
    <w:rsid w:val="00281DBC"/>
    <w:rsid w:val="00281E13"/>
    <w:rsid w:val="0028222D"/>
    <w:rsid w:val="002833FB"/>
    <w:rsid w:val="0028378F"/>
    <w:rsid w:val="002842E1"/>
    <w:rsid w:val="00284A4A"/>
    <w:rsid w:val="00284AFF"/>
    <w:rsid w:val="00284EED"/>
    <w:rsid w:val="0028618D"/>
    <w:rsid w:val="00286875"/>
    <w:rsid w:val="00287375"/>
    <w:rsid w:val="00290D33"/>
    <w:rsid w:val="00292F26"/>
    <w:rsid w:val="0029483E"/>
    <w:rsid w:val="00296255"/>
    <w:rsid w:val="00297134"/>
    <w:rsid w:val="00297183"/>
    <w:rsid w:val="002973A8"/>
    <w:rsid w:val="002A07E2"/>
    <w:rsid w:val="002A1097"/>
    <w:rsid w:val="002A16AD"/>
    <w:rsid w:val="002A1976"/>
    <w:rsid w:val="002A1B72"/>
    <w:rsid w:val="002A1C35"/>
    <w:rsid w:val="002A1F94"/>
    <w:rsid w:val="002A27CA"/>
    <w:rsid w:val="002A2CD9"/>
    <w:rsid w:val="002A430C"/>
    <w:rsid w:val="002A4689"/>
    <w:rsid w:val="002A4A51"/>
    <w:rsid w:val="002A6333"/>
    <w:rsid w:val="002A6504"/>
    <w:rsid w:val="002A6798"/>
    <w:rsid w:val="002A6C08"/>
    <w:rsid w:val="002A7128"/>
    <w:rsid w:val="002B1021"/>
    <w:rsid w:val="002B1C5A"/>
    <w:rsid w:val="002B3588"/>
    <w:rsid w:val="002B4F10"/>
    <w:rsid w:val="002B552C"/>
    <w:rsid w:val="002B634C"/>
    <w:rsid w:val="002B64D7"/>
    <w:rsid w:val="002C1177"/>
    <w:rsid w:val="002C1646"/>
    <w:rsid w:val="002C1E0B"/>
    <w:rsid w:val="002C41CA"/>
    <w:rsid w:val="002C44C9"/>
    <w:rsid w:val="002C53EE"/>
    <w:rsid w:val="002C5AF2"/>
    <w:rsid w:val="002C60B7"/>
    <w:rsid w:val="002C6A7F"/>
    <w:rsid w:val="002C6C2B"/>
    <w:rsid w:val="002D040E"/>
    <w:rsid w:val="002D0AFC"/>
    <w:rsid w:val="002D11D2"/>
    <w:rsid w:val="002D394F"/>
    <w:rsid w:val="002D4778"/>
    <w:rsid w:val="002D590B"/>
    <w:rsid w:val="002D65E7"/>
    <w:rsid w:val="002D762E"/>
    <w:rsid w:val="002D7673"/>
    <w:rsid w:val="002E022F"/>
    <w:rsid w:val="002E0401"/>
    <w:rsid w:val="002E0D1C"/>
    <w:rsid w:val="002E11B2"/>
    <w:rsid w:val="002E1338"/>
    <w:rsid w:val="002E13B1"/>
    <w:rsid w:val="002E15D0"/>
    <w:rsid w:val="002E25F9"/>
    <w:rsid w:val="002E2A60"/>
    <w:rsid w:val="002E41FB"/>
    <w:rsid w:val="002E464E"/>
    <w:rsid w:val="002E47D2"/>
    <w:rsid w:val="002E5137"/>
    <w:rsid w:val="002E6C39"/>
    <w:rsid w:val="002E74AC"/>
    <w:rsid w:val="002F0A7D"/>
    <w:rsid w:val="002F214E"/>
    <w:rsid w:val="002F27CB"/>
    <w:rsid w:val="002F440E"/>
    <w:rsid w:val="002F513E"/>
    <w:rsid w:val="002F5AB4"/>
    <w:rsid w:val="002F5B48"/>
    <w:rsid w:val="003027A9"/>
    <w:rsid w:val="00305FA1"/>
    <w:rsid w:val="003070FA"/>
    <w:rsid w:val="003071C2"/>
    <w:rsid w:val="0030742D"/>
    <w:rsid w:val="003103D6"/>
    <w:rsid w:val="00311919"/>
    <w:rsid w:val="003119C8"/>
    <w:rsid w:val="00311B7E"/>
    <w:rsid w:val="00311FDC"/>
    <w:rsid w:val="0031307E"/>
    <w:rsid w:val="0031353B"/>
    <w:rsid w:val="003149E7"/>
    <w:rsid w:val="00314ACD"/>
    <w:rsid w:val="00315C87"/>
    <w:rsid w:val="00315E3B"/>
    <w:rsid w:val="00321C10"/>
    <w:rsid w:val="00322B0B"/>
    <w:rsid w:val="00322C71"/>
    <w:rsid w:val="00322D08"/>
    <w:rsid w:val="00322E32"/>
    <w:rsid w:val="00322FCA"/>
    <w:rsid w:val="0032315C"/>
    <w:rsid w:val="003234C1"/>
    <w:rsid w:val="0032353E"/>
    <w:rsid w:val="00324739"/>
    <w:rsid w:val="0032498D"/>
    <w:rsid w:val="00325CB1"/>
    <w:rsid w:val="00330672"/>
    <w:rsid w:val="00330C05"/>
    <w:rsid w:val="00331A49"/>
    <w:rsid w:val="00331B6C"/>
    <w:rsid w:val="00331ED7"/>
    <w:rsid w:val="00331EF4"/>
    <w:rsid w:val="003320FE"/>
    <w:rsid w:val="00332937"/>
    <w:rsid w:val="00332E80"/>
    <w:rsid w:val="003332A5"/>
    <w:rsid w:val="0033343C"/>
    <w:rsid w:val="00333E95"/>
    <w:rsid w:val="00335FA9"/>
    <w:rsid w:val="00337BDC"/>
    <w:rsid w:val="003400D5"/>
    <w:rsid w:val="00340F63"/>
    <w:rsid w:val="00341332"/>
    <w:rsid w:val="0034138D"/>
    <w:rsid w:val="00341A73"/>
    <w:rsid w:val="00341CC3"/>
    <w:rsid w:val="003428E5"/>
    <w:rsid w:val="003437C5"/>
    <w:rsid w:val="003444BF"/>
    <w:rsid w:val="00344788"/>
    <w:rsid w:val="00346055"/>
    <w:rsid w:val="003466FC"/>
    <w:rsid w:val="00347F4C"/>
    <w:rsid w:val="003512F2"/>
    <w:rsid w:val="00351C6D"/>
    <w:rsid w:val="0035257D"/>
    <w:rsid w:val="00353A4B"/>
    <w:rsid w:val="00353AAB"/>
    <w:rsid w:val="0035588E"/>
    <w:rsid w:val="0035630E"/>
    <w:rsid w:val="00360373"/>
    <w:rsid w:val="00361D76"/>
    <w:rsid w:val="0036277E"/>
    <w:rsid w:val="003636C7"/>
    <w:rsid w:val="00363CA0"/>
    <w:rsid w:val="0036468E"/>
    <w:rsid w:val="00366348"/>
    <w:rsid w:val="0036735D"/>
    <w:rsid w:val="00367D97"/>
    <w:rsid w:val="003709C7"/>
    <w:rsid w:val="00371555"/>
    <w:rsid w:val="0037240E"/>
    <w:rsid w:val="00372478"/>
    <w:rsid w:val="00372637"/>
    <w:rsid w:val="00372F80"/>
    <w:rsid w:val="00373484"/>
    <w:rsid w:val="003735FE"/>
    <w:rsid w:val="00373617"/>
    <w:rsid w:val="00373F25"/>
    <w:rsid w:val="003747BF"/>
    <w:rsid w:val="00374EA3"/>
    <w:rsid w:val="0037566C"/>
    <w:rsid w:val="0037588D"/>
    <w:rsid w:val="00375DC0"/>
    <w:rsid w:val="00376432"/>
    <w:rsid w:val="00376485"/>
    <w:rsid w:val="00380B49"/>
    <w:rsid w:val="0038204E"/>
    <w:rsid w:val="00384963"/>
    <w:rsid w:val="00384CC8"/>
    <w:rsid w:val="00386C52"/>
    <w:rsid w:val="00387688"/>
    <w:rsid w:val="003902B5"/>
    <w:rsid w:val="003906D4"/>
    <w:rsid w:val="00390829"/>
    <w:rsid w:val="00390AE4"/>
    <w:rsid w:val="00391ADE"/>
    <w:rsid w:val="00392228"/>
    <w:rsid w:val="00392EF9"/>
    <w:rsid w:val="00393D1A"/>
    <w:rsid w:val="0039482D"/>
    <w:rsid w:val="00394D1D"/>
    <w:rsid w:val="00395A35"/>
    <w:rsid w:val="003A30B0"/>
    <w:rsid w:val="003A32CB"/>
    <w:rsid w:val="003A3528"/>
    <w:rsid w:val="003A3B64"/>
    <w:rsid w:val="003A4D94"/>
    <w:rsid w:val="003A4DBC"/>
    <w:rsid w:val="003A5AB5"/>
    <w:rsid w:val="003B084D"/>
    <w:rsid w:val="003B1499"/>
    <w:rsid w:val="003B1905"/>
    <w:rsid w:val="003B2288"/>
    <w:rsid w:val="003B3872"/>
    <w:rsid w:val="003B719E"/>
    <w:rsid w:val="003B7579"/>
    <w:rsid w:val="003C00FC"/>
    <w:rsid w:val="003C04FC"/>
    <w:rsid w:val="003C0E1A"/>
    <w:rsid w:val="003C1028"/>
    <w:rsid w:val="003C27CC"/>
    <w:rsid w:val="003C4789"/>
    <w:rsid w:val="003C4E29"/>
    <w:rsid w:val="003C508B"/>
    <w:rsid w:val="003C537A"/>
    <w:rsid w:val="003C6EF6"/>
    <w:rsid w:val="003C725A"/>
    <w:rsid w:val="003C7D3F"/>
    <w:rsid w:val="003D0A2A"/>
    <w:rsid w:val="003D1C41"/>
    <w:rsid w:val="003D2C13"/>
    <w:rsid w:val="003D2EA7"/>
    <w:rsid w:val="003D5409"/>
    <w:rsid w:val="003D7BA1"/>
    <w:rsid w:val="003E2D22"/>
    <w:rsid w:val="003E342F"/>
    <w:rsid w:val="003E4240"/>
    <w:rsid w:val="003E430C"/>
    <w:rsid w:val="003E5561"/>
    <w:rsid w:val="003E56A2"/>
    <w:rsid w:val="003E5F20"/>
    <w:rsid w:val="003E6045"/>
    <w:rsid w:val="003E61AB"/>
    <w:rsid w:val="003E79EB"/>
    <w:rsid w:val="003F0141"/>
    <w:rsid w:val="003F05C9"/>
    <w:rsid w:val="003F1855"/>
    <w:rsid w:val="003F1A9A"/>
    <w:rsid w:val="003F2D88"/>
    <w:rsid w:val="003F3084"/>
    <w:rsid w:val="003F31BB"/>
    <w:rsid w:val="003F411F"/>
    <w:rsid w:val="003F415B"/>
    <w:rsid w:val="003F4BAF"/>
    <w:rsid w:val="003F50F5"/>
    <w:rsid w:val="003F5E16"/>
    <w:rsid w:val="003F6DD9"/>
    <w:rsid w:val="003F7D0B"/>
    <w:rsid w:val="00400470"/>
    <w:rsid w:val="0040047E"/>
    <w:rsid w:val="0040157F"/>
    <w:rsid w:val="00401800"/>
    <w:rsid w:val="004025F3"/>
    <w:rsid w:val="004044BB"/>
    <w:rsid w:val="00404695"/>
    <w:rsid w:val="00404B3E"/>
    <w:rsid w:val="00406378"/>
    <w:rsid w:val="004068F1"/>
    <w:rsid w:val="00407511"/>
    <w:rsid w:val="00410E5A"/>
    <w:rsid w:val="00410EBD"/>
    <w:rsid w:val="00410EE8"/>
    <w:rsid w:val="00411277"/>
    <w:rsid w:val="00411751"/>
    <w:rsid w:val="00411DDF"/>
    <w:rsid w:val="004125E4"/>
    <w:rsid w:val="00412F6E"/>
    <w:rsid w:val="0041438B"/>
    <w:rsid w:val="004146E8"/>
    <w:rsid w:val="00415275"/>
    <w:rsid w:val="004157FC"/>
    <w:rsid w:val="00415AEF"/>
    <w:rsid w:val="00416B8F"/>
    <w:rsid w:val="0042030E"/>
    <w:rsid w:val="00420FFA"/>
    <w:rsid w:val="004221B7"/>
    <w:rsid w:val="00427B20"/>
    <w:rsid w:val="00430335"/>
    <w:rsid w:val="00430C85"/>
    <w:rsid w:val="004334C6"/>
    <w:rsid w:val="0043424B"/>
    <w:rsid w:val="00434C28"/>
    <w:rsid w:val="00437A69"/>
    <w:rsid w:val="00437CAB"/>
    <w:rsid w:val="004404B2"/>
    <w:rsid w:val="0044081F"/>
    <w:rsid w:val="0044144F"/>
    <w:rsid w:val="00441B52"/>
    <w:rsid w:val="00442DF3"/>
    <w:rsid w:val="00445183"/>
    <w:rsid w:val="004451D1"/>
    <w:rsid w:val="0044553D"/>
    <w:rsid w:val="00446BDB"/>
    <w:rsid w:val="0044761E"/>
    <w:rsid w:val="00450FA8"/>
    <w:rsid w:val="004512FC"/>
    <w:rsid w:val="0045292E"/>
    <w:rsid w:val="0045316E"/>
    <w:rsid w:val="00455772"/>
    <w:rsid w:val="00456267"/>
    <w:rsid w:val="00456686"/>
    <w:rsid w:val="00457966"/>
    <w:rsid w:val="00457E0B"/>
    <w:rsid w:val="004603AC"/>
    <w:rsid w:val="00464FC6"/>
    <w:rsid w:val="004659C7"/>
    <w:rsid w:val="0046625F"/>
    <w:rsid w:val="004669D7"/>
    <w:rsid w:val="00466FD7"/>
    <w:rsid w:val="0046788F"/>
    <w:rsid w:val="00467974"/>
    <w:rsid w:val="00467D57"/>
    <w:rsid w:val="00471471"/>
    <w:rsid w:val="00471750"/>
    <w:rsid w:val="00472855"/>
    <w:rsid w:val="00474B55"/>
    <w:rsid w:val="004751E6"/>
    <w:rsid w:val="00475886"/>
    <w:rsid w:val="00476D23"/>
    <w:rsid w:val="004772FC"/>
    <w:rsid w:val="00477397"/>
    <w:rsid w:val="00477406"/>
    <w:rsid w:val="00477452"/>
    <w:rsid w:val="00477526"/>
    <w:rsid w:val="004821F9"/>
    <w:rsid w:val="00482272"/>
    <w:rsid w:val="00482C37"/>
    <w:rsid w:val="00482F2E"/>
    <w:rsid w:val="00483CF2"/>
    <w:rsid w:val="00484B1E"/>
    <w:rsid w:val="004874C3"/>
    <w:rsid w:val="004875C8"/>
    <w:rsid w:val="00490332"/>
    <w:rsid w:val="004904FD"/>
    <w:rsid w:val="00494CC7"/>
    <w:rsid w:val="00495B7B"/>
    <w:rsid w:val="00495F55"/>
    <w:rsid w:val="004960D1"/>
    <w:rsid w:val="00496B35"/>
    <w:rsid w:val="004A0640"/>
    <w:rsid w:val="004A09FE"/>
    <w:rsid w:val="004A0E3F"/>
    <w:rsid w:val="004A103B"/>
    <w:rsid w:val="004A25CF"/>
    <w:rsid w:val="004A38CC"/>
    <w:rsid w:val="004A3D3B"/>
    <w:rsid w:val="004A460A"/>
    <w:rsid w:val="004A6B74"/>
    <w:rsid w:val="004A7CD8"/>
    <w:rsid w:val="004B082F"/>
    <w:rsid w:val="004B1263"/>
    <w:rsid w:val="004B14EB"/>
    <w:rsid w:val="004B168F"/>
    <w:rsid w:val="004B1860"/>
    <w:rsid w:val="004B242C"/>
    <w:rsid w:val="004B31AF"/>
    <w:rsid w:val="004B3BA4"/>
    <w:rsid w:val="004B3F29"/>
    <w:rsid w:val="004B498B"/>
    <w:rsid w:val="004B49BB"/>
    <w:rsid w:val="004B4C03"/>
    <w:rsid w:val="004B58B4"/>
    <w:rsid w:val="004B5A97"/>
    <w:rsid w:val="004B65E5"/>
    <w:rsid w:val="004B6898"/>
    <w:rsid w:val="004B6F9F"/>
    <w:rsid w:val="004B7019"/>
    <w:rsid w:val="004B76B4"/>
    <w:rsid w:val="004C08BA"/>
    <w:rsid w:val="004C097F"/>
    <w:rsid w:val="004C0F10"/>
    <w:rsid w:val="004C3114"/>
    <w:rsid w:val="004C3306"/>
    <w:rsid w:val="004C38FE"/>
    <w:rsid w:val="004C3EE9"/>
    <w:rsid w:val="004C4A9A"/>
    <w:rsid w:val="004C516C"/>
    <w:rsid w:val="004C592E"/>
    <w:rsid w:val="004C7F47"/>
    <w:rsid w:val="004D02EB"/>
    <w:rsid w:val="004D05C3"/>
    <w:rsid w:val="004D2ADB"/>
    <w:rsid w:val="004D3721"/>
    <w:rsid w:val="004D5191"/>
    <w:rsid w:val="004D5566"/>
    <w:rsid w:val="004E019C"/>
    <w:rsid w:val="004E093A"/>
    <w:rsid w:val="004E0A49"/>
    <w:rsid w:val="004E1445"/>
    <w:rsid w:val="004E24EA"/>
    <w:rsid w:val="004E2FCB"/>
    <w:rsid w:val="004E3FA0"/>
    <w:rsid w:val="004E5216"/>
    <w:rsid w:val="004E57F3"/>
    <w:rsid w:val="004E5E99"/>
    <w:rsid w:val="004E5EC2"/>
    <w:rsid w:val="004E6BDF"/>
    <w:rsid w:val="004E7076"/>
    <w:rsid w:val="004E7E94"/>
    <w:rsid w:val="004F0C6D"/>
    <w:rsid w:val="004F1961"/>
    <w:rsid w:val="004F2040"/>
    <w:rsid w:val="004F317F"/>
    <w:rsid w:val="004F4426"/>
    <w:rsid w:val="005009CC"/>
    <w:rsid w:val="00501EB0"/>
    <w:rsid w:val="005052E7"/>
    <w:rsid w:val="005052FF"/>
    <w:rsid w:val="00505D27"/>
    <w:rsid w:val="005060E1"/>
    <w:rsid w:val="00506D9B"/>
    <w:rsid w:val="005072A8"/>
    <w:rsid w:val="005072B6"/>
    <w:rsid w:val="0051012D"/>
    <w:rsid w:val="005101ED"/>
    <w:rsid w:val="00510693"/>
    <w:rsid w:val="0051098E"/>
    <w:rsid w:val="005110BC"/>
    <w:rsid w:val="00511215"/>
    <w:rsid w:val="0051199F"/>
    <w:rsid w:val="00511D45"/>
    <w:rsid w:val="00512A2B"/>
    <w:rsid w:val="00512C96"/>
    <w:rsid w:val="005133D0"/>
    <w:rsid w:val="005133ED"/>
    <w:rsid w:val="00513949"/>
    <w:rsid w:val="00513B24"/>
    <w:rsid w:val="005158D2"/>
    <w:rsid w:val="00515B36"/>
    <w:rsid w:val="00515E40"/>
    <w:rsid w:val="005162FF"/>
    <w:rsid w:val="00516581"/>
    <w:rsid w:val="00517BCB"/>
    <w:rsid w:val="00522C2E"/>
    <w:rsid w:val="00523C83"/>
    <w:rsid w:val="005242C6"/>
    <w:rsid w:val="005246D8"/>
    <w:rsid w:val="005251BF"/>
    <w:rsid w:val="005259A3"/>
    <w:rsid w:val="00525E70"/>
    <w:rsid w:val="005270F4"/>
    <w:rsid w:val="00527101"/>
    <w:rsid w:val="00527DC1"/>
    <w:rsid w:val="005301A2"/>
    <w:rsid w:val="0053111B"/>
    <w:rsid w:val="00532B5F"/>
    <w:rsid w:val="00533195"/>
    <w:rsid w:val="0053334E"/>
    <w:rsid w:val="0053343C"/>
    <w:rsid w:val="00533AD9"/>
    <w:rsid w:val="00533E2C"/>
    <w:rsid w:val="00534577"/>
    <w:rsid w:val="00534B21"/>
    <w:rsid w:val="00535D10"/>
    <w:rsid w:val="00536649"/>
    <w:rsid w:val="005372F5"/>
    <w:rsid w:val="0053781D"/>
    <w:rsid w:val="005413CD"/>
    <w:rsid w:val="005414EA"/>
    <w:rsid w:val="00553642"/>
    <w:rsid w:val="00553A5C"/>
    <w:rsid w:val="00554065"/>
    <w:rsid w:val="005549F6"/>
    <w:rsid w:val="0055578A"/>
    <w:rsid w:val="00555F6F"/>
    <w:rsid w:val="0055619F"/>
    <w:rsid w:val="005569E1"/>
    <w:rsid w:val="00557121"/>
    <w:rsid w:val="00560508"/>
    <w:rsid w:val="00560526"/>
    <w:rsid w:val="005626E7"/>
    <w:rsid w:val="00562B27"/>
    <w:rsid w:val="00562FC9"/>
    <w:rsid w:val="00564126"/>
    <w:rsid w:val="0056444B"/>
    <w:rsid w:val="00564984"/>
    <w:rsid w:val="00564ADD"/>
    <w:rsid w:val="00566F65"/>
    <w:rsid w:val="005712BA"/>
    <w:rsid w:val="005714A4"/>
    <w:rsid w:val="00572382"/>
    <w:rsid w:val="005801BC"/>
    <w:rsid w:val="005822B6"/>
    <w:rsid w:val="00582415"/>
    <w:rsid w:val="0058350E"/>
    <w:rsid w:val="0058390C"/>
    <w:rsid w:val="00585959"/>
    <w:rsid w:val="00585BF7"/>
    <w:rsid w:val="00585F3E"/>
    <w:rsid w:val="005863D3"/>
    <w:rsid w:val="00591CD3"/>
    <w:rsid w:val="00592FD1"/>
    <w:rsid w:val="00594849"/>
    <w:rsid w:val="00594B72"/>
    <w:rsid w:val="00595E58"/>
    <w:rsid w:val="00596137"/>
    <w:rsid w:val="005962A7"/>
    <w:rsid w:val="005964EB"/>
    <w:rsid w:val="00596BC1"/>
    <w:rsid w:val="00597371"/>
    <w:rsid w:val="005973BE"/>
    <w:rsid w:val="005A01F0"/>
    <w:rsid w:val="005A047A"/>
    <w:rsid w:val="005A0909"/>
    <w:rsid w:val="005A0B41"/>
    <w:rsid w:val="005A0D98"/>
    <w:rsid w:val="005A3C58"/>
    <w:rsid w:val="005A3CBF"/>
    <w:rsid w:val="005A3DCC"/>
    <w:rsid w:val="005A41D8"/>
    <w:rsid w:val="005A4D35"/>
    <w:rsid w:val="005A546C"/>
    <w:rsid w:val="005A5726"/>
    <w:rsid w:val="005A5B24"/>
    <w:rsid w:val="005A5ECC"/>
    <w:rsid w:val="005A6506"/>
    <w:rsid w:val="005B0191"/>
    <w:rsid w:val="005B059E"/>
    <w:rsid w:val="005B0C86"/>
    <w:rsid w:val="005B0E11"/>
    <w:rsid w:val="005B5DF6"/>
    <w:rsid w:val="005B6B0F"/>
    <w:rsid w:val="005C0776"/>
    <w:rsid w:val="005C0F69"/>
    <w:rsid w:val="005C1380"/>
    <w:rsid w:val="005C13FB"/>
    <w:rsid w:val="005C2B52"/>
    <w:rsid w:val="005C3228"/>
    <w:rsid w:val="005C392B"/>
    <w:rsid w:val="005C3B90"/>
    <w:rsid w:val="005C4331"/>
    <w:rsid w:val="005C4DA8"/>
    <w:rsid w:val="005C5BB7"/>
    <w:rsid w:val="005C6FA5"/>
    <w:rsid w:val="005C7F03"/>
    <w:rsid w:val="005D0431"/>
    <w:rsid w:val="005D16F3"/>
    <w:rsid w:val="005D1C8B"/>
    <w:rsid w:val="005D2B57"/>
    <w:rsid w:val="005D2CF2"/>
    <w:rsid w:val="005D3703"/>
    <w:rsid w:val="005D3846"/>
    <w:rsid w:val="005D3F20"/>
    <w:rsid w:val="005D4216"/>
    <w:rsid w:val="005D4CBB"/>
    <w:rsid w:val="005D5E36"/>
    <w:rsid w:val="005D75BE"/>
    <w:rsid w:val="005D7794"/>
    <w:rsid w:val="005E165D"/>
    <w:rsid w:val="005E1FE4"/>
    <w:rsid w:val="005E20FE"/>
    <w:rsid w:val="005E24DB"/>
    <w:rsid w:val="005E4189"/>
    <w:rsid w:val="005E454A"/>
    <w:rsid w:val="005E5C7B"/>
    <w:rsid w:val="005E76BE"/>
    <w:rsid w:val="005F04B3"/>
    <w:rsid w:val="005F0803"/>
    <w:rsid w:val="005F17E5"/>
    <w:rsid w:val="005F187E"/>
    <w:rsid w:val="005F36E5"/>
    <w:rsid w:val="005F6FA9"/>
    <w:rsid w:val="00600973"/>
    <w:rsid w:val="00600A23"/>
    <w:rsid w:val="00601506"/>
    <w:rsid w:val="00601ADA"/>
    <w:rsid w:val="00603029"/>
    <w:rsid w:val="00604C38"/>
    <w:rsid w:val="00604D2A"/>
    <w:rsid w:val="00605168"/>
    <w:rsid w:val="006061EB"/>
    <w:rsid w:val="00606985"/>
    <w:rsid w:val="00607562"/>
    <w:rsid w:val="006102D6"/>
    <w:rsid w:val="0061062C"/>
    <w:rsid w:val="00611E0E"/>
    <w:rsid w:val="0061219E"/>
    <w:rsid w:val="00613319"/>
    <w:rsid w:val="006134D9"/>
    <w:rsid w:val="00613F46"/>
    <w:rsid w:val="006141CB"/>
    <w:rsid w:val="00614355"/>
    <w:rsid w:val="006143EF"/>
    <w:rsid w:val="006144D6"/>
    <w:rsid w:val="00615114"/>
    <w:rsid w:val="00615474"/>
    <w:rsid w:val="00615E9C"/>
    <w:rsid w:val="00616AB6"/>
    <w:rsid w:val="00620245"/>
    <w:rsid w:val="00621087"/>
    <w:rsid w:val="0062153A"/>
    <w:rsid w:val="00622107"/>
    <w:rsid w:val="00622650"/>
    <w:rsid w:val="00623023"/>
    <w:rsid w:val="00625160"/>
    <w:rsid w:val="0063024F"/>
    <w:rsid w:val="00630748"/>
    <w:rsid w:val="00630829"/>
    <w:rsid w:val="00630F14"/>
    <w:rsid w:val="006338A5"/>
    <w:rsid w:val="006346DA"/>
    <w:rsid w:val="00634E42"/>
    <w:rsid w:val="0063524C"/>
    <w:rsid w:val="00637543"/>
    <w:rsid w:val="006376E5"/>
    <w:rsid w:val="00641BA5"/>
    <w:rsid w:val="00642AB5"/>
    <w:rsid w:val="00642DDD"/>
    <w:rsid w:val="00643B60"/>
    <w:rsid w:val="00643C38"/>
    <w:rsid w:val="00643E24"/>
    <w:rsid w:val="00643FEF"/>
    <w:rsid w:val="00646130"/>
    <w:rsid w:val="00646AE5"/>
    <w:rsid w:val="00646C77"/>
    <w:rsid w:val="00647839"/>
    <w:rsid w:val="00650A22"/>
    <w:rsid w:val="00650E93"/>
    <w:rsid w:val="0065155D"/>
    <w:rsid w:val="0065356B"/>
    <w:rsid w:val="006539B5"/>
    <w:rsid w:val="006541E8"/>
    <w:rsid w:val="00654595"/>
    <w:rsid w:val="00655167"/>
    <w:rsid w:val="00655E3C"/>
    <w:rsid w:val="00656035"/>
    <w:rsid w:val="006568B8"/>
    <w:rsid w:val="0066033C"/>
    <w:rsid w:val="00662567"/>
    <w:rsid w:val="0066417D"/>
    <w:rsid w:val="0066477F"/>
    <w:rsid w:val="0066668A"/>
    <w:rsid w:val="0067010E"/>
    <w:rsid w:val="00670248"/>
    <w:rsid w:val="00671BA3"/>
    <w:rsid w:val="00671BD4"/>
    <w:rsid w:val="00671D5A"/>
    <w:rsid w:val="006721AB"/>
    <w:rsid w:val="00673374"/>
    <w:rsid w:val="0067429C"/>
    <w:rsid w:val="0067471C"/>
    <w:rsid w:val="00674B78"/>
    <w:rsid w:val="006755FC"/>
    <w:rsid w:val="006756FC"/>
    <w:rsid w:val="0067790D"/>
    <w:rsid w:val="0068303F"/>
    <w:rsid w:val="00683870"/>
    <w:rsid w:val="00683993"/>
    <w:rsid w:val="00684565"/>
    <w:rsid w:val="00684C65"/>
    <w:rsid w:val="00684E67"/>
    <w:rsid w:val="00685DC2"/>
    <w:rsid w:val="00685FEF"/>
    <w:rsid w:val="00687734"/>
    <w:rsid w:val="00687ABA"/>
    <w:rsid w:val="00687F67"/>
    <w:rsid w:val="00691148"/>
    <w:rsid w:val="006927D9"/>
    <w:rsid w:val="00692E2A"/>
    <w:rsid w:val="006933E7"/>
    <w:rsid w:val="00694246"/>
    <w:rsid w:val="006946C0"/>
    <w:rsid w:val="00695091"/>
    <w:rsid w:val="0069541E"/>
    <w:rsid w:val="00695615"/>
    <w:rsid w:val="006958DC"/>
    <w:rsid w:val="00696A50"/>
    <w:rsid w:val="00696DC9"/>
    <w:rsid w:val="006A1039"/>
    <w:rsid w:val="006A112E"/>
    <w:rsid w:val="006A11C6"/>
    <w:rsid w:val="006A3275"/>
    <w:rsid w:val="006A3996"/>
    <w:rsid w:val="006A438F"/>
    <w:rsid w:val="006A6E6D"/>
    <w:rsid w:val="006A7572"/>
    <w:rsid w:val="006B07BE"/>
    <w:rsid w:val="006B0834"/>
    <w:rsid w:val="006B088B"/>
    <w:rsid w:val="006B18AD"/>
    <w:rsid w:val="006B1B1D"/>
    <w:rsid w:val="006B2F65"/>
    <w:rsid w:val="006B3257"/>
    <w:rsid w:val="006B328B"/>
    <w:rsid w:val="006B3695"/>
    <w:rsid w:val="006B3B99"/>
    <w:rsid w:val="006B514C"/>
    <w:rsid w:val="006B624E"/>
    <w:rsid w:val="006B653E"/>
    <w:rsid w:val="006B65BA"/>
    <w:rsid w:val="006B6B74"/>
    <w:rsid w:val="006B6CD6"/>
    <w:rsid w:val="006B72E3"/>
    <w:rsid w:val="006B7426"/>
    <w:rsid w:val="006B77B3"/>
    <w:rsid w:val="006B7922"/>
    <w:rsid w:val="006B7CB9"/>
    <w:rsid w:val="006C0251"/>
    <w:rsid w:val="006C03DC"/>
    <w:rsid w:val="006C0555"/>
    <w:rsid w:val="006C0E08"/>
    <w:rsid w:val="006C1060"/>
    <w:rsid w:val="006C2B49"/>
    <w:rsid w:val="006C327D"/>
    <w:rsid w:val="006C3424"/>
    <w:rsid w:val="006C4387"/>
    <w:rsid w:val="006C4827"/>
    <w:rsid w:val="006C4D17"/>
    <w:rsid w:val="006C4E6E"/>
    <w:rsid w:val="006C5743"/>
    <w:rsid w:val="006C60C4"/>
    <w:rsid w:val="006C65B7"/>
    <w:rsid w:val="006C7962"/>
    <w:rsid w:val="006C7B22"/>
    <w:rsid w:val="006D0214"/>
    <w:rsid w:val="006D138E"/>
    <w:rsid w:val="006D1634"/>
    <w:rsid w:val="006D1C2C"/>
    <w:rsid w:val="006D1CFB"/>
    <w:rsid w:val="006D25CC"/>
    <w:rsid w:val="006D317B"/>
    <w:rsid w:val="006D38CF"/>
    <w:rsid w:val="006D4209"/>
    <w:rsid w:val="006D472A"/>
    <w:rsid w:val="006D48F2"/>
    <w:rsid w:val="006D4BB3"/>
    <w:rsid w:val="006D4C16"/>
    <w:rsid w:val="006D507F"/>
    <w:rsid w:val="006D55E8"/>
    <w:rsid w:val="006D56AA"/>
    <w:rsid w:val="006D5E1B"/>
    <w:rsid w:val="006D5F62"/>
    <w:rsid w:val="006D65DB"/>
    <w:rsid w:val="006D6D24"/>
    <w:rsid w:val="006D78D9"/>
    <w:rsid w:val="006E0CD8"/>
    <w:rsid w:val="006E1AE0"/>
    <w:rsid w:val="006E1EA0"/>
    <w:rsid w:val="006E3240"/>
    <w:rsid w:val="006E4139"/>
    <w:rsid w:val="006E46E3"/>
    <w:rsid w:val="006E4C33"/>
    <w:rsid w:val="006E53BA"/>
    <w:rsid w:val="006E5A87"/>
    <w:rsid w:val="006E659E"/>
    <w:rsid w:val="006E742C"/>
    <w:rsid w:val="006E7721"/>
    <w:rsid w:val="006E7FA9"/>
    <w:rsid w:val="006F0A19"/>
    <w:rsid w:val="006F1CED"/>
    <w:rsid w:val="006F369E"/>
    <w:rsid w:val="006F4743"/>
    <w:rsid w:val="006F4F8C"/>
    <w:rsid w:val="006F62AE"/>
    <w:rsid w:val="006F6701"/>
    <w:rsid w:val="006F7EE4"/>
    <w:rsid w:val="00700181"/>
    <w:rsid w:val="00700272"/>
    <w:rsid w:val="007006B2"/>
    <w:rsid w:val="00700CE9"/>
    <w:rsid w:val="00700FA0"/>
    <w:rsid w:val="00701591"/>
    <w:rsid w:val="00701FBF"/>
    <w:rsid w:val="00702195"/>
    <w:rsid w:val="00705A0C"/>
    <w:rsid w:val="00706446"/>
    <w:rsid w:val="0070698C"/>
    <w:rsid w:val="00706A46"/>
    <w:rsid w:val="00707198"/>
    <w:rsid w:val="00707573"/>
    <w:rsid w:val="00710355"/>
    <w:rsid w:val="00711CED"/>
    <w:rsid w:val="00712B20"/>
    <w:rsid w:val="00712D9B"/>
    <w:rsid w:val="00712F41"/>
    <w:rsid w:val="00714630"/>
    <w:rsid w:val="00716A2D"/>
    <w:rsid w:val="00716BCE"/>
    <w:rsid w:val="00717929"/>
    <w:rsid w:val="00720D59"/>
    <w:rsid w:val="00720E85"/>
    <w:rsid w:val="0072162C"/>
    <w:rsid w:val="00721EE9"/>
    <w:rsid w:val="0072329D"/>
    <w:rsid w:val="00723606"/>
    <w:rsid w:val="007242A7"/>
    <w:rsid w:val="00724D15"/>
    <w:rsid w:val="00724EE3"/>
    <w:rsid w:val="00725EED"/>
    <w:rsid w:val="00727F37"/>
    <w:rsid w:val="007305B6"/>
    <w:rsid w:val="00730F67"/>
    <w:rsid w:val="00731393"/>
    <w:rsid w:val="00731EB8"/>
    <w:rsid w:val="00735571"/>
    <w:rsid w:val="00735C32"/>
    <w:rsid w:val="0073657B"/>
    <w:rsid w:val="00737987"/>
    <w:rsid w:val="00737BE7"/>
    <w:rsid w:val="00740DEF"/>
    <w:rsid w:val="007410BF"/>
    <w:rsid w:val="007427C4"/>
    <w:rsid w:val="007430E1"/>
    <w:rsid w:val="00745A51"/>
    <w:rsid w:val="00746024"/>
    <w:rsid w:val="007460F3"/>
    <w:rsid w:val="007468A4"/>
    <w:rsid w:val="00746D20"/>
    <w:rsid w:val="007476FD"/>
    <w:rsid w:val="00750190"/>
    <w:rsid w:val="00750816"/>
    <w:rsid w:val="00750DA4"/>
    <w:rsid w:val="007510AE"/>
    <w:rsid w:val="00751244"/>
    <w:rsid w:val="00751694"/>
    <w:rsid w:val="007526A4"/>
    <w:rsid w:val="00753CD1"/>
    <w:rsid w:val="00754591"/>
    <w:rsid w:val="0075547C"/>
    <w:rsid w:val="007569D0"/>
    <w:rsid w:val="0075715B"/>
    <w:rsid w:val="00757BEC"/>
    <w:rsid w:val="00760788"/>
    <w:rsid w:val="00762334"/>
    <w:rsid w:val="00762B9C"/>
    <w:rsid w:val="00763421"/>
    <w:rsid w:val="00763BFF"/>
    <w:rsid w:val="007644A8"/>
    <w:rsid w:val="0076458B"/>
    <w:rsid w:val="00765A84"/>
    <w:rsid w:val="00765FB2"/>
    <w:rsid w:val="007700C6"/>
    <w:rsid w:val="007707EF"/>
    <w:rsid w:val="00772BD1"/>
    <w:rsid w:val="00773B90"/>
    <w:rsid w:val="00774610"/>
    <w:rsid w:val="007747E0"/>
    <w:rsid w:val="00774C24"/>
    <w:rsid w:val="0077615B"/>
    <w:rsid w:val="00776478"/>
    <w:rsid w:val="00776D1B"/>
    <w:rsid w:val="00776D54"/>
    <w:rsid w:val="00777C67"/>
    <w:rsid w:val="00780B86"/>
    <w:rsid w:val="0078117B"/>
    <w:rsid w:val="00782CFE"/>
    <w:rsid w:val="00782DF1"/>
    <w:rsid w:val="00784599"/>
    <w:rsid w:val="0078513B"/>
    <w:rsid w:val="00785B0B"/>
    <w:rsid w:val="007864E1"/>
    <w:rsid w:val="00786C82"/>
    <w:rsid w:val="00787AF8"/>
    <w:rsid w:val="00787DAA"/>
    <w:rsid w:val="007917AC"/>
    <w:rsid w:val="007917DD"/>
    <w:rsid w:val="00792CC8"/>
    <w:rsid w:val="007934CE"/>
    <w:rsid w:val="0079565C"/>
    <w:rsid w:val="00795D32"/>
    <w:rsid w:val="00797636"/>
    <w:rsid w:val="00797AE1"/>
    <w:rsid w:val="007A005F"/>
    <w:rsid w:val="007A03B4"/>
    <w:rsid w:val="007A1DBB"/>
    <w:rsid w:val="007A21A1"/>
    <w:rsid w:val="007A29AD"/>
    <w:rsid w:val="007A2DD3"/>
    <w:rsid w:val="007A50EA"/>
    <w:rsid w:val="007A517A"/>
    <w:rsid w:val="007A6E69"/>
    <w:rsid w:val="007B052C"/>
    <w:rsid w:val="007B07ED"/>
    <w:rsid w:val="007B13D7"/>
    <w:rsid w:val="007B173F"/>
    <w:rsid w:val="007B1B54"/>
    <w:rsid w:val="007B3440"/>
    <w:rsid w:val="007B4409"/>
    <w:rsid w:val="007B4DCF"/>
    <w:rsid w:val="007B5126"/>
    <w:rsid w:val="007B5212"/>
    <w:rsid w:val="007B5D1F"/>
    <w:rsid w:val="007B5ECC"/>
    <w:rsid w:val="007B7440"/>
    <w:rsid w:val="007B79A7"/>
    <w:rsid w:val="007C01EF"/>
    <w:rsid w:val="007C0DF2"/>
    <w:rsid w:val="007C15D0"/>
    <w:rsid w:val="007C40D3"/>
    <w:rsid w:val="007C53F7"/>
    <w:rsid w:val="007C552E"/>
    <w:rsid w:val="007C59C6"/>
    <w:rsid w:val="007C7DB6"/>
    <w:rsid w:val="007C7E33"/>
    <w:rsid w:val="007D110B"/>
    <w:rsid w:val="007D133C"/>
    <w:rsid w:val="007D2426"/>
    <w:rsid w:val="007D25F4"/>
    <w:rsid w:val="007D2B2C"/>
    <w:rsid w:val="007D2FEE"/>
    <w:rsid w:val="007D3347"/>
    <w:rsid w:val="007D3789"/>
    <w:rsid w:val="007D3E31"/>
    <w:rsid w:val="007D589F"/>
    <w:rsid w:val="007D5B4F"/>
    <w:rsid w:val="007D5DF6"/>
    <w:rsid w:val="007D5E7A"/>
    <w:rsid w:val="007D70EC"/>
    <w:rsid w:val="007E053A"/>
    <w:rsid w:val="007E128B"/>
    <w:rsid w:val="007E2AD9"/>
    <w:rsid w:val="007E38DC"/>
    <w:rsid w:val="007E49D8"/>
    <w:rsid w:val="007E4B40"/>
    <w:rsid w:val="007E5501"/>
    <w:rsid w:val="007E6665"/>
    <w:rsid w:val="007E7409"/>
    <w:rsid w:val="007E798A"/>
    <w:rsid w:val="007F0BE6"/>
    <w:rsid w:val="007F3624"/>
    <w:rsid w:val="007F3CC0"/>
    <w:rsid w:val="007F41AB"/>
    <w:rsid w:val="007F6B88"/>
    <w:rsid w:val="007F730B"/>
    <w:rsid w:val="007F7CE2"/>
    <w:rsid w:val="007F7EE9"/>
    <w:rsid w:val="008006BD"/>
    <w:rsid w:val="008008B6"/>
    <w:rsid w:val="00801BE7"/>
    <w:rsid w:val="00803A4A"/>
    <w:rsid w:val="00803CDF"/>
    <w:rsid w:val="00804246"/>
    <w:rsid w:val="00805C85"/>
    <w:rsid w:val="0081084B"/>
    <w:rsid w:val="00810A87"/>
    <w:rsid w:val="00810CBB"/>
    <w:rsid w:val="008111E1"/>
    <w:rsid w:val="00812E77"/>
    <w:rsid w:val="00813999"/>
    <w:rsid w:val="00814034"/>
    <w:rsid w:val="008152E1"/>
    <w:rsid w:val="008160AA"/>
    <w:rsid w:val="0081624F"/>
    <w:rsid w:val="00816B07"/>
    <w:rsid w:val="00817D9D"/>
    <w:rsid w:val="00817EBE"/>
    <w:rsid w:val="00821DD6"/>
    <w:rsid w:val="008221B9"/>
    <w:rsid w:val="0082241B"/>
    <w:rsid w:val="0082288C"/>
    <w:rsid w:val="008233D8"/>
    <w:rsid w:val="00823537"/>
    <w:rsid w:val="0082397A"/>
    <w:rsid w:val="00824231"/>
    <w:rsid w:val="008245CC"/>
    <w:rsid w:val="008245D5"/>
    <w:rsid w:val="008247A0"/>
    <w:rsid w:val="0082529F"/>
    <w:rsid w:val="008254CB"/>
    <w:rsid w:val="00825FDD"/>
    <w:rsid w:val="00826C9F"/>
    <w:rsid w:val="0082787D"/>
    <w:rsid w:val="00827A6D"/>
    <w:rsid w:val="008312DF"/>
    <w:rsid w:val="00835451"/>
    <w:rsid w:val="008359A0"/>
    <w:rsid w:val="008370B5"/>
    <w:rsid w:val="00837A19"/>
    <w:rsid w:val="00840077"/>
    <w:rsid w:val="008403F6"/>
    <w:rsid w:val="008404E3"/>
    <w:rsid w:val="00842CD3"/>
    <w:rsid w:val="00842DD6"/>
    <w:rsid w:val="00842DE8"/>
    <w:rsid w:val="00843482"/>
    <w:rsid w:val="00844D11"/>
    <w:rsid w:val="00844D47"/>
    <w:rsid w:val="00845604"/>
    <w:rsid w:val="00845F0E"/>
    <w:rsid w:val="00846A5F"/>
    <w:rsid w:val="0084709C"/>
    <w:rsid w:val="0084715C"/>
    <w:rsid w:val="00847D5E"/>
    <w:rsid w:val="008504A7"/>
    <w:rsid w:val="00852818"/>
    <w:rsid w:val="008544AD"/>
    <w:rsid w:val="00856489"/>
    <w:rsid w:val="00856C41"/>
    <w:rsid w:val="00857959"/>
    <w:rsid w:val="00857B29"/>
    <w:rsid w:val="00857BAE"/>
    <w:rsid w:val="00857F3D"/>
    <w:rsid w:val="00857F81"/>
    <w:rsid w:val="00860E95"/>
    <w:rsid w:val="0086250B"/>
    <w:rsid w:val="0086414A"/>
    <w:rsid w:val="00864992"/>
    <w:rsid w:val="008649EA"/>
    <w:rsid w:val="00865A5A"/>
    <w:rsid w:val="00865D59"/>
    <w:rsid w:val="00866574"/>
    <w:rsid w:val="00866CDA"/>
    <w:rsid w:val="00867D3A"/>
    <w:rsid w:val="00870A97"/>
    <w:rsid w:val="00870ADE"/>
    <w:rsid w:val="00870CFE"/>
    <w:rsid w:val="00871200"/>
    <w:rsid w:val="00871A91"/>
    <w:rsid w:val="00872C79"/>
    <w:rsid w:val="00872E6B"/>
    <w:rsid w:val="0087642B"/>
    <w:rsid w:val="0087661B"/>
    <w:rsid w:val="0087719D"/>
    <w:rsid w:val="00877530"/>
    <w:rsid w:val="00877767"/>
    <w:rsid w:val="00877C24"/>
    <w:rsid w:val="008801B0"/>
    <w:rsid w:val="0088065F"/>
    <w:rsid w:val="008809FF"/>
    <w:rsid w:val="00880B56"/>
    <w:rsid w:val="00881A0F"/>
    <w:rsid w:val="008820C9"/>
    <w:rsid w:val="0088217F"/>
    <w:rsid w:val="008827FF"/>
    <w:rsid w:val="00883155"/>
    <w:rsid w:val="008854FD"/>
    <w:rsid w:val="0088606C"/>
    <w:rsid w:val="00887000"/>
    <w:rsid w:val="008874AC"/>
    <w:rsid w:val="00887AC4"/>
    <w:rsid w:val="0089098D"/>
    <w:rsid w:val="0089236E"/>
    <w:rsid w:val="00892590"/>
    <w:rsid w:val="00892A16"/>
    <w:rsid w:val="008953BE"/>
    <w:rsid w:val="00896532"/>
    <w:rsid w:val="00896749"/>
    <w:rsid w:val="00897B8A"/>
    <w:rsid w:val="00897EE1"/>
    <w:rsid w:val="008A0DAD"/>
    <w:rsid w:val="008A255B"/>
    <w:rsid w:val="008A4BB1"/>
    <w:rsid w:val="008A5146"/>
    <w:rsid w:val="008A5D53"/>
    <w:rsid w:val="008A6002"/>
    <w:rsid w:val="008A66D3"/>
    <w:rsid w:val="008A671D"/>
    <w:rsid w:val="008A684E"/>
    <w:rsid w:val="008A75C3"/>
    <w:rsid w:val="008B077D"/>
    <w:rsid w:val="008B1F72"/>
    <w:rsid w:val="008B40FE"/>
    <w:rsid w:val="008B4CB5"/>
    <w:rsid w:val="008B5808"/>
    <w:rsid w:val="008B7A15"/>
    <w:rsid w:val="008C02DE"/>
    <w:rsid w:val="008C0656"/>
    <w:rsid w:val="008C1F54"/>
    <w:rsid w:val="008C3AEE"/>
    <w:rsid w:val="008C3DC5"/>
    <w:rsid w:val="008C3FE6"/>
    <w:rsid w:val="008C4C7E"/>
    <w:rsid w:val="008C5CE6"/>
    <w:rsid w:val="008C5F7F"/>
    <w:rsid w:val="008D0C02"/>
    <w:rsid w:val="008D0E49"/>
    <w:rsid w:val="008D1D40"/>
    <w:rsid w:val="008D2E58"/>
    <w:rsid w:val="008D2EF4"/>
    <w:rsid w:val="008D3ABC"/>
    <w:rsid w:val="008D3F8C"/>
    <w:rsid w:val="008D4179"/>
    <w:rsid w:val="008D4B47"/>
    <w:rsid w:val="008D4B64"/>
    <w:rsid w:val="008D4F17"/>
    <w:rsid w:val="008D563A"/>
    <w:rsid w:val="008D5CA1"/>
    <w:rsid w:val="008D6231"/>
    <w:rsid w:val="008D6744"/>
    <w:rsid w:val="008E0B1C"/>
    <w:rsid w:val="008E3AA9"/>
    <w:rsid w:val="008E4206"/>
    <w:rsid w:val="008E4BF6"/>
    <w:rsid w:val="008E513C"/>
    <w:rsid w:val="008E561A"/>
    <w:rsid w:val="008E5BB1"/>
    <w:rsid w:val="008E71AF"/>
    <w:rsid w:val="008E75A9"/>
    <w:rsid w:val="008E7C70"/>
    <w:rsid w:val="008E7E63"/>
    <w:rsid w:val="008F0DE0"/>
    <w:rsid w:val="008F2BD8"/>
    <w:rsid w:val="008F2D1B"/>
    <w:rsid w:val="008F35CA"/>
    <w:rsid w:val="008F49A5"/>
    <w:rsid w:val="008F4BD9"/>
    <w:rsid w:val="008F582F"/>
    <w:rsid w:val="008F5EC3"/>
    <w:rsid w:val="008F642E"/>
    <w:rsid w:val="008F6D68"/>
    <w:rsid w:val="008F74B5"/>
    <w:rsid w:val="008F7822"/>
    <w:rsid w:val="0090013A"/>
    <w:rsid w:val="009005AD"/>
    <w:rsid w:val="00900D14"/>
    <w:rsid w:val="00901246"/>
    <w:rsid w:val="009013BD"/>
    <w:rsid w:val="00901800"/>
    <w:rsid w:val="0090281F"/>
    <w:rsid w:val="00903709"/>
    <w:rsid w:val="00903815"/>
    <w:rsid w:val="00903FA6"/>
    <w:rsid w:val="0090536F"/>
    <w:rsid w:val="00905852"/>
    <w:rsid w:val="00906B97"/>
    <w:rsid w:val="00907636"/>
    <w:rsid w:val="0090770A"/>
    <w:rsid w:val="009103CA"/>
    <w:rsid w:val="009103CF"/>
    <w:rsid w:val="0091100E"/>
    <w:rsid w:val="00912A9D"/>
    <w:rsid w:val="00913817"/>
    <w:rsid w:val="00913D6A"/>
    <w:rsid w:val="0091568F"/>
    <w:rsid w:val="0091581B"/>
    <w:rsid w:val="00915AF0"/>
    <w:rsid w:val="0092005F"/>
    <w:rsid w:val="009208AA"/>
    <w:rsid w:val="0092232A"/>
    <w:rsid w:val="00922543"/>
    <w:rsid w:val="00922994"/>
    <w:rsid w:val="00922BF7"/>
    <w:rsid w:val="00924270"/>
    <w:rsid w:val="00924BC1"/>
    <w:rsid w:val="00924CA5"/>
    <w:rsid w:val="0092546F"/>
    <w:rsid w:val="00925D1E"/>
    <w:rsid w:val="009265A5"/>
    <w:rsid w:val="009267AE"/>
    <w:rsid w:val="00927350"/>
    <w:rsid w:val="00927B96"/>
    <w:rsid w:val="00927C32"/>
    <w:rsid w:val="00927DF8"/>
    <w:rsid w:val="009339C9"/>
    <w:rsid w:val="00933F39"/>
    <w:rsid w:val="0093581D"/>
    <w:rsid w:val="00935F6C"/>
    <w:rsid w:val="00944750"/>
    <w:rsid w:val="00944A04"/>
    <w:rsid w:val="00944DAB"/>
    <w:rsid w:val="00947D7E"/>
    <w:rsid w:val="00950E99"/>
    <w:rsid w:val="0095157A"/>
    <w:rsid w:val="00952208"/>
    <w:rsid w:val="00953420"/>
    <w:rsid w:val="009539CF"/>
    <w:rsid w:val="00953AFC"/>
    <w:rsid w:val="00953D08"/>
    <w:rsid w:val="00953DCF"/>
    <w:rsid w:val="00954AC2"/>
    <w:rsid w:val="00955304"/>
    <w:rsid w:val="00956384"/>
    <w:rsid w:val="0095656F"/>
    <w:rsid w:val="00956A31"/>
    <w:rsid w:val="00956BE7"/>
    <w:rsid w:val="009601D2"/>
    <w:rsid w:val="00960AAB"/>
    <w:rsid w:val="00963C54"/>
    <w:rsid w:val="0096684C"/>
    <w:rsid w:val="00972263"/>
    <w:rsid w:val="00972AF9"/>
    <w:rsid w:val="009751DB"/>
    <w:rsid w:val="00975CEA"/>
    <w:rsid w:val="00976114"/>
    <w:rsid w:val="009770CB"/>
    <w:rsid w:val="00977E2C"/>
    <w:rsid w:val="00981346"/>
    <w:rsid w:val="00981D62"/>
    <w:rsid w:val="009825B5"/>
    <w:rsid w:val="00982B11"/>
    <w:rsid w:val="00983E39"/>
    <w:rsid w:val="00984FC0"/>
    <w:rsid w:val="00985FCA"/>
    <w:rsid w:val="0098666E"/>
    <w:rsid w:val="00986BF4"/>
    <w:rsid w:val="009874A7"/>
    <w:rsid w:val="00991241"/>
    <w:rsid w:val="009916AF"/>
    <w:rsid w:val="00991C90"/>
    <w:rsid w:val="00991E59"/>
    <w:rsid w:val="00993E5E"/>
    <w:rsid w:val="00994E1B"/>
    <w:rsid w:val="00995F70"/>
    <w:rsid w:val="009966A9"/>
    <w:rsid w:val="00997158"/>
    <w:rsid w:val="00997892"/>
    <w:rsid w:val="00997C20"/>
    <w:rsid w:val="00997F50"/>
    <w:rsid w:val="009A00DE"/>
    <w:rsid w:val="009A0212"/>
    <w:rsid w:val="009A02B5"/>
    <w:rsid w:val="009A0BA6"/>
    <w:rsid w:val="009A0D53"/>
    <w:rsid w:val="009A130E"/>
    <w:rsid w:val="009A1404"/>
    <w:rsid w:val="009A1A74"/>
    <w:rsid w:val="009A1D78"/>
    <w:rsid w:val="009A3083"/>
    <w:rsid w:val="009A323B"/>
    <w:rsid w:val="009A366E"/>
    <w:rsid w:val="009A36C7"/>
    <w:rsid w:val="009A3ED1"/>
    <w:rsid w:val="009A49C7"/>
    <w:rsid w:val="009A4A45"/>
    <w:rsid w:val="009A4B75"/>
    <w:rsid w:val="009A52B3"/>
    <w:rsid w:val="009A6172"/>
    <w:rsid w:val="009A63CB"/>
    <w:rsid w:val="009A6892"/>
    <w:rsid w:val="009A7F44"/>
    <w:rsid w:val="009B039E"/>
    <w:rsid w:val="009B19FA"/>
    <w:rsid w:val="009B21F1"/>
    <w:rsid w:val="009B2B74"/>
    <w:rsid w:val="009B3F07"/>
    <w:rsid w:val="009B4D40"/>
    <w:rsid w:val="009B4E85"/>
    <w:rsid w:val="009B5265"/>
    <w:rsid w:val="009B5500"/>
    <w:rsid w:val="009B6439"/>
    <w:rsid w:val="009B68F1"/>
    <w:rsid w:val="009B7299"/>
    <w:rsid w:val="009B792A"/>
    <w:rsid w:val="009C05A0"/>
    <w:rsid w:val="009C0CAF"/>
    <w:rsid w:val="009C0DDF"/>
    <w:rsid w:val="009C0EC6"/>
    <w:rsid w:val="009C285B"/>
    <w:rsid w:val="009C2BCE"/>
    <w:rsid w:val="009C305D"/>
    <w:rsid w:val="009C4117"/>
    <w:rsid w:val="009C44CB"/>
    <w:rsid w:val="009C51B3"/>
    <w:rsid w:val="009C59C4"/>
    <w:rsid w:val="009C5A2F"/>
    <w:rsid w:val="009C6594"/>
    <w:rsid w:val="009C65D2"/>
    <w:rsid w:val="009C6933"/>
    <w:rsid w:val="009C6B02"/>
    <w:rsid w:val="009C6B7B"/>
    <w:rsid w:val="009C6D18"/>
    <w:rsid w:val="009C7B8C"/>
    <w:rsid w:val="009C7E21"/>
    <w:rsid w:val="009D0D84"/>
    <w:rsid w:val="009D1C71"/>
    <w:rsid w:val="009D22F7"/>
    <w:rsid w:val="009D3FA1"/>
    <w:rsid w:val="009D6040"/>
    <w:rsid w:val="009D6C93"/>
    <w:rsid w:val="009E28FC"/>
    <w:rsid w:val="009E29B2"/>
    <w:rsid w:val="009E370C"/>
    <w:rsid w:val="009E378F"/>
    <w:rsid w:val="009E5192"/>
    <w:rsid w:val="009E6005"/>
    <w:rsid w:val="009E61F1"/>
    <w:rsid w:val="009E646D"/>
    <w:rsid w:val="009E646E"/>
    <w:rsid w:val="009E6DF9"/>
    <w:rsid w:val="009E7C73"/>
    <w:rsid w:val="009F157C"/>
    <w:rsid w:val="009F1660"/>
    <w:rsid w:val="009F1A4E"/>
    <w:rsid w:val="009F2E1C"/>
    <w:rsid w:val="009F2F4D"/>
    <w:rsid w:val="009F34C2"/>
    <w:rsid w:val="009F37AB"/>
    <w:rsid w:val="009F4587"/>
    <w:rsid w:val="009F50AA"/>
    <w:rsid w:val="009F5DCA"/>
    <w:rsid w:val="009F6D96"/>
    <w:rsid w:val="00A00517"/>
    <w:rsid w:val="00A01140"/>
    <w:rsid w:val="00A0186A"/>
    <w:rsid w:val="00A02BC3"/>
    <w:rsid w:val="00A037AD"/>
    <w:rsid w:val="00A0448E"/>
    <w:rsid w:val="00A0494A"/>
    <w:rsid w:val="00A058BD"/>
    <w:rsid w:val="00A05D17"/>
    <w:rsid w:val="00A05E0B"/>
    <w:rsid w:val="00A07C9D"/>
    <w:rsid w:val="00A07EAD"/>
    <w:rsid w:val="00A07FE6"/>
    <w:rsid w:val="00A10070"/>
    <w:rsid w:val="00A10BD3"/>
    <w:rsid w:val="00A1155B"/>
    <w:rsid w:val="00A1195C"/>
    <w:rsid w:val="00A145BF"/>
    <w:rsid w:val="00A1555C"/>
    <w:rsid w:val="00A16299"/>
    <w:rsid w:val="00A166D1"/>
    <w:rsid w:val="00A17493"/>
    <w:rsid w:val="00A20ACA"/>
    <w:rsid w:val="00A211E1"/>
    <w:rsid w:val="00A216A9"/>
    <w:rsid w:val="00A21AB4"/>
    <w:rsid w:val="00A21E7D"/>
    <w:rsid w:val="00A22796"/>
    <w:rsid w:val="00A2499D"/>
    <w:rsid w:val="00A24B22"/>
    <w:rsid w:val="00A257C2"/>
    <w:rsid w:val="00A26B98"/>
    <w:rsid w:val="00A27C9D"/>
    <w:rsid w:val="00A306F2"/>
    <w:rsid w:val="00A30736"/>
    <w:rsid w:val="00A31794"/>
    <w:rsid w:val="00A32B52"/>
    <w:rsid w:val="00A33282"/>
    <w:rsid w:val="00A335C2"/>
    <w:rsid w:val="00A33C08"/>
    <w:rsid w:val="00A35A55"/>
    <w:rsid w:val="00A35CAF"/>
    <w:rsid w:val="00A36891"/>
    <w:rsid w:val="00A37B6C"/>
    <w:rsid w:val="00A409B5"/>
    <w:rsid w:val="00A4138B"/>
    <w:rsid w:val="00A429B7"/>
    <w:rsid w:val="00A42F42"/>
    <w:rsid w:val="00A430B0"/>
    <w:rsid w:val="00A431DD"/>
    <w:rsid w:val="00A43282"/>
    <w:rsid w:val="00A4343F"/>
    <w:rsid w:val="00A4365B"/>
    <w:rsid w:val="00A43FD2"/>
    <w:rsid w:val="00A4474A"/>
    <w:rsid w:val="00A44DCB"/>
    <w:rsid w:val="00A465C4"/>
    <w:rsid w:val="00A46E4D"/>
    <w:rsid w:val="00A475B2"/>
    <w:rsid w:val="00A500ED"/>
    <w:rsid w:val="00A500FC"/>
    <w:rsid w:val="00A50360"/>
    <w:rsid w:val="00A51646"/>
    <w:rsid w:val="00A51D4E"/>
    <w:rsid w:val="00A5276D"/>
    <w:rsid w:val="00A53B0B"/>
    <w:rsid w:val="00A54547"/>
    <w:rsid w:val="00A54D51"/>
    <w:rsid w:val="00A55D7A"/>
    <w:rsid w:val="00A566E6"/>
    <w:rsid w:val="00A5688B"/>
    <w:rsid w:val="00A56DED"/>
    <w:rsid w:val="00A571B3"/>
    <w:rsid w:val="00A576D7"/>
    <w:rsid w:val="00A578D8"/>
    <w:rsid w:val="00A57AD5"/>
    <w:rsid w:val="00A602EB"/>
    <w:rsid w:val="00A608F7"/>
    <w:rsid w:val="00A60C01"/>
    <w:rsid w:val="00A61005"/>
    <w:rsid w:val="00A6140B"/>
    <w:rsid w:val="00A673A6"/>
    <w:rsid w:val="00A67C47"/>
    <w:rsid w:val="00A71373"/>
    <w:rsid w:val="00A71655"/>
    <w:rsid w:val="00A723B1"/>
    <w:rsid w:val="00A7290C"/>
    <w:rsid w:val="00A72967"/>
    <w:rsid w:val="00A7336C"/>
    <w:rsid w:val="00A73A3E"/>
    <w:rsid w:val="00A73C75"/>
    <w:rsid w:val="00A7445B"/>
    <w:rsid w:val="00A757C4"/>
    <w:rsid w:val="00A759C1"/>
    <w:rsid w:val="00A75BC7"/>
    <w:rsid w:val="00A76B23"/>
    <w:rsid w:val="00A771F6"/>
    <w:rsid w:val="00A772FF"/>
    <w:rsid w:val="00A77E04"/>
    <w:rsid w:val="00A80169"/>
    <w:rsid w:val="00A81964"/>
    <w:rsid w:val="00A81C5C"/>
    <w:rsid w:val="00A81D65"/>
    <w:rsid w:val="00A81E87"/>
    <w:rsid w:val="00A82A6E"/>
    <w:rsid w:val="00A82ECD"/>
    <w:rsid w:val="00A83973"/>
    <w:rsid w:val="00A83EFB"/>
    <w:rsid w:val="00A84BCF"/>
    <w:rsid w:val="00A8576B"/>
    <w:rsid w:val="00A859E9"/>
    <w:rsid w:val="00A86486"/>
    <w:rsid w:val="00A87D1E"/>
    <w:rsid w:val="00A90186"/>
    <w:rsid w:val="00A90BB0"/>
    <w:rsid w:val="00A91316"/>
    <w:rsid w:val="00A918B9"/>
    <w:rsid w:val="00A92DCA"/>
    <w:rsid w:val="00A94A77"/>
    <w:rsid w:val="00A94F8C"/>
    <w:rsid w:val="00A95292"/>
    <w:rsid w:val="00A95E83"/>
    <w:rsid w:val="00A97402"/>
    <w:rsid w:val="00AA074C"/>
    <w:rsid w:val="00AA1086"/>
    <w:rsid w:val="00AA12E3"/>
    <w:rsid w:val="00AA159B"/>
    <w:rsid w:val="00AA197D"/>
    <w:rsid w:val="00AA2E80"/>
    <w:rsid w:val="00AA49C3"/>
    <w:rsid w:val="00AA4B36"/>
    <w:rsid w:val="00AA6418"/>
    <w:rsid w:val="00AA676B"/>
    <w:rsid w:val="00AA6B3B"/>
    <w:rsid w:val="00AA72F1"/>
    <w:rsid w:val="00AA7418"/>
    <w:rsid w:val="00AA7528"/>
    <w:rsid w:val="00AA76F6"/>
    <w:rsid w:val="00AB0A37"/>
    <w:rsid w:val="00AB1E66"/>
    <w:rsid w:val="00AB244F"/>
    <w:rsid w:val="00AB2547"/>
    <w:rsid w:val="00AB39CB"/>
    <w:rsid w:val="00AB3FFE"/>
    <w:rsid w:val="00AB4A62"/>
    <w:rsid w:val="00AB4B50"/>
    <w:rsid w:val="00AB5877"/>
    <w:rsid w:val="00AB6BF1"/>
    <w:rsid w:val="00AB6E49"/>
    <w:rsid w:val="00AC02FA"/>
    <w:rsid w:val="00AC1D6C"/>
    <w:rsid w:val="00AC2D2E"/>
    <w:rsid w:val="00AC3365"/>
    <w:rsid w:val="00AC4267"/>
    <w:rsid w:val="00AC47B2"/>
    <w:rsid w:val="00AC5508"/>
    <w:rsid w:val="00AC5A6B"/>
    <w:rsid w:val="00AC62CB"/>
    <w:rsid w:val="00AC6336"/>
    <w:rsid w:val="00AC6557"/>
    <w:rsid w:val="00AC6E06"/>
    <w:rsid w:val="00AC7480"/>
    <w:rsid w:val="00AD0EEC"/>
    <w:rsid w:val="00AD1117"/>
    <w:rsid w:val="00AD2807"/>
    <w:rsid w:val="00AD2BBB"/>
    <w:rsid w:val="00AD39DF"/>
    <w:rsid w:val="00AD402B"/>
    <w:rsid w:val="00AD5BF4"/>
    <w:rsid w:val="00AD6624"/>
    <w:rsid w:val="00AE03AC"/>
    <w:rsid w:val="00AE0697"/>
    <w:rsid w:val="00AE08FB"/>
    <w:rsid w:val="00AE0D2F"/>
    <w:rsid w:val="00AE0EF3"/>
    <w:rsid w:val="00AE1177"/>
    <w:rsid w:val="00AE2CDA"/>
    <w:rsid w:val="00AE35EB"/>
    <w:rsid w:val="00AE5E34"/>
    <w:rsid w:val="00AE6316"/>
    <w:rsid w:val="00AE74D6"/>
    <w:rsid w:val="00AE788D"/>
    <w:rsid w:val="00AF004B"/>
    <w:rsid w:val="00AF0D98"/>
    <w:rsid w:val="00AF2209"/>
    <w:rsid w:val="00AF35DA"/>
    <w:rsid w:val="00AF38EF"/>
    <w:rsid w:val="00AF3D01"/>
    <w:rsid w:val="00AF61EF"/>
    <w:rsid w:val="00AF6A7B"/>
    <w:rsid w:val="00B004F4"/>
    <w:rsid w:val="00B01FD9"/>
    <w:rsid w:val="00B02777"/>
    <w:rsid w:val="00B02E45"/>
    <w:rsid w:val="00B06680"/>
    <w:rsid w:val="00B06AE4"/>
    <w:rsid w:val="00B07383"/>
    <w:rsid w:val="00B100FA"/>
    <w:rsid w:val="00B11AB9"/>
    <w:rsid w:val="00B12720"/>
    <w:rsid w:val="00B14BA4"/>
    <w:rsid w:val="00B15196"/>
    <w:rsid w:val="00B1536A"/>
    <w:rsid w:val="00B157E0"/>
    <w:rsid w:val="00B16317"/>
    <w:rsid w:val="00B16415"/>
    <w:rsid w:val="00B211DB"/>
    <w:rsid w:val="00B214B2"/>
    <w:rsid w:val="00B22DD2"/>
    <w:rsid w:val="00B2370C"/>
    <w:rsid w:val="00B27029"/>
    <w:rsid w:val="00B273A9"/>
    <w:rsid w:val="00B2757C"/>
    <w:rsid w:val="00B31A3C"/>
    <w:rsid w:val="00B31F88"/>
    <w:rsid w:val="00B32CF6"/>
    <w:rsid w:val="00B339C0"/>
    <w:rsid w:val="00B3455C"/>
    <w:rsid w:val="00B346B4"/>
    <w:rsid w:val="00B34B3B"/>
    <w:rsid w:val="00B34BD7"/>
    <w:rsid w:val="00B3557E"/>
    <w:rsid w:val="00B36E0C"/>
    <w:rsid w:val="00B37C89"/>
    <w:rsid w:val="00B37FC2"/>
    <w:rsid w:val="00B41C4F"/>
    <w:rsid w:val="00B42A3B"/>
    <w:rsid w:val="00B43989"/>
    <w:rsid w:val="00B4420D"/>
    <w:rsid w:val="00B45214"/>
    <w:rsid w:val="00B453EC"/>
    <w:rsid w:val="00B467E0"/>
    <w:rsid w:val="00B46B99"/>
    <w:rsid w:val="00B46E3D"/>
    <w:rsid w:val="00B470CB"/>
    <w:rsid w:val="00B472AF"/>
    <w:rsid w:val="00B47B83"/>
    <w:rsid w:val="00B47E8B"/>
    <w:rsid w:val="00B50168"/>
    <w:rsid w:val="00B5059A"/>
    <w:rsid w:val="00B51093"/>
    <w:rsid w:val="00B51740"/>
    <w:rsid w:val="00B51F2F"/>
    <w:rsid w:val="00B521C4"/>
    <w:rsid w:val="00B5317A"/>
    <w:rsid w:val="00B53592"/>
    <w:rsid w:val="00B5398F"/>
    <w:rsid w:val="00B54ABE"/>
    <w:rsid w:val="00B55B78"/>
    <w:rsid w:val="00B566CB"/>
    <w:rsid w:val="00B61259"/>
    <w:rsid w:val="00B612E7"/>
    <w:rsid w:val="00B6230A"/>
    <w:rsid w:val="00B6238E"/>
    <w:rsid w:val="00B62434"/>
    <w:rsid w:val="00B63548"/>
    <w:rsid w:val="00B639BA"/>
    <w:rsid w:val="00B642D2"/>
    <w:rsid w:val="00B64DD8"/>
    <w:rsid w:val="00B654DD"/>
    <w:rsid w:val="00B658A6"/>
    <w:rsid w:val="00B66267"/>
    <w:rsid w:val="00B66678"/>
    <w:rsid w:val="00B677AA"/>
    <w:rsid w:val="00B70349"/>
    <w:rsid w:val="00B712F8"/>
    <w:rsid w:val="00B718A9"/>
    <w:rsid w:val="00B731B2"/>
    <w:rsid w:val="00B742F2"/>
    <w:rsid w:val="00B74891"/>
    <w:rsid w:val="00B753A4"/>
    <w:rsid w:val="00B758BD"/>
    <w:rsid w:val="00B759A9"/>
    <w:rsid w:val="00B7633C"/>
    <w:rsid w:val="00B764D0"/>
    <w:rsid w:val="00B76755"/>
    <w:rsid w:val="00B76972"/>
    <w:rsid w:val="00B8044E"/>
    <w:rsid w:val="00B80975"/>
    <w:rsid w:val="00B80B8F"/>
    <w:rsid w:val="00B81602"/>
    <w:rsid w:val="00B82C2B"/>
    <w:rsid w:val="00B8386D"/>
    <w:rsid w:val="00B83B6E"/>
    <w:rsid w:val="00B84B51"/>
    <w:rsid w:val="00B85F54"/>
    <w:rsid w:val="00B8615D"/>
    <w:rsid w:val="00B86350"/>
    <w:rsid w:val="00B87545"/>
    <w:rsid w:val="00B878F3"/>
    <w:rsid w:val="00B879A3"/>
    <w:rsid w:val="00B9111C"/>
    <w:rsid w:val="00B91926"/>
    <w:rsid w:val="00B93179"/>
    <w:rsid w:val="00B93F1F"/>
    <w:rsid w:val="00B943CC"/>
    <w:rsid w:val="00B949C0"/>
    <w:rsid w:val="00B952B2"/>
    <w:rsid w:val="00B957F9"/>
    <w:rsid w:val="00B96ED7"/>
    <w:rsid w:val="00B97243"/>
    <w:rsid w:val="00B973B4"/>
    <w:rsid w:val="00B97D70"/>
    <w:rsid w:val="00BA06B8"/>
    <w:rsid w:val="00BA0EB3"/>
    <w:rsid w:val="00BA224A"/>
    <w:rsid w:val="00BA26B8"/>
    <w:rsid w:val="00BA3008"/>
    <w:rsid w:val="00BA32C4"/>
    <w:rsid w:val="00BA3CB9"/>
    <w:rsid w:val="00BA4673"/>
    <w:rsid w:val="00BA4B1D"/>
    <w:rsid w:val="00BA718F"/>
    <w:rsid w:val="00BA7E8B"/>
    <w:rsid w:val="00BB0917"/>
    <w:rsid w:val="00BB0CCC"/>
    <w:rsid w:val="00BB1442"/>
    <w:rsid w:val="00BB24A4"/>
    <w:rsid w:val="00BB2ED7"/>
    <w:rsid w:val="00BB3DA5"/>
    <w:rsid w:val="00BB4173"/>
    <w:rsid w:val="00BB440F"/>
    <w:rsid w:val="00BB5067"/>
    <w:rsid w:val="00BB6B82"/>
    <w:rsid w:val="00BB7C91"/>
    <w:rsid w:val="00BC093A"/>
    <w:rsid w:val="00BC11C9"/>
    <w:rsid w:val="00BC23DB"/>
    <w:rsid w:val="00BC36F3"/>
    <w:rsid w:val="00BC386E"/>
    <w:rsid w:val="00BC5F2C"/>
    <w:rsid w:val="00BC68F0"/>
    <w:rsid w:val="00BC6954"/>
    <w:rsid w:val="00BC714C"/>
    <w:rsid w:val="00BC716B"/>
    <w:rsid w:val="00BC735A"/>
    <w:rsid w:val="00BD0667"/>
    <w:rsid w:val="00BD0E5A"/>
    <w:rsid w:val="00BD1C8D"/>
    <w:rsid w:val="00BD27CC"/>
    <w:rsid w:val="00BD44DC"/>
    <w:rsid w:val="00BD49C5"/>
    <w:rsid w:val="00BD624B"/>
    <w:rsid w:val="00BD654C"/>
    <w:rsid w:val="00BD6DAB"/>
    <w:rsid w:val="00BD71B7"/>
    <w:rsid w:val="00BD74A2"/>
    <w:rsid w:val="00BD7F00"/>
    <w:rsid w:val="00BE14EB"/>
    <w:rsid w:val="00BE1639"/>
    <w:rsid w:val="00BE1AB1"/>
    <w:rsid w:val="00BE1C75"/>
    <w:rsid w:val="00BE2C82"/>
    <w:rsid w:val="00BE3208"/>
    <w:rsid w:val="00BE4CB6"/>
    <w:rsid w:val="00BE5515"/>
    <w:rsid w:val="00BE622E"/>
    <w:rsid w:val="00BE677F"/>
    <w:rsid w:val="00BE741E"/>
    <w:rsid w:val="00BF0F9A"/>
    <w:rsid w:val="00BF1C0B"/>
    <w:rsid w:val="00BF1F29"/>
    <w:rsid w:val="00BF203B"/>
    <w:rsid w:val="00BF23F2"/>
    <w:rsid w:val="00BF3A88"/>
    <w:rsid w:val="00BF412D"/>
    <w:rsid w:val="00BF510E"/>
    <w:rsid w:val="00BF5213"/>
    <w:rsid w:val="00BF5D90"/>
    <w:rsid w:val="00BF66C5"/>
    <w:rsid w:val="00BF7EF9"/>
    <w:rsid w:val="00C00067"/>
    <w:rsid w:val="00C01CFC"/>
    <w:rsid w:val="00C02ED4"/>
    <w:rsid w:val="00C02F69"/>
    <w:rsid w:val="00C037A5"/>
    <w:rsid w:val="00C0581F"/>
    <w:rsid w:val="00C070DA"/>
    <w:rsid w:val="00C1088A"/>
    <w:rsid w:val="00C1099E"/>
    <w:rsid w:val="00C10B5E"/>
    <w:rsid w:val="00C12643"/>
    <w:rsid w:val="00C128FB"/>
    <w:rsid w:val="00C12A4D"/>
    <w:rsid w:val="00C14326"/>
    <w:rsid w:val="00C1453F"/>
    <w:rsid w:val="00C1646F"/>
    <w:rsid w:val="00C16968"/>
    <w:rsid w:val="00C2039E"/>
    <w:rsid w:val="00C20E7C"/>
    <w:rsid w:val="00C22590"/>
    <w:rsid w:val="00C22BE5"/>
    <w:rsid w:val="00C22F3F"/>
    <w:rsid w:val="00C23F8C"/>
    <w:rsid w:val="00C249FE"/>
    <w:rsid w:val="00C257FA"/>
    <w:rsid w:val="00C26A1C"/>
    <w:rsid w:val="00C26DB6"/>
    <w:rsid w:val="00C2764C"/>
    <w:rsid w:val="00C27DE9"/>
    <w:rsid w:val="00C30662"/>
    <w:rsid w:val="00C30D0E"/>
    <w:rsid w:val="00C32B4F"/>
    <w:rsid w:val="00C32CEB"/>
    <w:rsid w:val="00C3329F"/>
    <w:rsid w:val="00C33968"/>
    <w:rsid w:val="00C34CA7"/>
    <w:rsid w:val="00C3652C"/>
    <w:rsid w:val="00C36CE1"/>
    <w:rsid w:val="00C3786E"/>
    <w:rsid w:val="00C37D09"/>
    <w:rsid w:val="00C400A9"/>
    <w:rsid w:val="00C405D5"/>
    <w:rsid w:val="00C41EF7"/>
    <w:rsid w:val="00C434B6"/>
    <w:rsid w:val="00C44818"/>
    <w:rsid w:val="00C453B7"/>
    <w:rsid w:val="00C47A27"/>
    <w:rsid w:val="00C50696"/>
    <w:rsid w:val="00C50B2E"/>
    <w:rsid w:val="00C51987"/>
    <w:rsid w:val="00C51A0F"/>
    <w:rsid w:val="00C52560"/>
    <w:rsid w:val="00C529AE"/>
    <w:rsid w:val="00C52CB1"/>
    <w:rsid w:val="00C52FB1"/>
    <w:rsid w:val="00C5376F"/>
    <w:rsid w:val="00C53AC7"/>
    <w:rsid w:val="00C57979"/>
    <w:rsid w:val="00C57B07"/>
    <w:rsid w:val="00C60044"/>
    <w:rsid w:val="00C607D0"/>
    <w:rsid w:val="00C6165A"/>
    <w:rsid w:val="00C61A00"/>
    <w:rsid w:val="00C63416"/>
    <w:rsid w:val="00C63975"/>
    <w:rsid w:val="00C64DD4"/>
    <w:rsid w:val="00C67645"/>
    <w:rsid w:val="00C67FCC"/>
    <w:rsid w:val="00C67FF1"/>
    <w:rsid w:val="00C70340"/>
    <w:rsid w:val="00C70AC7"/>
    <w:rsid w:val="00C72D59"/>
    <w:rsid w:val="00C7358B"/>
    <w:rsid w:val="00C74F02"/>
    <w:rsid w:val="00C7543E"/>
    <w:rsid w:val="00C75EA1"/>
    <w:rsid w:val="00C76795"/>
    <w:rsid w:val="00C77DDD"/>
    <w:rsid w:val="00C8261F"/>
    <w:rsid w:val="00C826C9"/>
    <w:rsid w:val="00C832F6"/>
    <w:rsid w:val="00C83FFC"/>
    <w:rsid w:val="00C84658"/>
    <w:rsid w:val="00C84837"/>
    <w:rsid w:val="00C84AE9"/>
    <w:rsid w:val="00C85054"/>
    <w:rsid w:val="00C859AB"/>
    <w:rsid w:val="00C85E5C"/>
    <w:rsid w:val="00C876D7"/>
    <w:rsid w:val="00C911FA"/>
    <w:rsid w:val="00C915D5"/>
    <w:rsid w:val="00C92560"/>
    <w:rsid w:val="00C92B29"/>
    <w:rsid w:val="00C93552"/>
    <w:rsid w:val="00C93673"/>
    <w:rsid w:val="00C94897"/>
    <w:rsid w:val="00C94FCA"/>
    <w:rsid w:val="00C960D7"/>
    <w:rsid w:val="00C964A8"/>
    <w:rsid w:val="00C96B9D"/>
    <w:rsid w:val="00C97E3B"/>
    <w:rsid w:val="00CA02EF"/>
    <w:rsid w:val="00CA24F5"/>
    <w:rsid w:val="00CA3284"/>
    <w:rsid w:val="00CA32C1"/>
    <w:rsid w:val="00CA3D7D"/>
    <w:rsid w:val="00CA4914"/>
    <w:rsid w:val="00CA4FAB"/>
    <w:rsid w:val="00CA6943"/>
    <w:rsid w:val="00CA6FB1"/>
    <w:rsid w:val="00CA7851"/>
    <w:rsid w:val="00CB13A9"/>
    <w:rsid w:val="00CB34D8"/>
    <w:rsid w:val="00CB34EC"/>
    <w:rsid w:val="00CB4672"/>
    <w:rsid w:val="00CB5589"/>
    <w:rsid w:val="00CB5999"/>
    <w:rsid w:val="00CB6C8D"/>
    <w:rsid w:val="00CC02C4"/>
    <w:rsid w:val="00CC0E4D"/>
    <w:rsid w:val="00CC1ACE"/>
    <w:rsid w:val="00CC1AD3"/>
    <w:rsid w:val="00CC20F3"/>
    <w:rsid w:val="00CC26F0"/>
    <w:rsid w:val="00CC2FC0"/>
    <w:rsid w:val="00CC49A0"/>
    <w:rsid w:val="00CC5805"/>
    <w:rsid w:val="00CC5DB1"/>
    <w:rsid w:val="00CC71EC"/>
    <w:rsid w:val="00CC72F9"/>
    <w:rsid w:val="00CC76D7"/>
    <w:rsid w:val="00CC7FA4"/>
    <w:rsid w:val="00CD0832"/>
    <w:rsid w:val="00CD0AF6"/>
    <w:rsid w:val="00CD0CB6"/>
    <w:rsid w:val="00CD2BAB"/>
    <w:rsid w:val="00CD2F60"/>
    <w:rsid w:val="00CD3102"/>
    <w:rsid w:val="00CD3C97"/>
    <w:rsid w:val="00CD3CFD"/>
    <w:rsid w:val="00CD3ECD"/>
    <w:rsid w:val="00CD3F52"/>
    <w:rsid w:val="00CD4559"/>
    <w:rsid w:val="00CD49B3"/>
    <w:rsid w:val="00CD503D"/>
    <w:rsid w:val="00CD543C"/>
    <w:rsid w:val="00CD667C"/>
    <w:rsid w:val="00CD6ED3"/>
    <w:rsid w:val="00CD726F"/>
    <w:rsid w:val="00CD7857"/>
    <w:rsid w:val="00CD79DE"/>
    <w:rsid w:val="00CE01C2"/>
    <w:rsid w:val="00CE0F74"/>
    <w:rsid w:val="00CE35CB"/>
    <w:rsid w:val="00CE38C7"/>
    <w:rsid w:val="00CE60C0"/>
    <w:rsid w:val="00CE70FF"/>
    <w:rsid w:val="00CE732C"/>
    <w:rsid w:val="00CE768F"/>
    <w:rsid w:val="00CE7B58"/>
    <w:rsid w:val="00CF14A5"/>
    <w:rsid w:val="00CF2172"/>
    <w:rsid w:val="00CF2378"/>
    <w:rsid w:val="00CF270B"/>
    <w:rsid w:val="00CF2C43"/>
    <w:rsid w:val="00CF5603"/>
    <w:rsid w:val="00CF6AA5"/>
    <w:rsid w:val="00CF7FF6"/>
    <w:rsid w:val="00D00A44"/>
    <w:rsid w:val="00D01282"/>
    <w:rsid w:val="00D01A2C"/>
    <w:rsid w:val="00D02EBA"/>
    <w:rsid w:val="00D032A1"/>
    <w:rsid w:val="00D032A5"/>
    <w:rsid w:val="00D03316"/>
    <w:rsid w:val="00D03EE3"/>
    <w:rsid w:val="00D04B2B"/>
    <w:rsid w:val="00D05E1C"/>
    <w:rsid w:val="00D05E34"/>
    <w:rsid w:val="00D1087E"/>
    <w:rsid w:val="00D11748"/>
    <w:rsid w:val="00D11F7F"/>
    <w:rsid w:val="00D12EF1"/>
    <w:rsid w:val="00D13151"/>
    <w:rsid w:val="00D1413B"/>
    <w:rsid w:val="00D14B50"/>
    <w:rsid w:val="00D1679C"/>
    <w:rsid w:val="00D16CE2"/>
    <w:rsid w:val="00D170BD"/>
    <w:rsid w:val="00D17903"/>
    <w:rsid w:val="00D203C3"/>
    <w:rsid w:val="00D20939"/>
    <w:rsid w:val="00D209EC"/>
    <w:rsid w:val="00D215AD"/>
    <w:rsid w:val="00D21F67"/>
    <w:rsid w:val="00D234E7"/>
    <w:rsid w:val="00D23EB1"/>
    <w:rsid w:val="00D24541"/>
    <w:rsid w:val="00D24DBA"/>
    <w:rsid w:val="00D25D75"/>
    <w:rsid w:val="00D26E4C"/>
    <w:rsid w:val="00D31110"/>
    <w:rsid w:val="00D3252A"/>
    <w:rsid w:val="00D337D7"/>
    <w:rsid w:val="00D359BE"/>
    <w:rsid w:val="00D36711"/>
    <w:rsid w:val="00D36C1D"/>
    <w:rsid w:val="00D374FA"/>
    <w:rsid w:val="00D37CE3"/>
    <w:rsid w:val="00D40E25"/>
    <w:rsid w:val="00D42952"/>
    <w:rsid w:val="00D432F9"/>
    <w:rsid w:val="00D43FE6"/>
    <w:rsid w:val="00D44984"/>
    <w:rsid w:val="00D45577"/>
    <w:rsid w:val="00D45FFB"/>
    <w:rsid w:val="00D47179"/>
    <w:rsid w:val="00D472BE"/>
    <w:rsid w:val="00D50086"/>
    <w:rsid w:val="00D505AD"/>
    <w:rsid w:val="00D50F74"/>
    <w:rsid w:val="00D5252F"/>
    <w:rsid w:val="00D52620"/>
    <w:rsid w:val="00D52EEE"/>
    <w:rsid w:val="00D532E6"/>
    <w:rsid w:val="00D5378E"/>
    <w:rsid w:val="00D545D0"/>
    <w:rsid w:val="00D5473E"/>
    <w:rsid w:val="00D54C2E"/>
    <w:rsid w:val="00D55C9E"/>
    <w:rsid w:val="00D56C14"/>
    <w:rsid w:val="00D5748F"/>
    <w:rsid w:val="00D57B4F"/>
    <w:rsid w:val="00D6012B"/>
    <w:rsid w:val="00D61A96"/>
    <w:rsid w:val="00D61DB4"/>
    <w:rsid w:val="00D63793"/>
    <w:rsid w:val="00D63C33"/>
    <w:rsid w:val="00D6515F"/>
    <w:rsid w:val="00D6516C"/>
    <w:rsid w:val="00D6594F"/>
    <w:rsid w:val="00D65E86"/>
    <w:rsid w:val="00D65FEB"/>
    <w:rsid w:val="00D66DD1"/>
    <w:rsid w:val="00D70419"/>
    <w:rsid w:val="00D70680"/>
    <w:rsid w:val="00D72132"/>
    <w:rsid w:val="00D72B02"/>
    <w:rsid w:val="00D72EB1"/>
    <w:rsid w:val="00D73457"/>
    <w:rsid w:val="00D74258"/>
    <w:rsid w:val="00D75407"/>
    <w:rsid w:val="00D76DE8"/>
    <w:rsid w:val="00D8003C"/>
    <w:rsid w:val="00D80154"/>
    <w:rsid w:val="00D808AF"/>
    <w:rsid w:val="00D80907"/>
    <w:rsid w:val="00D80C2C"/>
    <w:rsid w:val="00D81AB5"/>
    <w:rsid w:val="00D81FBD"/>
    <w:rsid w:val="00D833AC"/>
    <w:rsid w:val="00D83EFA"/>
    <w:rsid w:val="00D859CD"/>
    <w:rsid w:val="00D85EC3"/>
    <w:rsid w:val="00D86D7F"/>
    <w:rsid w:val="00D87068"/>
    <w:rsid w:val="00D8739E"/>
    <w:rsid w:val="00D87444"/>
    <w:rsid w:val="00D90F2A"/>
    <w:rsid w:val="00D91463"/>
    <w:rsid w:val="00D92775"/>
    <w:rsid w:val="00D92E70"/>
    <w:rsid w:val="00D930E2"/>
    <w:rsid w:val="00D9321C"/>
    <w:rsid w:val="00D93281"/>
    <w:rsid w:val="00D9333F"/>
    <w:rsid w:val="00D9551A"/>
    <w:rsid w:val="00D96A47"/>
    <w:rsid w:val="00D96C2D"/>
    <w:rsid w:val="00DA00ED"/>
    <w:rsid w:val="00DA1D07"/>
    <w:rsid w:val="00DA1FE8"/>
    <w:rsid w:val="00DA4264"/>
    <w:rsid w:val="00DA4979"/>
    <w:rsid w:val="00DA5C0C"/>
    <w:rsid w:val="00DA6FA8"/>
    <w:rsid w:val="00DA7E72"/>
    <w:rsid w:val="00DB0495"/>
    <w:rsid w:val="00DB0CEB"/>
    <w:rsid w:val="00DB1954"/>
    <w:rsid w:val="00DB233B"/>
    <w:rsid w:val="00DB2608"/>
    <w:rsid w:val="00DB32A9"/>
    <w:rsid w:val="00DB4B66"/>
    <w:rsid w:val="00DB4D49"/>
    <w:rsid w:val="00DB5835"/>
    <w:rsid w:val="00DB5DC1"/>
    <w:rsid w:val="00DB7963"/>
    <w:rsid w:val="00DC09E4"/>
    <w:rsid w:val="00DC0F3F"/>
    <w:rsid w:val="00DC1044"/>
    <w:rsid w:val="00DC23E3"/>
    <w:rsid w:val="00DC242B"/>
    <w:rsid w:val="00DC3C67"/>
    <w:rsid w:val="00DC3CEA"/>
    <w:rsid w:val="00DC462F"/>
    <w:rsid w:val="00DC4F14"/>
    <w:rsid w:val="00DC5168"/>
    <w:rsid w:val="00DC5E7E"/>
    <w:rsid w:val="00DC5F94"/>
    <w:rsid w:val="00DC605D"/>
    <w:rsid w:val="00DC61EF"/>
    <w:rsid w:val="00DC6989"/>
    <w:rsid w:val="00DC7088"/>
    <w:rsid w:val="00DD0AF5"/>
    <w:rsid w:val="00DD32E8"/>
    <w:rsid w:val="00DD3729"/>
    <w:rsid w:val="00DD3CF5"/>
    <w:rsid w:val="00DD4D06"/>
    <w:rsid w:val="00DD51B4"/>
    <w:rsid w:val="00DD5272"/>
    <w:rsid w:val="00DD5633"/>
    <w:rsid w:val="00DD5745"/>
    <w:rsid w:val="00DE15BE"/>
    <w:rsid w:val="00DE189B"/>
    <w:rsid w:val="00DE2F39"/>
    <w:rsid w:val="00DE4085"/>
    <w:rsid w:val="00DE5AF0"/>
    <w:rsid w:val="00DF0D3E"/>
    <w:rsid w:val="00DF271D"/>
    <w:rsid w:val="00DF5678"/>
    <w:rsid w:val="00DF6761"/>
    <w:rsid w:val="00E00196"/>
    <w:rsid w:val="00E001D3"/>
    <w:rsid w:val="00E00EBF"/>
    <w:rsid w:val="00E0272E"/>
    <w:rsid w:val="00E02D5D"/>
    <w:rsid w:val="00E0325D"/>
    <w:rsid w:val="00E0525A"/>
    <w:rsid w:val="00E06034"/>
    <w:rsid w:val="00E060AD"/>
    <w:rsid w:val="00E06453"/>
    <w:rsid w:val="00E0646D"/>
    <w:rsid w:val="00E06A7D"/>
    <w:rsid w:val="00E06BC4"/>
    <w:rsid w:val="00E070DC"/>
    <w:rsid w:val="00E07304"/>
    <w:rsid w:val="00E11D5C"/>
    <w:rsid w:val="00E12DF2"/>
    <w:rsid w:val="00E138A2"/>
    <w:rsid w:val="00E13C89"/>
    <w:rsid w:val="00E15AED"/>
    <w:rsid w:val="00E15FD9"/>
    <w:rsid w:val="00E17BCA"/>
    <w:rsid w:val="00E17EE0"/>
    <w:rsid w:val="00E20D7B"/>
    <w:rsid w:val="00E218B2"/>
    <w:rsid w:val="00E22578"/>
    <w:rsid w:val="00E23E66"/>
    <w:rsid w:val="00E23FE8"/>
    <w:rsid w:val="00E252F8"/>
    <w:rsid w:val="00E259F5"/>
    <w:rsid w:val="00E26167"/>
    <w:rsid w:val="00E266E7"/>
    <w:rsid w:val="00E266FA"/>
    <w:rsid w:val="00E269F2"/>
    <w:rsid w:val="00E26FC9"/>
    <w:rsid w:val="00E27A00"/>
    <w:rsid w:val="00E3073F"/>
    <w:rsid w:val="00E31265"/>
    <w:rsid w:val="00E31C2F"/>
    <w:rsid w:val="00E3324A"/>
    <w:rsid w:val="00E3407F"/>
    <w:rsid w:val="00E34161"/>
    <w:rsid w:val="00E34226"/>
    <w:rsid w:val="00E34591"/>
    <w:rsid w:val="00E3649B"/>
    <w:rsid w:val="00E36D74"/>
    <w:rsid w:val="00E4015D"/>
    <w:rsid w:val="00E41B00"/>
    <w:rsid w:val="00E42F74"/>
    <w:rsid w:val="00E430D2"/>
    <w:rsid w:val="00E43364"/>
    <w:rsid w:val="00E43842"/>
    <w:rsid w:val="00E447D7"/>
    <w:rsid w:val="00E44907"/>
    <w:rsid w:val="00E44C16"/>
    <w:rsid w:val="00E468A6"/>
    <w:rsid w:val="00E46D06"/>
    <w:rsid w:val="00E473E0"/>
    <w:rsid w:val="00E4766A"/>
    <w:rsid w:val="00E47C17"/>
    <w:rsid w:val="00E50CF7"/>
    <w:rsid w:val="00E526E8"/>
    <w:rsid w:val="00E5393D"/>
    <w:rsid w:val="00E53A9D"/>
    <w:rsid w:val="00E5534D"/>
    <w:rsid w:val="00E558D3"/>
    <w:rsid w:val="00E56540"/>
    <w:rsid w:val="00E56994"/>
    <w:rsid w:val="00E5735D"/>
    <w:rsid w:val="00E60335"/>
    <w:rsid w:val="00E60660"/>
    <w:rsid w:val="00E61036"/>
    <w:rsid w:val="00E62629"/>
    <w:rsid w:val="00E627B6"/>
    <w:rsid w:val="00E629CD"/>
    <w:rsid w:val="00E62F89"/>
    <w:rsid w:val="00E65B4F"/>
    <w:rsid w:val="00E65EA6"/>
    <w:rsid w:val="00E6626C"/>
    <w:rsid w:val="00E667F6"/>
    <w:rsid w:val="00E70995"/>
    <w:rsid w:val="00E714DD"/>
    <w:rsid w:val="00E7152B"/>
    <w:rsid w:val="00E71E2F"/>
    <w:rsid w:val="00E725CB"/>
    <w:rsid w:val="00E729BB"/>
    <w:rsid w:val="00E73933"/>
    <w:rsid w:val="00E73B30"/>
    <w:rsid w:val="00E73F06"/>
    <w:rsid w:val="00E75AD0"/>
    <w:rsid w:val="00E75BC5"/>
    <w:rsid w:val="00E75F56"/>
    <w:rsid w:val="00E75FF7"/>
    <w:rsid w:val="00E76671"/>
    <w:rsid w:val="00E76B06"/>
    <w:rsid w:val="00E771D1"/>
    <w:rsid w:val="00E77379"/>
    <w:rsid w:val="00E77654"/>
    <w:rsid w:val="00E77CFF"/>
    <w:rsid w:val="00E815E0"/>
    <w:rsid w:val="00E81ED1"/>
    <w:rsid w:val="00E82263"/>
    <w:rsid w:val="00E8260C"/>
    <w:rsid w:val="00E82650"/>
    <w:rsid w:val="00E82B4C"/>
    <w:rsid w:val="00E82F83"/>
    <w:rsid w:val="00E83513"/>
    <w:rsid w:val="00E8352B"/>
    <w:rsid w:val="00E8356A"/>
    <w:rsid w:val="00E85CB2"/>
    <w:rsid w:val="00E86E5A"/>
    <w:rsid w:val="00E90FE8"/>
    <w:rsid w:val="00E91845"/>
    <w:rsid w:val="00E921CC"/>
    <w:rsid w:val="00E93FFC"/>
    <w:rsid w:val="00E95569"/>
    <w:rsid w:val="00E95B54"/>
    <w:rsid w:val="00EA068D"/>
    <w:rsid w:val="00EA1F94"/>
    <w:rsid w:val="00EA23FF"/>
    <w:rsid w:val="00EA39FE"/>
    <w:rsid w:val="00EA4C3D"/>
    <w:rsid w:val="00EA66C7"/>
    <w:rsid w:val="00EA6C1C"/>
    <w:rsid w:val="00EA71AC"/>
    <w:rsid w:val="00EB1D52"/>
    <w:rsid w:val="00EB2389"/>
    <w:rsid w:val="00EB2F39"/>
    <w:rsid w:val="00EB40D4"/>
    <w:rsid w:val="00EB63F6"/>
    <w:rsid w:val="00EB65CC"/>
    <w:rsid w:val="00EB6D92"/>
    <w:rsid w:val="00EB6FFF"/>
    <w:rsid w:val="00EB7D80"/>
    <w:rsid w:val="00EC011F"/>
    <w:rsid w:val="00EC081D"/>
    <w:rsid w:val="00EC109B"/>
    <w:rsid w:val="00EC2236"/>
    <w:rsid w:val="00EC35EF"/>
    <w:rsid w:val="00EC460E"/>
    <w:rsid w:val="00EC47E6"/>
    <w:rsid w:val="00EC47EC"/>
    <w:rsid w:val="00EC5768"/>
    <w:rsid w:val="00EC59E0"/>
    <w:rsid w:val="00ED0AAB"/>
    <w:rsid w:val="00ED1190"/>
    <w:rsid w:val="00ED1B84"/>
    <w:rsid w:val="00ED21D7"/>
    <w:rsid w:val="00ED2E96"/>
    <w:rsid w:val="00ED39B2"/>
    <w:rsid w:val="00ED7159"/>
    <w:rsid w:val="00EE0179"/>
    <w:rsid w:val="00EE110E"/>
    <w:rsid w:val="00EE141E"/>
    <w:rsid w:val="00EE21AD"/>
    <w:rsid w:val="00EE240B"/>
    <w:rsid w:val="00EE2A9B"/>
    <w:rsid w:val="00EE36FC"/>
    <w:rsid w:val="00EE399C"/>
    <w:rsid w:val="00EE4C2F"/>
    <w:rsid w:val="00EE4F44"/>
    <w:rsid w:val="00EE5D4D"/>
    <w:rsid w:val="00EE5D81"/>
    <w:rsid w:val="00EE6089"/>
    <w:rsid w:val="00EE6D0E"/>
    <w:rsid w:val="00EF013B"/>
    <w:rsid w:val="00EF082D"/>
    <w:rsid w:val="00EF248B"/>
    <w:rsid w:val="00EF48CC"/>
    <w:rsid w:val="00EF4CBC"/>
    <w:rsid w:val="00EF5087"/>
    <w:rsid w:val="00EF5592"/>
    <w:rsid w:val="00EF5AFA"/>
    <w:rsid w:val="00EF6B74"/>
    <w:rsid w:val="00F00832"/>
    <w:rsid w:val="00F00F15"/>
    <w:rsid w:val="00F00F1C"/>
    <w:rsid w:val="00F0112F"/>
    <w:rsid w:val="00F02046"/>
    <w:rsid w:val="00F023C7"/>
    <w:rsid w:val="00F03635"/>
    <w:rsid w:val="00F038FF"/>
    <w:rsid w:val="00F03BE3"/>
    <w:rsid w:val="00F042EC"/>
    <w:rsid w:val="00F043E7"/>
    <w:rsid w:val="00F05B09"/>
    <w:rsid w:val="00F05D87"/>
    <w:rsid w:val="00F07758"/>
    <w:rsid w:val="00F07809"/>
    <w:rsid w:val="00F078AA"/>
    <w:rsid w:val="00F125FD"/>
    <w:rsid w:val="00F13B21"/>
    <w:rsid w:val="00F13D03"/>
    <w:rsid w:val="00F145F3"/>
    <w:rsid w:val="00F14BB3"/>
    <w:rsid w:val="00F14C75"/>
    <w:rsid w:val="00F151DA"/>
    <w:rsid w:val="00F16558"/>
    <w:rsid w:val="00F1685C"/>
    <w:rsid w:val="00F16EE8"/>
    <w:rsid w:val="00F209FE"/>
    <w:rsid w:val="00F222FF"/>
    <w:rsid w:val="00F231AA"/>
    <w:rsid w:val="00F23F37"/>
    <w:rsid w:val="00F24797"/>
    <w:rsid w:val="00F247A7"/>
    <w:rsid w:val="00F2486C"/>
    <w:rsid w:val="00F25B2A"/>
    <w:rsid w:val="00F25B46"/>
    <w:rsid w:val="00F265D0"/>
    <w:rsid w:val="00F26702"/>
    <w:rsid w:val="00F2690B"/>
    <w:rsid w:val="00F27CD4"/>
    <w:rsid w:val="00F310DD"/>
    <w:rsid w:val="00F31295"/>
    <w:rsid w:val="00F31E96"/>
    <w:rsid w:val="00F3220F"/>
    <w:rsid w:val="00F326E8"/>
    <w:rsid w:val="00F335DE"/>
    <w:rsid w:val="00F33923"/>
    <w:rsid w:val="00F33C54"/>
    <w:rsid w:val="00F35677"/>
    <w:rsid w:val="00F35926"/>
    <w:rsid w:val="00F35933"/>
    <w:rsid w:val="00F36443"/>
    <w:rsid w:val="00F36714"/>
    <w:rsid w:val="00F37B8E"/>
    <w:rsid w:val="00F37DC8"/>
    <w:rsid w:val="00F37DD2"/>
    <w:rsid w:val="00F404FF"/>
    <w:rsid w:val="00F41574"/>
    <w:rsid w:val="00F4297D"/>
    <w:rsid w:val="00F436C4"/>
    <w:rsid w:val="00F44A2B"/>
    <w:rsid w:val="00F44BDD"/>
    <w:rsid w:val="00F4754D"/>
    <w:rsid w:val="00F47C1A"/>
    <w:rsid w:val="00F52357"/>
    <w:rsid w:val="00F53C0D"/>
    <w:rsid w:val="00F53D34"/>
    <w:rsid w:val="00F54630"/>
    <w:rsid w:val="00F60227"/>
    <w:rsid w:val="00F6082D"/>
    <w:rsid w:val="00F635A7"/>
    <w:rsid w:val="00F63F63"/>
    <w:rsid w:val="00F64B72"/>
    <w:rsid w:val="00F64BFF"/>
    <w:rsid w:val="00F66B87"/>
    <w:rsid w:val="00F70130"/>
    <w:rsid w:val="00F71815"/>
    <w:rsid w:val="00F729A4"/>
    <w:rsid w:val="00F72D29"/>
    <w:rsid w:val="00F73082"/>
    <w:rsid w:val="00F735BE"/>
    <w:rsid w:val="00F748F0"/>
    <w:rsid w:val="00F75921"/>
    <w:rsid w:val="00F75931"/>
    <w:rsid w:val="00F75F27"/>
    <w:rsid w:val="00F7724F"/>
    <w:rsid w:val="00F776ED"/>
    <w:rsid w:val="00F77EBF"/>
    <w:rsid w:val="00F80017"/>
    <w:rsid w:val="00F808E9"/>
    <w:rsid w:val="00F81E8C"/>
    <w:rsid w:val="00F83B0E"/>
    <w:rsid w:val="00F83B72"/>
    <w:rsid w:val="00F83E59"/>
    <w:rsid w:val="00F84776"/>
    <w:rsid w:val="00F84FF7"/>
    <w:rsid w:val="00F85670"/>
    <w:rsid w:val="00F8655E"/>
    <w:rsid w:val="00F871D8"/>
    <w:rsid w:val="00F92212"/>
    <w:rsid w:val="00F9243C"/>
    <w:rsid w:val="00F92A9C"/>
    <w:rsid w:val="00F93B39"/>
    <w:rsid w:val="00F93DB3"/>
    <w:rsid w:val="00F953B0"/>
    <w:rsid w:val="00F968E3"/>
    <w:rsid w:val="00F9775E"/>
    <w:rsid w:val="00FA019D"/>
    <w:rsid w:val="00FA08A4"/>
    <w:rsid w:val="00FA14AF"/>
    <w:rsid w:val="00FA1AC8"/>
    <w:rsid w:val="00FA2902"/>
    <w:rsid w:val="00FA3327"/>
    <w:rsid w:val="00FA3B2D"/>
    <w:rsid w:val="00FA65AC"/>
    <w:rsid w:val="00FA7E90"/>
    <w:rsid w:val="00FB00E7"/>
    <w:rsid w:val="00FB01EA"/>
    <w:rsid w:val="00FB05EC"/>
    <w:rsid w:val="00FB14AC"/>
    <w:rsid w:val="00FB22B1"/>
    <w:rsid w:val="00FB288C"/>
    <w:rsid w:val="00FB301D"/>
    <w:rsid w:val="00FB46BA"/>
    <w:rsid w:val="00FB48A8"/>
    <w:rsid w:val="00FB5D6C"/>
    <w:rsid w:val="00FB6597"/>
    <w:rsid w:val="00FB6B81"/>
    <w:rsid w:val="00FB7EC8"/>
    <w:rsid w:val="00FC02E9"/>
    <w:rsid w:val="00FC0A10"/>
    <w:rsid w:val="00FC14E8"/>
    <w:rsid w:val="00FC2479"/>
    <w:rsid w:val="00FC375C"/>
    <w:rsid w:val="00FC45A5"/>
    <w:rsid w:val="00FC532E"/>
    <w:rsid w:val="00FC538C"/>
    <w:rsid w:val="00FC5EDD"/>
    <w:rsid w:val="00FD08E7"/>
    <w:rsid w:val="00FD12FD"/>
    <w:rsid w:val="00FD1AAA"/>
    <w:rsid w:val="00FD1C5E"/>
    <w:rsid w:val="00FD2226"/>
    <w:rsid w:val="00FD2ED4"/>
    <w:rsid w:val="00FD45D9"/>
    <w:rsid w:val="00FD6754"/>
    <w:rsid w:val="00FD7E82"/>
    <w:rsid w:val="00FE057A"/>
    <w:rsid w:val="00FE0598"/>
    <w:rsid w:val="00FE124E"/>
    <w:rsid w:val="00FE136C"/>
    <w:rsid w:val="00FE1415"/>
    <w:rsid w:val="00FE2544"/>
    <w:rsid w:val="00FE5831"/>
    <w:rsid w:val="00FE5FBF"/>
    <w:rsid w:val="00FE63FA"/>
    <w:rsid w:val="00FE7F97"/>
    <w:rsid w:val="00FF0F8C"/>
    <w:rsid w:val="00FF0FDC"/>
    <w:rsid w:val="00FF14DC"/>
    <w:rsid w:val="00FF2A1F"/>
    <w:rsid w:val="00FF4940"/>
    <w:rsid w:val="00FF5BD3"/>
    <w:rsid w:val="00FF5FFB"/>
    <w:rsid w:val="00FF6D36"/>
    <w:rsid w:val="00FF7CFE"/>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547965"/>
  <w15:docId w15:val="{5FD8ABFC-9DA4-4043-A4AF-B69445F8A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6A2"/>
    <w:pPr>
      <w:jc w:val="both"/>
    </w:pPr>
    <w:rPr>
      <w:rFonts w:eastAsia="Times New Roman"/>
      <w:sz w:val="24"/>
      <w:szCs w:val="24"/>
      <w:lang w:eastAsia="en-US"/>
    </w:rPr>
  </w:style>
  <w:style w:type="paragraph" w:styleId="Ttulo1">
    <w:name w:val="heading 1"/>
    <w:basedOn w:val="Normal"/>
    <w:next w:val="Normal"/>
    <w:link w:val="Ttulo1Car"/>
    <w:qFormat/>
    <w:locked/>
    <w:rsid w:val="00692E2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semiHidden/>
    <w:unhideWhenUsed/>
    <w:qFormat/>
    <w:locked/>
    <w:rsid w:val="0041527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9"/>
    <w:qFormat/>
    <w:locked/>
    <w:rsid w:val="009B6439"/>
    <w:pPr>
      <w:spacing w:before="100" w:beforeAutospacing="1" w:after="100" w:afterAutospacing="1"/>
      <w:jc w:val="left"/>
      <w:outlineLvl w:val="2"/>
    </w:pPr>
    <w:rPr>
      <w:rFonts w:ascii="Cambria" w:hAnsi="Cambria" w:cs="Times New Roman"/>
      <w:b/>
      <w:bCs/>
      <w:sz w:val="26"/>
      <w:szCs w:val="26"/>
    </w:rPr>
  </w:style>
  <w:style w:type="paragraph" w:styleId="Ttulo4">
    <w:name w:val="heading 4"/>
    <w:basedOn w:val="Normal"/>
    <w:next w:val="Normal"/>
    <w:link w:val="Ttulo4Car"/>
    <w:semiHidden/>
    <w:unhideWhenUsed/>
    <w:qFormat/>
    <w:locked/>
    <w:rsid w:val="00ED39B2"/>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semiHidden/>
    <w:unhideWhenUsed/>
    <w:qFormat/>
    <w:locked/>
    <w:rsid w:val="00ED39B2"/>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9"/>
    <w:semiHidden/>
    <w:locked/>
    <w:rsid w:val="00765A84"/>
    <w:rPr>
      <w:rFonts w:ascii="Cambria" w:hAnsi="Cambria" w:cs="Times New Roman"/>
      <w:b/>
      <w:sz w:val="26"/>
      <w:lang w:eastAsia="en-US"/>
    </w:rPr>
  </w:style>
  <w:style w:type="paragraph" w:styleId="Ttulo">
    <w:name w:val="Title"/>
    <w:basedOn w:val="Normal"/>
    <w:next w:val="Subttulo"/>
    <w:link w:val="TtuloCar"/>
    <w:qFormat/>
    <w:rsid w:val="00F83E59"/>
    <w:pPr>
      <w:suppressAutoHyphens/>
      <w:jc w:val="center"/>
    </w:pPr>
    <w:rPr>
      <w:b/>
      <w:i/>
      <w:kern w:val="1"/>
      <w:sz w:val="20"/>
      <w:szCs w:val="20"/>
      <w:lang w:eastAsia="ar-SA"/>
    </w:rPr>
  </w:style>
  <w:style w:type="character" w:customStyle="1" w:styleId="TtuloCar">
    <w:name w:val="Título Car"/>
    <w:basedOn w:val="Fuentedeprrafopredeter"/>
    <w:link w:val="Ttulo"/>
    <w:uiPriority w:val="99"/>
    <w:locked/>
    <w:rsid w:val="00F83E59"/>
    <w:rPr>
      <w:rFonts w:eastAsia="Times New Roman" w:cs="Times New Roman"/>
      <w:b/>
      <w:i/>
      <w:kern w:val="1"/>
      <w:sz w:val="20"/>
      <w:lang w:eastAsia="ar-SA" w:bidi="ar-SA"/>
    </w:rPr>
  </w:style>
  <w:style w:type="paragraph" w:styleId="Subttulo">
    <w:name w:val="Subtitle"/>
    <w:basedOn w:val="Normal"/>
    <w:next w:val="Normal"/>
    <w:link w:val="SubttuloCar"/>
    <w:uiPriority w:val="99"/>
    <w:qFormat/>
    <w:rsid w:val="00F83E59"/>
    <w:pPr>
      <w:numPr>
        <w:ilvl w:val="1"/>
      </w:numPr>
    </w:pPr>
    <w:rPr>
      <w:rFonts w:ascii="Cambria" w:eastAsia="Calibri" w:hAnsi="Cambria" w:cs="Times New Roman"/>
      <w:i/>
      <w:color w:val="4F81BD"/>
      <w:spacing w:val="15"/>
      <w:sz w:val="20"/>
      <w:szCs w:val="20"/>
      <w:lang w:eastAsia="es-ES"/>
    </w:rPr>
  </w:style>
  <w:style w:type="character" w:customStyle="1" w:styleId="SubttuloCar">
    <w:name w:val="Subtítulo Car"/>
    <w:basedOn w:val="Fuentedeprrafopredeter"/>
    <w:link w:val="Subttulo"/>
    <w:uiPriority w:val="99"/>
    <w:locked/>
    <w:rsid w:val="00F83E59"/>
    <w:rPr>
      <w:rFonts w:ascii="Cambria" w:hAnsi="Cambria" w:cs="Times New Roman"/>
      <w:i/>
      <w:color w:val="4F81BD"/>
      <w:spacing w:val="15"/>
    </w:rPr>
  </w:style>
  <w:style w:type="paragraph" w:styleId="Textoindependiente">
    <w:name w:val="Body Text"/>
    <w:basedOn w:val="Normal"/>
    <w:link w:val="TextoindependienteCar"/>
    <w:uiPriority w:val="99"/>
    <w:rsid w:val="00533E2C"/>
    <w:pPr>
      <w:suppressAutoHyphens/>
      <w:spacing w:after="120"/>
    </w:pPr>
    <w:rPr>
      <w:rFonts w:eastAsia="SimSun"/>
      <w:kern w:val="1"/>
      <w:sz w:val="20"/>
      <w:szCs w:val="20"/>
      <w:lang w:eastAsia="ar-SA"/>
    </w:rPr>
  </w:style>
  <w:style w:type="character" w:customStyle="1" w:styleId="TextoindependienteCar">
    <w:name w:val="Texto independiente Car"/>
    <w:basedOn w:val="Fuentedeprrafopredeter"/>
    <w:link w:val="Textoindependiente"/>
    <w:uiPriority w:val="99"/>
    <w:locked/>
    <w:rsid w:val="00533E2C"/>
    <w:rPr>
      <w:rFonts w:eastAsia="SimSun" w:cs="Times New Roman"/>
      <w:kern w:val="1"/>
      <w:lang w:eastAsia="ar-SA" w:bidi="ar-SA"/>
    </w:rPr>
  </w:style>
  <w:style w:type="paragraph" w:styleId="Textodeglobo">
    <w:name w:val="Balloon Text"/>
    <w:basedOn w:val="Normal"/>
    <w:link w:val="TextodegloboCar"/>
    <w:uiPriority w:val="99"/>
    <w:semiHidden/>
    <w:rsid w:val="00284A4A"/>
    <w:rPr>
      <w:rFonts w:ascii="Tahoma" w:eastAsia="Calibri" w:hAnsi="Tahoma" w:cs="Times New Roman"/>
      <w:sz w:val="16"/>
      <w:szCs w:val="20"/>
      <w:lang w:eastAsia="es-ES"/>
    </w:rPr>
  </w:style>
  <w:style w:type="character" w:customStyle="1" w:styleId="TextodegloboCar">
    <w:name w:val="Texto de globo Car"/>
    <w:basedOn w:val="Fuentedeprrafopredeter"/>
    <w:link w:val="Textodeglobo"/>
    <w:uiPriority w:val="99"/>
    <w:semiHidden/>
    <w:locked/>
    <w:rsid w:val="00284A4A"/>
    <w:rPr>
      <w:rFonts w:ascii="Tahoma" w:hAnsi="Tahoma" w:cs="Times New Roman"/>
      <w:sz w:val="16"/>
    </w:rPr>
  </w:style>
  <w:style w:type="paragraph" w:styleId="Piedepgina">
    <w:name w:val="footer"/>
    <w:basedOn w:val="Normal"/>
    <w:link w:val="PiedepginaCar"/>
    <w:uiPriority w:val="99"/>
    <w:rsid w:val="009B6439"/>
    <w:pPr>
      <w:tabs>
        <w:tab w:val="center" w:pos="4252"/>
        <w:tab w:val="right" w:pos="8504"/>
      </w:tabs>
    </w:pPr>
    <w:rPr>
      <w:rFonts w:cs="Times New Roman"/>
    </w:rPr>
  </w:style>
  <w:style w:type="character" w:customStyle="1" w:styleId="PiedepginaCar">
    <w:name w:val="Pie de página Car"/>
    <w:basedOn w:val="Fuentedeprrafopredeter"/>
    <w:link w:val="Piedepgina"/>
    <w:uiPriority w:val="99"/>
    <w:locked/>
    <w:rsid w:val="00765A84"/>
    <w:rPr>
      <w:rFonts w:eastAsia="Times New Roman" w:cs="Times New Roman"/>
      <w:sz w:val="24"/>
      <w:lang w:eastAsia="en-US"/>
    </w:rPr>
  </w:style>
  <w:style w:type="character" w:styleId="Nmerodepgina">
    <w:name w:val="page number"/>
    <w:basedOn w:val="Fuentedeprrafopredeter"/>
    <w:uiPriority w:val="99"/>
    <w:rsid w:val="009B6439"/>
    <w:rPr>
      <w:rFonts w:cs="Times New Roman"/>
    </w:rPr>
  </w:style>
  <w:style w:type="character" w:customStyle="1" w:styleId="td-post-datetd-post-date-no-dot">
    <w:name w:val="td-post-date td-post-date-no-dot"/>
    <w:uiPriority w:val="99"/>
    <w:rsid w:val="009B6439"/>
  </w:style>
  <w:style w:type="paragraph" w:styleId="NormalWeb">
    <w:name w:val="Normal (Web)"/>
    <w:basedOn w:val="Normal"/>
    <w:uiPriority w:val="99"/>
    <w:rsid w:val="00EC59E0"/>
    <w:pPr>
      <w:spacing w:before="100" w:beforeAutospacing="1" w:after="100" w:afterAutospacing="1"/>
      <w:jc w:val="left"/>
    </w:pPr>
    <w:rPr>
      <w:rFonts w:ascii="Times New Roman" w:eastAsia="Calibri" w:hAnsi="Times New Roman" w:cs="Times New Roman"/>
      <w:lang w:eastAsia="es-ES"/>
    </w:rPr>
  </w:style>
  <w:style w:type="table" w:styleId="Tablaconcuadrcula">
    <w:name w:val="Table Grid"/>
    <w:basedOn w:val="Tablanormal"/>
    <w:unhideWhenUsed/>
    <w:locked/>
    <w:rsid w:val="006461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468A4"/>
    <w:rPr>
      <w:color w:val="0000FF" w:themeColor="hyperlink"/>
      <w:u w:val="single"/>
    </w:rPr>
  </w:style>
  <w:style w:type="character" w:styleId="Mencinsinresolver">
    <w:name w:val="Unresolved Mention"/>
    <w:basedOn w:val="Fuentedeprrafopredeter"/>
    <w:uiPriority w:val="99"/>
    <w:semiHidden/>
    <w:unhideWhenUsed/>
    <w:rsid w:val="007468A4"/>
    <w:rPr>
      <w:color w:val="605E5C"/>
      <w:shd w:val="clear" w:color="auto" w:fill="E1DFDD"/>
    </w:rPr>
  </w:style>
  <w:style w:type="paragraph" w:styleId="Prrafodelista">
    <w:name w:val="List Paragraph"/>
    <w:basedOn w:val="Normal"/>
    <w:uiPriority w:val="34"/>
    <w:qFormat/>
    <w:rsid w:val="00EA71AC"/>
    <w:pPr>
      <w:ind w:left="720"/>
      <w:contextualSpacing/>
    </w:pPr>
  </w:style>
  <w:style w:type="character" w:customStyle="1" w:styleId="Ttulo2Car">
    <w:name w:val="Título 2 Car"/>
    <w:basedOn w:val="Fuentedeprrafopredeter"/>
    <w:link w:val="Ttulo2"/>
    <w:semiHidden/>
    <w:rsid w:val="00415275"/>
    <w:rPr>
      <w:rFonts w:asciiTheme="majorHAnsi" w:eastAsiaTheme="majorEastAsia" w:hAnsiTheme="majorHAnsi" w:cstheme="majorBidi"/>
      <w:color w:val="365F91" w:themeColor="accent1" w:themeShade="BF"/>
      <w:sz w:val="26"/>
      <w:szCs w:val="26"/>
      <w:lang w:eastAsia="en-US"/>
    </w:rPr>
  </w:style>
  <w:style w:type="paragraph" w:styleId="Encabezado">
    <w:name w:val="header"/>
    <w:basedOn w:val="Normal"/>
    <w:link w:val="EncabezadoCar"/>
    <w:uiPriority w:val="99"/>
    <w:unhideWhenUsed/>
    <w:rsid w:val="000F009D"/>
    <w:pPr>
      <w:tabs>
        <w:tab w:val="center" w:pos="4252"/>
        <w:tab w:val="right" w:pos="8504"/>
      </w:tabs>
    </w:pPr>
  </w:style>
  <w:style w:type="character" w:customStyle="1" w:styleId="EncabezadoCar">
    <w:name w:val="Encabezado Car"/>
    <w:basedOn w:val="Fuentedeprrafopredeter"/>
    <w:link w:val="Encabezado"/>
    <w:uiPriority w:val="99"/>
    <w:rsid w:val="000F009D"/>
    <w:rPr>
      <w:rFonts w:eastAsia="Times New Roman"/>
      <w:sz w:val="24"/>
      <w:szCs w:val="24"/>
      <w:lang w:eastAsia="en-US"/>
    </w:rPr>
  </w:style>
  <w:style w:type="character" w:styleId="Refdecomentario">
    <w:name w:val="annotation reference"/>
    <w:basedOn w:val="Fuentedeprrafopredeter"/>
    <w:uiPriority w:val="99"/>
    <w:semiHidden/>
    <w:unhideWhenUsed/>
    <w:rsid w:val="009A1404"/>
    <w:rPr>
      <w:sz w:val="16"/>
      <w:szCs w:val="16"/>
    </w:rPr>
  </w:style>
  <w:style w:type="paragraph" w:styleId="Textocomentario">
    <w:name w:val="annotation text"/>
    <w:basedOn w:val="Normal"/>
    <w:link w:val="TextocomentarioCar"/>
    <w:uiPriority w:val="99"/>
    <w:semiHidden/>
    <w:unhideWhenUsed/>
    <w:rsid w:val="009A1404"/>
    <w:rPr>
      <w:sz w:val="20"/>
      <w:szCs w:val="20"/>
    </w:rPr>
  </w:style>
  <w:style w:type="character" w:customStyle="1" w:styleId="TextocomentarioCar">
    <w:name w:val="Texto comentario Car"/>
    <w:basedOn w:val="Fuentedeprrafopredeter"/>
    <w:link w:val="Textocomentario"/>
    <w:uiPriority w:val="99"/>
    <w:semiHidden/>
    <w:rsid w:val="009A1404"/>
    <w:rPr>
      <w:rFonts w:eastAsia="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9A1404"/>
    <w:rPr>
      <w:b/>
      <w:bCs/>
    </w:rPr>
  </w:style>
  <w:style w:type="character" w:customStyle="1" w:styleId="AsuntodelcomentarioCar">
    <w:name w:val="Asunto del comentario Car"/>
    <w:basedOn w:val="TextocomentarioCar"/>
    <w:link w:val="Asuntodelcomentario"/>
    <w:uiPriority w:val="99"/>
    <w:semiHidden/>
    <w:rsid w:val="009A1404"/>
    <w:rPr>
      <w:rFonts w:eastAsia="Times New Roman"/>
      <w:b/>
      <w:bCs/>
      <w:sz w:val="20"/>
      <w:szCs w:val="20"/>
      <w:lang w:eastAsia="en-US"/>
    </w:rPr>
  </w:style>
  <w:style w:type="character" w:customStyle="1" w:styleId="Ttulo1Car">
    <w:name w:val="Título 1 Car"/>
    <w:basedOn w:val="Fuentedeprrafopredeter"/>
    <w:link w:val="Ttulo1"/>
    <w:rsid w:val="00692E2A"/>
    <w:rPr>
      <w:rFonts w:asciiTheme="majorHAnsi" w:eastAsiaTheme="majorEastAsia" w:hAnsiTheme="majorHAnsi" w:cstheme="majorBidi"/>
      <w:color w:val="365F91" w:themeColor="accent1" w:themeShade="BF"/>
      <w:sz w:val="32"/>
      <w:szCs w:val="32"/>
      <w:lang w:eastAsia="en-US"/>
    </w:rPr>
  </w:style>
  <w:style w:type="character" w:styleId="Hipervnculovisitado">
    <w:name w:val="FollowedHyperlink"/>
    <w:basedOn w:val="Fuentedeprrafopredeter"/>
    <w:uiPriority w:val="99"/>
    <w:semiHidden/>
    <w:unhideWhenUsed/>
    <w:rsid w:val="001418A2"/>
    <w:rPr>
      <w:color w:val="800080" w:themeColor="followedHyperlink"/>
      <w:u w:val="single"/>
    </w:rPr>
  </w:style>
  <w:style w:type="character" w:customStyle="1" w:styleId="Ttulo5Car">
    <w:name w:val="Título 5 Car"/>
    <w:basedOn w:val="Fuentedeprrafopredeter"/>
    <w:link w:val="Ttulo5"/>
    <w:semiHidden/>
    <w:rsid w:val="00ED39B2"/>
    <w:rPr>
      <w:rFonts w:asciiTheme="majorHAnsi" w:eastAsiaTheme="majorEastAsia" w:hAnsiTheme="majorHAnsi" w:cstheme="majorBidi"/>
      <w:color w:val="365F91" w:themeColor="accent1" w:themeShade="BF"/>
      <w:sz w:val="24"/>
      <w:szCs w:val="24"/>
      <w:lang w:eastAsia="en-US"/>
    </w:rPr>
  </w:style>
  <w:style w:type="character" w:customStyle="1" w:styleId="Ttulo4Car">
    <w:name w:val="Título 4 Car"/>
    <w:basedOn w:val="Fuentedeprrafopredeter"/>
    <w:link w:val="Ttulo4"/>
    <w:semiHidden/>
    <w:rsid w:val="00ED39B2"/>
    <w:rPr>
      <w:rFonts w:asciiTheme="majorHAnsi" w:eastAsiaTheme="majorEastAsia" w:hAnsiTheme="majorHAnsi" w:cstheme="majorBidi"/>
      <w:i/>
      <w:iCs/>
      <w:color w:val="365F91" w:themeColor="accent1" w:themeShade="BF"/>
      <w:sz w:val="24"/>
      <w:szCs w:val="24"/>
      <w:lang w:eastAsia="en-US"/>
    </w:rPr>
  </w:style>
  <w:style w:type="character" w:styleId="Fuerte">
    <w:name w:val="Strong"/>
    <w:basedOn w:val="Fuentedeprrafopredeter"/>
    <w:uiPriority w:val="22"/>
    <w:qFormat/>
    <w:locked/>
    <w:rsid w:val="004D05C3"/>
    <w:rPr>
      <w:b/>
      <w:bCs/>
    </w:rPr>
  </w:style>
  <w:style w:type="paragraph" w:customStyle="1" w:styleId="Default">
    <w:name w:val="Default"/>
    <w:rsid w:val="00BD74A2"/>
    <w:pPr>
      <w:autoSpaceDE w:val="0"/>
      <w:autoSpaceDN w:val="0"/>
      <w:adjustRightInd w:val="0"/>
    </w:pPr>
    <w:rPr>
      <w:color w:val="000000"/>
      <w:sz w:val="24"/>
      <w:szCs w:val="24"/>
    </w:rPr>
  </w:style>
  <w:style w:type="table" w:customStyle="1" w:styleId="Tablaconcuadrcula1">
    <w:name w:val="Tabla con cuadrícula1"/>
    <w:basedOn w:val="Tablanormal"/>
    <w:next w:val="Tablaconcuadrcula"/>
    <w:uiPriority w:val="39"/>
    <w:rsid w:val="00CC26F0"/>
    <w:rPr>
      <w:rFonts w:ascii="Aptos" w:eastAsia="Aptos" w:hAnsi="Aptos" w:cs="Times New Roman"/>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4067">
      <w:bodyDiv w:val="1"/>
      <w:marLeft w:val="0"/>
      <w:marRight w:val="0"/>
      <w:marTop w:val="0"/>
      <w:marBottom w:val="0"/>
      <w:divBdr>
        <w:top w:val="none" w:sz="0" w:space="0" w:color="auto"/>
        <w:left w:val="none" w:sz="0" w:space="0" w:color="auto"/>
        <w:bottom w:val="none" w:sz="0" w:space="0" w:color="auto"/>
        <w:right w:val="none" w:sz="0" w:space="0" w:color="auto"/>
      </w:divBdr>
    </w:div>
    <w:div w:id="11490519">
      <w:bodyDiv w:val="1"/>
      <w:marLeft w:val="0"/>
      <w:marRight w:val="0"/>
      <w:marTop w:val="0"/>
      <w:marBottom w:val="0"/>
      <w:divBdr>
        <w:top w:val="none" w:sz="0" w:space="0" w:color="auto"/>
        <w:left w:val="none" w:sz="0" w:space="0" w:color="auto"/>
        <w:bottom w:val="none" w:sz="0" w:space="0" w:color="auto"/>
        <w:right w:val="none" w:sz="0" w:space="0" w:color="auto"/>
      </w:divBdr>
    </w:div>
    <w:div w:id="13581811">
      <w:bodyDiv w:val="1"/>
      <w:marLeft w:val="0"/>
      <w:marRight w:val="0"/>
      <w:marTop w:val="0"/>
      <w:marBottom w:val="0"/>
      <w:divBdr>
        <w:top w:val="none" w:sz="0" w:space="0" w:color="auto"/>
        <w:left w:val="none" w:sz="0" w:space="0" w:color="auto"/>
        <w:bottom w:val="none" w:sz="0" w:space="0" w:color="auto"/>
        <w:right w:val="none" w:sz="0" w:space="0" w:color="auto"/>
      </w:divBdr>
    </w:div>
    <w:div w:id="24261463">
      <w:bodyDiv w:val="1"/>
      <w:marLeft w:val="0"/>
      <w:marRight w:val="0"/>
      <w:marTop w:val="0"/>
      <w:marBottom w:val="0"/>
      <w:divBdr>
        <w:top w:val="none" w:sz="0" w:space="0" w:color="auto"/>
        <w:left w:val="none" w:sz="0" w:space="0" w:color="auto"/>
        <w:bottom w:val="none" w:sz="0" w:space="0" w:color="auto"/>
        <w:right w:val="none" w:sz="0" w:space="0" w:color="auto"/>
      </w:divBdr>
    </w:div>
    <w:div w:id="39938777">
      <w:bodyDiv w:val="1"/>
      <w:marLeft w:val="0"/>
      <w:marRight w:val="0"/>
      <w:marTop w:val="0"/>
      <w:marBottom w:val="0"/>
      <w:divBdr>
        <w:top w:val="none" w:sz="0" w:space="0" w:color="auto"/>
        <w:left w:val="none" w:sz="0" w:space="0" w:color="auto"/>
        <w:bottom w:val="none" w:sz="0" w:space="0" w:color="auto"/>
        <w:right w:val="none" w:sz="0" w:space="0" w:color="auto"/>
      </w:divBdr>
    </w:div>
    <w:div w:id="40830785">
      <w:bodyDiv w:val="1"/>
      <w:marLeft w:val="0"/>
      <w:marRight w:val="0"/>
      <w:marTop w:val="0"/>
      <w:marBottom w:val="0"/>
      <w:divBdr>
        <w:top w:val="none" w:sz="0" w:space="0" w:color="auto"/>
        <w:left w:val="none" w:sz="0" w:space="0" w:color="auto"/>
        <w:bottom w:val="none" w:sz="0" w:space="0" w:color="auto"/>
        <w:right w:val="none" w:sz="0" w:space="0" w:color="auto"/>
      </w:divBdr>
    </w:div>
    <w:div w:id="41681500">
      <w:bodyDiv w:val="1"/>
      <w:marLeft w:val="0"/>
      <w:marRight w:val="0"/>
      <w:marTop w:val="0"/>
      <w:marBottom w:val="0"/>
      <w:divBdr>
        <w:top w:val="none" w:sz="0" w:space="0" w:color="auto"/>
        <w:left w:val="none" w:sz="0" w:space="0" w:color="auto"/>
        <w:bottom w:val="none" w:sz="0" w:space="0" w:color="auto"/>
        <w:right w:val="none" w:sz="0" w:space="0" w:color="auto"/>
      </w:divBdr>
    </w:div>
    <w:div w:id="55705870">
      <w:bodyDiv w:val="1"/>
      <w:marLeft w:val="0"/>
      <w:marRight w:val="0"/>
      <w:marTop w:val="0"/>
      <w:marBottom w:val="0"/>
      <w:divBdr>
        <w:top w:val="none" w:sz="0" w:space="0" w:color="auto"/>
        <w:left w:val="none" w:sz="0" w:space="0" w:color="auto"/>
        <w:bottom w:val="none" w:sz="0" w:space="0" w:color="auto"/>
        <w:right w:val="none" w:sz="0" w:space="0" w:color="auto"/>
      </w:divBdr>
    </w:div>
    <w:div w:id="61756154">
      <w:bodyDiv w:val="1"/>
      <w:marLeft w:val="0"/>
      <w:marRight w:val="0"/>
      <w:marTop w:val="0"/>
      <w:marBottom w:val="0"/>
      <w:divBdr>
        <w:top w:val="none" w:sz="0" w:space="0" w:color="auto"/>
        <w:left w:val="none" w:sz="0" w:space="0" w:color="auto"/>
        <w:bottom w:val="none" w:sz="0" w:space="0" w:color="auto"/>
        <w:right w:val="none" w:sz="0" w:space="0" w:color="auto"/>
      </w:divBdr>
    </w:div>
    <w:div w:id="65032470">
      <w:bodyDiv w:val="1"/>
      <w:marLeft w:val="0"/>
      <w:marRight w:val="0"/>
      <w:marTop w:val="0"/>
      <w:marBottom w:val="0"/>
      <w:divBdr>
        <w:top w:val="none" w:sz="0" w:space="0" w:color="auto"/>
        <w:left w:val="none" w:sz="0" w:space="0" w:color="auto"/>
        <w:bottom w:val="none" w:sz="0" w:space="0" w:color="auto"/>
        <w:right w:val="none" w:sz="0" w:space="0" w:color="auto"/>
      </w:divBdr>
    </w:div>
    <w:div w:id="70784828">
      <w:bodyDiv w:val="1"/>
      <w:marLeft w:val="0"/>
      <w:marRight w:val="0"/>
      <w:marTop w:val="0"/>
      <w:marBottom w:val="0"/>
      <w:divBdr>
        <w:top w:val="none" w:sz="0" w:space="0" w:color="auto"/>
        <w:left w:val="none" w:sz="0" w:space="0" w:color="auto"/>
        <w:bottom w:val="none" w:sz="0" w:space="0" w:color="auto"/>
        <w:right w:val="none" w:sz="0" w:space="0" w:color="auto"/>
      </w:divBdr>
    </w:div>
    <w:div w:id="106893080">
      <w:bodyDiv w:val="1"/>
      <w:marLeft w:val="0"/>
      <w:marRight w:val="0"/>
      <w:marTop w:val="0"/>
      <w:marBottom w:val="0"/>
      <w:divBdr>
        <w:top w:val="none" w:sz="0" w:space="0" w:color="auto"/>
        <w:left w:val="none" w:sz="0" w:space="0" w:color="auto"/>
        <w:bottom w:val="none" w:sz="0" w:space="0" w:color="auto"/>
        <w:right w:val="none" w:sz="0" w:space="0" w:color="auto"/>
      </w:divBdr>
    </w:div>
    <w:div w:id="123743922">
      <w:bodyDiv w:val="1"/>
      <w:marLeft w:val="0"/>
      <w:marRight w:val="0"/>
      <w:marTop w:val="0"/>
      <w:marBottom w:val="0"/>
      <w:divBdr>
        <w:top w:val="none" w:sz="0" w:space="0" w:color="auto"/>
        <w:left w:val="none" w:sz="0" w:space="0" w:color="auto"/>
        <w:bottom w:val="none" w:sz="0" w:space="0" w:color="auto"/>
        <w:right w:val="none" w:sz="0" w:space="0" w:color="auto"/>
      </w:divBdr>
    </w:div>
    <w:div w:id="134376052">
      <w:bodyDiv w:val="1"/>
      <w:marLeft w:val="0"/>
      <w:marRight w:val="0"/>
      <w:marTop w:val="0"/>
      <w:marBottom w:val="0"/>
      <w:divBdr>
        <w:top w:val="none" w:sz="0" w:space="0" w:color="auto"/>
        <w:left w:val="none" w:sz="0" w:space="0" w:color="auto"/>
        <w:bottom w:val="none" w:sz="0" w:space="0" w:color="auto"/>
        <w:right w:val="none" w:sz="0" w:space="0" w:color="auto"/>
      </w:divBdr>
    </w:div>
    <w:div w:id="155078892">
      <w:bodyDiv w:val="1"/>
      <w:marLeft w:val="0"/>
      <w:marRight w:val="0"/>
      <w:marTop w:val="0"/>
      <w:marBottom w:val="0"/>
      <w:divBdr>
        <w:top w:val="none" w:sz="0" w:space="0" w:color="auto"/>
        <w:left w:val="none" w:sz="0" w:space="0" w:color="auto"/>
        <w:bottom w:val="none" w:sz="0" w:space="0" w:color="auto"/>
        <w:right w:val="none" w:sz="0" w:space="0" w:color="auto"/>
      </w:divBdr>
    </w:div>
    <w:div w:id="160437712">
      <w:bodyDiv w:val="1"/>
      <w:marLeft w:val="0"/>
      <w:marRight w:val="0"/>
      <w:marTop w:val="0"/>
      <w:marBottom w:val="0"/>
      <w:divBdr>
        <w:top w:val="none" w:sz="0" w:space="0" w:color="auto"/>
        <w:left w:val="none" w:sz="0" w:space="0" w:color="auto"/>
        <w:bottom w:val="none" w:sz="0" w:space="0" w:color="auto"/>
        <w:right w:val="none" w:sz="0" w:space="0" w:color="auto"/>
      </w:divBdr>
    </w:div>
    <w:div w:id="168376005">
      <w:bodyDiv w:val="1"/>
      <w:marLeft w:val="0"/>
      <w:marRight w:val="0"/>
      <w:marTop w:val="0"/>
      <w:marBottom w:val="0"/>
      <w:divBdr>
        <w:top w:val="none" w:sz="0" w:space="0" w:color="auto"/>
        <w:left w:val="none" w:sz="0" w:space="0" w:color="auto"/>
        <w:bottom w:val="none" w:sz="0" w:space="0" w:color="auto"/>
        <w:right w:val="none" w:sz="0" w:space="0" w:color="auto"/>
      </w:divBdr>
    </w:div>
    <w:div w:id="175773976">
      <w:bodyDiv w:val="1"/>
      <w:marLeft w:val="0"/>
      <w:marRight w:val="0"/>
      <w:marTop w:val="0"/>
      <w:marBottom w:val="0"/>
      <w:divBdr>
        <w:top w:val="none" w:sz="0" w:space="0" w:color="auto"/>
        <w:left w:val="none" w:sz="0" w:space="0" w:color="auto"/>
        <w:bottom w:val="none" w:sz="0" w:space="0" w:color="auto"/>
        <w:right w:val="none" w:sz="0" w:space="0" w:color="auto"/>
      </w:divBdr>
    </w:div>
    <w:div w:id="178550827">
      <w:bodyDiv w:val="1"/>
      <w:marLeft w:val="0"/>
      <w:marRight w:val="0"/>
      <w:marTop w:val="0"/>
      <w:marBottom w:val="0"/>
      <w:divBdr>
        <w:top w:val="none" w:sz="0" w:space="0" w:color="auto"/>
        <w:left w:val="none" w:sz="0" w:space="0" w:color="auto"/>
        <w:bottom w:val="none" w:sz="0" w:space="0" w:color="auto"/>
        <w:right w:val="none" w:sz="0" w:space="0" w:color="auto"/>
      </w:divBdr>
    </w:div>
    <w:div w:id="224535244">
      <w:bodyDiv w:val="1"/>
      <w:marLeft w:val="0"/>
      <w:marRight w:val="0"/>
      <w:marTop w:val="0"/>
      <w:marBottom w:val="0"/>
      <w:divBdr>
        <w:top w:val="none" w:sz="0" w:space="0" w:color="auto"/>
        <w:left w:val="none" w:sz="0" w:space="0" w:color="auto"/>
        <w:bottom w:val="none" w:sz="0" w:space="0" w:color="auto"/>
        <w:right w:val="none" w:sz="0" w:space="0" w:color="auto"/>
      </w:divBdr>
    </w:div>
    <w:div w:id="228003913">
      <w:bodyDiv w:val="1"/>
      <w:marLeft w:val="0"/>
      <w:marRight w:val="0"/>
      <w:marTop w:val="0"/>
      <w:marBottom w:val="0"/>
      <w:divBdr>
        <w:top w:val="none" w:sz="0" w:space="0" w:color="auto"/>
        <w:left w:val="none" w:sz="0" w:space="0" w:color="auto"/>
        <w:bottom w:val="none" w:sz="0" w:space="0" w:color="auto"/>
        <w:right w:val="none" w:sz="0" w:space="0" w:color="auto"/>
      </w:divBdr>
    </w:div>
    <w:div w:id="237634560">
      <w:bodyDiv w:val="1"/>
      <w:marLeft w:val="0"/>
      <w:marRight w:val="0"/>
      <w:marTop w:val="0"/>
      <w:marBottom w:val="0"/>
      <w:divBdr>
        <w:top w:val="none" w:sz="0" w:space="0" w:color="auto"/>
        <w:left w:val="none" w:sz="0" w:space="0" w:color="auto"/>
        <w:bottom w:val="none" w:sz="0" w:space="0" w:color="auto"/>
        <w:right w:val="none" w:sz="0" w:space="0" w:color="auto"/>
      </w:divBdr>
    </w:div>
    <w:div w:id="248736259">
      <w:bodyDiv w:val="1"/>
      <w:marLeft w:val="0"/>
      <w:marRight w:val="0"/>
      <w:marTop w:val="0"/>
      <w:marBottom w:val="0"/>
      <w:divBdr>
        <w:top w:val="none" w:sz="0" w:space="0" w:color="auto"/>
        <w:left w:val="none" w:sz="0" w:space="0" w:color="auto"/>
        <w:bottom w:val="none" w:sz="0" w:space="0" w:color="auto"/>
        <w:right w:val="none" w:sz="0" w:space="0" w:color="auto"/>
      </w:divBdr>
    </w:div>
    <w:div w:id="250087234">
      <w:bodyDiv w:val="1"/>
      <w:marLeft w:val="0"/>
      <w:marRight w:val="0"/>
      <w:marTop w:val="0"/>
      <w:marBottom w:val="0"/>
      <w:divBdr>
        <w:top w:val="none" w:sz="0" w:space="0" w:color="auto"/>
        <w:left w:val="none" w:sz="0" w:space="0" w:color="auto"/>
        <w:bottom w:val="none" w:sz="0" w:space="0" w:color="auto"/>
        <w:right w:val="none" w:sz="0" w:space="0" w:color="auto"/>
      </w:divBdr>
    </w:div>
    <w:div w:id="256444398">
      <w:bodyDiv w:val="1"/>
      <w:marLeft w:val="0"/>
      <w:marRight w:val="0"/>
      <w:marTop w:val="0"/>
      <w:marBottom w:val="0"/>
      <w:divBdr>
        <w:top w:val="none" w:sz="0" w:space="0" w:color="auto"/>
        <w:left w:val="none" w:sz="0" w:space="0" w:color="auto"/>
        <w:bottom w:val="none" w:sz="0" w:space="0" w:color="auto"/>
        <w:right w:val="none" w:sz="0" w:space="0" w:color="auto"/>
      </w:divBdr>
    </w:div>
    <w:div w:id="273902250">
      <w:bodyDiv w:val="1"/>
      <w:marLeft w:val="0"/>
      <w:marRight w:val="0"/>
      <w:marTop w:val="0"/>
      <w:marBottom w:val="0"/>
      <w:divBdr>
        <w:top w:val="none" w:sz="0" w:space="0" w:color="auto"/>
        <w:left w:val="none" w:sz="0" w:space="0" w:color="auto"/>
        <w:bottom w:val="none" w:sz="0" w:space="0" w:color="auto"/>
        <w:right w:val="none" w:sz="0" w:space="0" w:color="auto"/>
      </w:divBdr>
    </w:div>
    <w:div w:id="276790961">
      <w:bodyDiv w:val="1"/>
      <w:marLeft w:val="0"/>
      <w:marRight w:val="0"/>
      <w:marTop w:val="0"/>
      <w:marBottom w:val="0"/>
      <w:divBdr>
        <w:top w:val="none" w:sz="0" w:space="0" w:color="auto"/>
        <w:left w:val="none" w:sz="0" w:space="0" w:color="auto"/>
        <w:bottom w:val="none" w:sz="0" w:space="0" w:color="auto"/>
        <w:right w:val="none" w:sz="0" w:space="0" w:color="auto"/>
      </w:divBdr>
    </w:div>
    <w:div w:id="284043910">
      <w:bodyDiv w:val="1"/>
      <w:marLeft w:val="0"/>
      <w:marRight w:val="0"/>
      <w:marTop w:val="0"/>
      <w:marBottom w:val="0"/>
      <w:divBdr>
        <w:top w:val="none" w:sz="0" w:space="0" w:color="auto"/>
        <w:left w:val="none" w:sz="0" w:space="0" w:color="auto"/>
        <w:bottom w:val="none" w:sz="0" w:space="0" w:color="auto"/>
        <w:right w:val="none" w:sz="0" w:space="0" w:color="auto"/>
      </w:divBdr>
    </w:div>
    <w:div w:id="284971823">
      <w:bodyDiv w:val="1"/>
      <w:marLeft w:val="0"/>
      <w:marRight w:val="0"/>
      <w:marTop w:val="0"/>
      <w:marBottom w:val="0"/>
      <w:divBdr>
        <w:top w:val="none" w:sz="0" w:space="0" w:color="auto"/>
        <w:left w:val="none" w:sz="0" w:space="0" w:color="auto"/>
        <w:bottom w:val="none" w:sz="0" w:space="0" w:color="auto"/>
        <w:right w:val="none" w:sz="0" w:space="0" w:color="auto"/>
      </w:divBdr>
    </w:div>
    <w:div w:id="285622582">
      <w:bodyDiv w:val="1"/>
      <w:marLeft w:val="0"/>
      <w:marRight w:val="0"/>
      <w:marTop w:val="0"/>
      <w:marBottom w:val="0"/>
      <w:divBdr>
        <w:top w:val="none" w:sz="0" w:space="0" w:color="auto"/>
        <w:left w:val="none" w:sz="0" w:space="0" w:color="auto"/>
        <w:bottom w:val="none" w:sz="0" w:space="0" w:color="auto"/>
        <w:right w:val="none" w:sz="0" w:space="0" w:color="auto"/>
      </w:divBdr>
    </w:div>
    <w:div w:id="286741368">
      <w:bodyDiv w:val="1"/>
      <w:marLeft w:val="0"/>
      <w:marRight w:val="0"/>
      <w:marTop w:val="0"/>
      <w:marBottom w:val="0"/>
      <w:divBdr>
        <w:top w:val="none" w:sz="0" w:space="0" w:color="auto"/>
        <w:left w:val="none" w:sz="0" w:space="0" w:color="auto"/>
        <w:bottom w:val="none" w:sz="0" w:space="0" w:color="auto"/>
        <w:right w:val="none" w:sz="0" w:space="0" w:color="auto"/>
      </w:divBdr>
    </w:div>
    <w:div w:id="288124511">
      <w:bodyDiv w:val="1"/>
      <w:marLeft w:val="0"/>
      <w:marRight w:val="0"/>
      <w:marTop w:val="0"/>
      <w:marBottom w:val="0"/>
      <w:divBdr>
        <w:top w:val="none" w:sz="0" w:space="0" w:color="auto"/>
        <w:left w:val="none" w:sz="0" w:space="0" w:color="auto"/>
        <w:bottom w:val="none" w:sz="0" w:space="0" w:color="auto"/>
        <w:right w:val="none" w:sz="0" w:space="0" w:color="auto"/>
      </w:divBdr>
    </w:div>
    <w:div w:id="302808242">
      <w:bodyDiv w:val="1"/>
      <w:marLeft w:val="0"/>
      <w:marRight w:val="0"/>
      <w:marTop w:val="0"/>
      <w:marBottom w:val="0"/>
      <w:divBdr>
        <w:top w:val="none" w:sz="0" w:space="0" w:color="auto"/>
        <w:left w:val="none" w:sz="0" w:space="0" w:color="auto"/>
        <w:bottom w:val="none" w:sz="0" w:space="0" w:color="auto"/>
        <w:right w:val="none" w:sz="0" w:space="0" w:color="auto"/>
      </w:divBdr>
    </w:div>
    <w:div w:id="307631674">
      <w:bodyDiv w:val="1"/>
      <w:marLeft w:val="0"/>
      <w:marRight w:val="0"/>
      <w:marTop w:val="0"/>
      <w:marBottom w:val="0"/>
      <w:divBdr>
        <w:top w:val="none" w:sz="0" w:space="0" w:color="auto"/>
        <w:left w:val="none" w:sz="0" w:space="0" w:color="auto"/>
        <w:bottom w:val="none" w:sz="0" w:space="0" w:color="auto"/>
        <w:right w:val="none" w:sz="0" w:space="0" w:color="auto"/>
      </w:divBdr>
    </w:div>
    <w:div w:id="319388819">
      <w:bodyDiv w:val="1"/>
      <w:marLeft w:val="0"/>
      <w:marRight w:val="0"/>
      <w:marTop w:val="0"/>
      <w:marBottom w:val="0"/>
      <w:divBdr>
        <w:top w:val="none" w:sz="0" w:space="0" w:color="auto"/>
        <w:left w:val="none" w:sz="0" w:space="0" w:color="auto"/>
        <w:bottom w:val="none" w:sz="0" w:space="0" w:color="auto"/>
        <w:right w:val="none" w:sz="0" w:space="0" w:color="auto"/>
      </w:divBdr>
    </w:div>
    <w:div w:id="319695710">
      <w:bodyDiv w:val="1"/>
      <w:marLeft w:val="0"/>
      <w:marRight w:val="0"/>
      <w:marTop w:val="0"/>
      <w:marBottom w:val="0"/>
      <w:divBdr>
        <w:top w:val="none" w:sz="0" w:space="0" w:color="auto"/>
        <w:left w:val="none" w:sz="0" w:space="0" w:color="auto"/>
        <w:bottom w:val="none" w:sz="0" w:space="0" w:color="auto"/>
        <w:right w:val="none" w:sz="0" w:space="0" w:color="auto"/>
      </w:divBdr>
    </w:div>
    <w:div w:id="319846402">
      <w:bodyDiv w:val="1"/>
      <w:marLeft w:val="0"/>
      <w:marRight w:val="0"/>
      <w:marTop w:val="0"/>
      <w:marBottom w:val="0"/>
      <w:divBdr>
        <w:top w:val="none" w:sz="0" w:space="0" w:color="auto"/>
        <w:left w:val="none" w:sz="0" w:space="0" w:color="auto"/>
        <w:bottom w:val="none" w:sz="0" w:space="0" w:color="auto"/>
        <w:right w:val="none" w:sz="0" w:space="0" w:color="auto"/>
      </w:divBdr>
    </w:div>
    <w:div w:id="323820091">
      <w:bodyDiv w:val="1"/>
      <w:marLeft w:val="0"/>
      <w:marRight w:val="0"/>
      <w:marTop w:val="0"/>
      <w:marBottom w:val="0"/>
      <w:divBdr>
        <w:top w:val="none" w:sz="0" w:space="0" w:color="auto"/>
        <w:left w:val="none" w:sz="0" w:space="0" w:color="auto"/>
        <w:bottom w:val="none" w:sz="0" w:space="0" w:color="auto"/>
        <w:right w:val="none" w:sz="0" w:space="0" w:color="auto"/>
      </w:divBdr>
      <w:divsChild>
        <w:div w:id="739712672">
          <w:marLeft w:val="0"/>
          <w:marRight w:val="0"/>
          <w:marTop w:val="0"/>
          <w:marBottom w:val="0"/>
          <w:divBdr>
            <w:top w:val="none" w:sz="0" w:space="0" w:color="auto"/>
            <w:left w:val="none" w:sz="0" w:space="0" w:color="auto"/>
            <w:bottom w:val="none" w:sz="0" w:space="0" w:color="auto"/>
            <w:right w:val="none" w:sz="0" w:space="0" w:color="auto"/>
          </w:divBdr>
          <w:divsChild>
            <w:div w:id="38752266">
              <w:marLeft w:val="0"/>
              <w:marRight w:val="0"/>
              <w:marTop w:val="0"/>
              <w:marBottom w:val="0"/>
              <w:divBdr>
                <w:top w:val="none" w:sz="0" w:space="0" w:color="auto"/>
                <w:left w:val="none" w:sz="0" w:space="0" w:color="auto"/>
                <w:bottom w:val="none" w:sz="0" w:space="0" w:color="auto"/>
                <w:right w:val="none" w:sz="0" w:space="0" w:color="auto"/>
              </w:divBdr>
              <w:divsChild>
                <w:div w:id="502206865">
                  <w:marLeft w:val="0"/>
                  <w:marRight w:val="0"/>
                  <w:marTop w:val="0"/>
                  <w:marBottom w:val="0"/>
                  <w:divBdr>
                    <w:top w:val="none" w:sz="0" w:space="0" w:color="auto"/>
                    <w:left w:val="none" w:sz="0" w:space="0" w:color="auto"/>
                    <w:bottom w:val="none" w:sz="0" w:space="0" w:color="auto"/>
                    <w:right w:val="none" w:sz="0" w:space="0" w:color="auto"/>
                  </w:divBdr>
                  <w:divsChild>
                    <w:div w:id="15368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19098">
          <w:marLeft w:val="0"/>
          <w:marRight w:val="0"/>
          <w:marTop w:val="0"/>
          <w:marBottom w:val="0"/>
          <w:divBdr>
            <w:top w:val="none" w:sz="0" w:space="0" w:color="auto"/>
            <w:left w:val="none" w:sz="0" w:space="0" w:color="auto"/>
            <w:bottom w:val="none" w:sz="0" w:space="0" w:color="auto"/>
            <w:right w:val="none" w:sz="0" w:space="0" w:color="auto"/>
          </w:divBdr>
          <w:divsChild>
            <w:div w:id="484861466">
              <w:marLeft w:val="-360"/>
              <w:marRight w:val="-360"/>
              <w:marTop w:val="0"/>
              <w:marBottom w:val="0"/>
              <w:divBdr>
                <w:top w:val="none" w:sz="0" w:space="0" w:color="auto"/>
                <w:left w:val="none" w:sz="0" w:space="0" w:color="auto"/>
                <w:bottom w:val="none" w:sz="0" w:space="0" w:color="auto"/>
                <w:right w:val="none" w:sz="0" w:space="0" w:color="auto"/>
              </w:divBdr>
              <w:divsChild>
                <w:div w:id="1810322889">
                  <w:marLeft w:val="0"/>
                  <w:marRight w:val="0"/>
                  <w:marTop w:val="0"/>
                  <w:marBottom w:val="0"/>
                  <w:divBdr>
                    <w:top w:val="none" w:sz="0" w:space="0" w:color="auto"/>
                    <w:left w:val="none" w:sz="0" w:space="0" w:color="auto"/>
                    <w:bottom w:val="none" w:sz="0" w:space="0" w:color="auto"/>
                    <w:right w:val="none" w:sz="0" w:space="0" w:color="auto"/>
                  </w:divBdr>
                  <w:divsChild>
                    <w:div w:id="17542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020727">
      <w:bodyDiv w:val="1"/>
      <w:marLeft w:val="0"/>
      <w:marRight w:val="0"/>
      <w:marTop w:val="0"/>
      <w:marBottom w:val="0"/>
      <w:divBdr>
        <w:top w:val="none" w:sz="0" w:space="0" w:color="auto"/>
        <w:left w:val="none" w:sz="0" w:space="0" w:color="auto"/>
        <w:bottom w:val="none" w:sz="0" w:space="0" w:color="auto"/>
        <w:right w:val="none" w:sz="0" w:space="0" w:color="auto"/>
      </w:divBdr>
    </w:div>
    <w:div w:id="331377479">
      <w:bodyDiv w:val="1"/>
      <w:marLeft w:val="0"/>
      <w:marRight w:val="0"/>
      <w:marTop w:val="0"/>
      <w:marBottom w:val="0"/>
      <w:divBdr>
        <w:top w:val="none" w:sz="0" w:space="0" w:color="auto"/>
        <w:left w:val="none" w:sz="0" w:space="0" w:color="auto"/>
        <w:bottom w:val="none" w:sz="0" w:space="0" w:color="auto"/>
        <w:right w:val="none" w:sz="0" w:space="0" w:color="auto"/>
      </w:divBdr>
    </w:div>
    <w:div w:id="336616826">
      <w:bodyDiv w:val="1"/>
      <w:marLeft w:val="0"/>
      <w:marRight w:val="0"/>
      <w:marTop w:val="0"/>
      <w:marBottom w:val="0"/>
      <w:divBdr>
        <w:top w:val="none" w:sz="0" w:space="0" w:color="auto"/>
        <w:left w:val="none" w:sz="0" w:space="0" w:color="auto"/>
        <w:bottom w:val="none" w:sz="0" w:space="0" w:color="auto"/>
        <w:right w:val="none" w:sz="0" w:space="0" w:color="auto"/>
      </w:divBdr>
    </w:div>
    <w:div w:id="347021284">
      <w:bodyDiv w:val="1"/>
      <w:marLeft w:val="0"/>
      <w:marRight w:val="0"/>
      <w:marTop w:val="0"/>
      <w:marBottom w:val="0"/>
      <w:divBdr>
        <w:top w:val="none" w:sz="0" w:space="0" w:color="auto"/>
        <w:left w:val="none" w:sz="0" w:space="0" w:color="auto"/>
        <w:bottom w:val="none" w:sz="0" w:space="0" w:color="auto"/>
        <w:right w:val="none" w:sz="0" w:space="0" w:color="auto"/>
      </w:divBdr>
    </w:div>
    <w:div w:id="348068724">
      <w:bodyDiv w:val="1"/>
      <w:marLeft w:val="0"/>
      <w:marRight w:val="0"/>
      <w:marTop w:val="0"/>
      <w:marBottom w:val="0"/>
      <w:divBdr>
        <w:top w:val="none" w:sz="0" w:space="0" w:color="auto"/>
        <w:left w:val="none" w:sz="0" w:space="0" w:color="auto"/>
        <w:bottom w:val="none" w:sz="0" w:space="0" w:color="auto"/>
        <w:right w:val="none" w:sz="0" w:space="0" w:color="auto"/>
      </w:divBdr>
    </w:div>
    <w:div w:id="351150120">
      <w:bodyDiv w:val="1"/>
      <w:marLeft w:val="0"/>
      <w:marRight w:val="0"/>
      <w:marTop w:val="0"/>
      <w:marBottom w:val="0"/>
      <w:divBdr>
        <w:top w:val="none" w:sz="0" w:space="0" w:color="auto"/>
        <w:left w:val="none" w:sz="0" w:space="0" w:color="auto"/>
        <w:bottom w:val="none" w:sz="0" w:space="0" w:color="auto"/>
        <w:right w:val="none" w:sz="0" w:space="0" w:color="auto"/>
      </w:divBdr>
      <w:divsChild>
        <w:div w:id="1186363835">
          <w:marLeft w:val="0"/>
          <w:marRight w:val="0"/>
          <w:marTop w:val="0"/>
          <w:marBottom w:val="0"/>
          <w:divBdr>
            <w:top w:val="none" w:sz="0" w:space="0" w:color="auto"/>
            <w:left w:val="none" w:sz="0" w:space="0" w:color="auto"/>
            <w:bottom w:val="none" w:sz="0" w:space="0" w:color="auto"/>
            <w:right w:val="none" w:sz="0" w:space="0" w:color="auto"/>
          </w:divBdr>
        </w:div>
      </w:divsChild>
    </w:div>
    <w:div w:id="353503033">
      <w:bodyDiv w:val="1"/>
      <w:marLeft w:val="0"/>
      <w:marRight w:val="0"/>
      <w:marTop w:val="0"/>
      <w:marBottom w:val="0"/>
      <w:divBdr>
        <w:top w:val="none" w:sz="0" w:space="0" w:color="auto"/>
        <w:left w:val="none" w:sz="0" w:space="0" w:color="auto"/>
        <w:bottom w:val="none" w:sz="0" w:space="0" w:color="auto"/>
        <w:right w:val="none" w:sz="0" w:space="0" w:color="auto"/>
      </w:divBdr>
    </w:div>
    <w:div w:id="355664637">
      <w:bodyDiv w:val="1"/>
      <w:marLeft w:val="0"/>
      <w:marRight w:val="0"/>
      <w:marTop w:val="0"/>
      <w:marBottom w:val="0"/>
      <w:divBdr>
        <w:top w:val="none" w:sz="0" w:space="0" w:color="auto"/>
        <w:left w:val="none" w:sz="0" w:space="0" w:color="auto"/>
        <w:bottom w:val="none" w:sz="0" w:space="0" w:color="auto"/>
        <w:right w:val="none" w:sz="0" w:space="0" w:color="auto"/>
      </w:divBdr>
    </w:div>
    <w:div w:id="358049431">
      <w:bodyDiv w:val="1"/>
      <w:marLeft w:val="0"/>
      <w:marRight w:val="0"/>
      <w:marTop w:val="0"/>
      <w:marBottom w:val="0"/>
      <w:divBdr>
        <w:top w:val="none" w:sz="0" w:space="0" w:color="auto"/>
        <w:left w:val="none" w:sz="0" w:space="0" w:color="auto"/>
        <w:bottom w:val="none" w:sz="0" w:space="0" w:color="auto"/>
        <w:right w:val="none" w:sz="0" w:space="0" w:color="auto"/>
      </w:divBdr>
    </w:div>
    <w:div w:id="373581969">
      <w:bodyDiv w:val="1"/>
      <w:marLeft w:val="0"/>
      <w:marRight w:val="0"/>
      <w:marTop w:val="0"/>
      <w:marBottom w:val="0"/>
      <w:divBdr>
        <w:top w:val="none" w:sz="0" w:space="0" w:color="auto"/>
        <w:left w:val="none" w:sz="0" w:space="0" w:color="auto"/>
        <w:bottom w:val="none" w:sz="0" w:space="0" w:color="auto"/>
        <w:right w:val="none" w:sz="0" w:space="0" w:color="auto"/>
      </w:divBdr>
    </w:div>
    <w:div w:id="374627057">
      <w:bodyDiv w:val="1"/>
      <w:marLeft w:val="0"/>
      <w:marRight w:val="0"/>
      <w:marTop w:val="0"/>
      <w:marBottom w:val="0"/>
      <w:divBdr>
        <w:top w:val="none" w:sz="0" w:space="0" w:color="auto"/>
        <w:left w:val="none" w:sz="0" w:space="0" w:color="auto"/>
        <w:bottom w:val="none" w:sz="0" w:space="0" w:color="auto"/>
        <w:right w:val="none" w:sz="0" w:space="0" w:color="auto"/>
      </w:divBdr>
    </w:div>
    <w:div w:id="383024326">
      <w:bodyDiv w:val="1"/>
      <w:marLeft w:val="0"/>
      <w:marRight w:val="0"/>
      <w:marTop w:val="0"/>
      <w:marBottom w:val="0"/>
      <w:divBdr>
        <w:top w:val="none" w:sz="0" w:space="0" w:color="auto"/>
        <w:left w:val="none" w:sz="0" w:space="0" w:color="auto"/>
        <w:bottom w:val="none" w:sz="0" w:space="0" w:color="auto"/>
        <w:right w:val="none" w:sz="0" w:space="0" w:color="auto"/>
      </w:divBdr>
    </w:div>
    <w:div w:id="386492981">
      <w:bodyDiv w:val="1"/>
      <w:marLeft w:val="0"/>
      <w:marRight w:val="0"/>
      <w:marTop w:val="0"/>
      <w:marBottom w:val="0"/>
      <w:divBdr>
        <w:top w:val="none" w:sz="0" w:space="0" w:color="auto"/>
        <w:left w:val="none" w:sz="0" w:space="0" w:color="auto"/>
        <w:bottom w:val="none" w:sz="0" w:space="0" w:color="auto"/>
        <w:right w:val="none" w:sz="0" w:space="0" w:color="auto"/>
      </w:divBdr>
    </w:div>
    <w:div w:id="402483012">
      <w:bodyDiv w:val="1"/>
      <w:marLeft w:val="0"/>
      <w:marRight w:val="0"/>
      <w:marTop w:val="0"/>
      <w:marBottom w:val="0"/>
      <w:divBdr>
        <w:top w:val="none" w:sz="0" w:space="0" w:color="auto"/>
        <w:left w:val="none" w:sz="0" w:space="0" w:color="auto"/>
        <w:bottom w:val="none" w:sz="0" w:space="0" w:color="auto"/>
        <w:right w:val="none" w:sz="0" w:space="0" w:color="auto"/>
      </w:divBdr>
    </w:div>
    <w:div w:id="424419350">
      <w:bodyDiv w:val="1"/>
      <w:marLeft w:val="0"/>
      <w:marRight w:val="0"/>
      <w:marTop w:val="0"/>
      <w:marBottom w:val="0"/>
      <w:divBdr>
        <w:top w:val="none" w:sz="0" w:space="0" w:color="auto"/>
        <w:left w:val="none" w:sz="0" w:space="0" w:color="auto"/>
        <w:bottom w:val="none" w:sz="0" w:space="0" w:color="auto"/>
        <w:right w:val="none" w:sz="0" w:space="0" w:color="auto"/>
      </w:divBdr>
    </w:div>
    <w:div w:id="430054382">
      <w:bodyDiv w:val="1"/>
      <w:marLeft w:val="0"/>
      <w:marRight w:val="0"/>
      <w:marTop w:val="0"/>
      <w:marBottom w:val="0"/>
      <w:divBdr>
        <w:top w:val="none" w:sz="0" w:space="0" w:color="auto"/>
        <w:left w:val="none" w:sz="0" w:space="0" w:color="auto"/>
        <w:bottom w:val="none" w:sz="0" w:space="0" w:color="auto"/>
        <w:right w:val="none" w:sz="0" w:space="0" w:color="auto"/>
      </w:divBdr>
    </w:div>
    <w:div w:id="460727064">
      <w:bodyDiv w:val="1"/>
      <w:marLeft w:val="0"/>
      <w:marRight w:val="0"/>
      <w:marTop w:val="0"/>
      <w:marBottom w:val="0"/>
      <w:divBdr>
        <w:top w:val="none" w:sz="0" w:space="0" w:color="auto"/>
        <w:left w:val="none" w:sz="0" w:space="0" w:color="auto"/>
        <w:bottom w:val="none" w:sz="0" w:space="0" w:color="auto"/>
        <w:right w:val="none" w:sz="0" w:space="0" w:color="auto"/>
      </w:divBdr>
    </w:div>
    <w:div w:id="473910039">
      <w:marLeft w:val="0"/>
      <w:marRight w:val="0"/>
      <w:marTop w:val="0"/>
      <w:marBottom w:val="0"/>
      <w:divBdr>
        <w:top w:val="none" w:sz="0" w:space="0" w:color="auto"/>
        <w:left w:val="none" w:sz="0" w:space="0" w:color="auto"/>
        <w:bottom w:val="none" w:sz="0" w:space="0" w:color="auto"/>
        <w:right w:val="none" w:sz="0" w:space="0" w:color="auto"/>
      </w:divBdr>
    </w:div>
    <w:div w:id="473910040">
      <w:marLeft w:val="0"/>
      <w:marRight w:val="0"/>
      <w:marTop w:val="0"/>
      <w:marBottom w:val="0"/>
      <w:divBdr>
        <w:top w:val="none" w:sz="0" w:space="0" w:color="auto"/>
        <w:left w:val="none" w:sz="0" w:space="0" w:color="auto"/>
        <w:bottom w:val="none" w:sz="0" w:space="0" w:color="auto"/>
        <w:right w:val="none" w:sz="0" w:space="0" w:color="auto"/>
      </w:divBdr>
    </w:div>
    <w:div w:id="473910041">
      <w:marLeft w:val="0"/>
      <w:marRight w:val="0"/>
      <w:marTop w:val="0"/>
      <w:marBottom w:val="0"/>
      <w:divBdr>
        <w:top w:val="none" w:sz="0" w:space="0" w:color="auto"/>
        <w:left w:val="none" w:sz="0" w:space="0" w:color="auto"/>
        <w:bottom w:val="none" w:sz="0" w:space="0" w:color="auto"/>
        <w:right w:val="none" w:sz="0" w:space="0" w:color="auto"/>
      </w:divBdr>
    </w:div>
    <w:div w:id="473910042">
      <w:marLeft w:val="0"/>
      <w:marRight w:val="0"/>
      <w:marTop w:val="0"/>
      <w:marBottom w:val="0"/>
      <w:divBdr>
        <w:top w:val="none" w:sz="0" w:space="0" w:color="auto"/>
        <w:left w:val="none" w:sz="0" w:space="0" w:color="auto"/>
        <w:bottom w:val="none" w:sz="0" w:space="0" w:color="auto"/>
        <w:right w:val="none" w:sz="0" w:space="0" w:color="auto"/>
      </w:divBdr>
    </w:div>
    <w:div w:id="473910043">
      <w:marLeft w:val="0"/>
      <w:marRight w:val="0"/>
      <w:marTop w:val="0"/>
      <w:marBottom w:val="0"/>
      <w:divBdr>
        <w:top w:val="none" w:sz="0" w:space="0" w:color="auto"/>
        <w:left w:val="none" w:sz="0" w:space="0" w:color="auto"/>
        <w:bottom w:val="none" w:sz="0" w:space="0" w:color="auto"/>
        <w:right w:val="none" w:sz="0" w:space="0" w:color="auto"/>
      </w:divBdr>
    </w:div>
    <w:div w:id="473910044">
      <w:marLeft w:val="0"/>
      <w:marRight w:val="0"/>
      <w:marTop w:val="0"/>
      <w:marBottom w:val="0"/>
      <w:divBdr>
        <w:top w:val="none" w:sz="0" w:space="0" w:color="auto"/>
        <w:left w:val="none" w:sz="0" w:space="0" w:color="auto"/>
        <w:bottom w:val="none" w:sz="0" w:space="0" w:color="auto"/>
        <w:right w:val="none" w:sz="0" w:space="0" w:color="auto"/>
      </w:divBdr>
    </w:div>
    <w:div w:id="473910045">
      <w:marLeft w:val="0"/>
      <w:marRight w:val="0"/>
      <w:marTop w:val="0"/>
      <w:marBottom w:val="0"/>
      <w:divBdr>
        <w:top w:val="none" w:sz="0" w:space="0" w:color="auto"/>
        <w:left w:val="none" w:sz="0" w:space="0" w:color="auto"/>
        <w:bottom w:val="none" w:sz="0" w:space="0" w:color="auto"/>
        <w:right w:val="none" w:sz="0" w:space="0" w:color="auto"/>
      </w:divBdr>
    </w:div>
    <w:div w:id="473910046">
      <w:marLeft w:val="0"/>
      <w:marRight w:val="0"/>
      <w:marTop w:val="0"/>
      <w:marBottom w:val="0"/>
      <w:divBdr>
        <w:top w:val="none" w:sz="0" w:space="0" w:color="auto"/>
        <w:left w:val="none" w:sz="0" w:space="0" w:color="auto"/>
        <w:bottom w:val="none" w:sz="0" w:space="0" w:color="auto"/>
        <w:right w:val="none" w:sz="0" w:space="0" w:color="auto"/>
      </w:divBdr>
    </w:div>
    <w:div w:id="473910047">
      <w:marLeft w:val="0"/>
      <w:marRight w:val="0"/>
      <w:marTop w:val="0"/>
      <w:marBottom w:val="0"/>
      <w:divBdr>
        <w:top w:val="none" w:sz="0" w:space="0" w:color="auto"/>
        <w:left w:val="none" w:sz="0" w:space="0" w:color="auto"/>
        <w:bottom w:val="none" w:sz="0" w:space="0" w:color="auto"/>
        <w:right w:val="none" w:sz="0" w:space="0" w:color="auto"/>
      </w:divBdr>
    </w:div>
    <w:div w:id="473910048">
      <w:marLeft w:val="0"/>
      <w:marRight w:val="0"/>
      <w:marTop w:val="0"/>
      <w:marBottom w:val="0"/>
      <w:divBdr>
        <w:top w:val="none" w:sz="0" w:space="0" w:color="auto"/>
        <w:left w:val="none" w:sz="0" w:space="0" w:color="auto"/>
        <w:bottom w:val="none" w:sz="0" w:space="0" w:color="auto"/>
        <w:right w:val="none" w:sz="0" w:space="0" w:color="auto"/>
      </w:divBdr>
    </w:div>
    <w:div w:id="473910049">
      <w:marLeft w:val="0"/>
      <w:marRight w:val="0"/>
      <w:marTop w:val="0"/>
      <w:marBottom w:val="0"/>
      <w:divBdr>
        <w:top w:val="none" w:sz="0" w:space="0" w:color="auto"/>
        <w:left w:val="none" w:sz="0" w:space="0" w:color="auto"/>
        <w:bottom w:val="none" w:sz="0" w:space="0" w:color="auto"/>
        <w:right w:val="none" w:sz="0" w:space="0" w:color="auto"/>
      </w:divBdr>
    </w:div>
    <w:div w:id="473910050">
      <w:marLeft w:val="0"/>
      <w:marRight w:val="0"/>
      <w:marTop w:val="0"/>
      <w:marBottom w:val="0"/>
      <w:divBdr>
        <w:top w:val="none" w:sz="0" w:space="0" w:color="auto"/>
        <w:left w:val="none" w:sz="0" w:space="0" w:color="auto"/>
        <w:bottom w:val="none" w:sz="0" w:space="0" w:color="auto"/>
        <w:right w:val="none" w:sz="0" w:space="0" w:color="auto"/>
      </w:divBdr>
    </w:div>
    <w:div w:id="473910051">
      <w:marLeft w:val="0"/>
      <w:marRight w:val="0"/>
      <w:marTop w:val="0"/>
      <w:marBottom w:val="0"/>
      <w:divBdr>
        <w:top w:val="none" w:sz="0" w:space="0" w:color="auto"/>
        <w:left w:val="none" w:sz="0" w:space="0" w:color="auto"/>
        <w:bottom w:val="none" w:sz="0" w:space="0" w:color="auto"/>
        <w:right w:val="none" w:sz="0" w:space="0" w:color="auto"/>
      </w:divBdr>
    </w:div>
    <w:div w:id="473910052">
      <w:marLeft w:val="0"/>
      <w:marRight w:val="0"/>
      <w:marTop w:val="0"/>
      <w:marBottom w:val="0"/>
      <w:divBdr>
        <w:top w:val="none" w:sz="0" w:space="0" w:color="auto"/>
        <w:left w:val="none" w:sz="0" w:space="0" w:color="auto"/>
        <w:bottom w:val="none" w:sz="0" w:space="0" w:color="auto"/>
        <w:right w:val="none" w:sz="0" w:space="0" w:color="auto"/>
      </w:divBdr>
    </w:div>
    <w:div w:id="473910053">
      <w:marLeft w:val="0"/>
      <w:marRight w:val="0"/>
      <w:marTop w:val="0"/>
      <w:marBottom w:val="0"/>
      <w:divBdr>
        <w:top w:val="none" w:sz="0" w:space="0" w:color="auto"/>
        <w:left w:val="none" w:sz="0" w:space="0" w:color="auto"/>
        <w:bottom w:val="none" w:sz="0" w:space="0" w:color="auto"/>
        <w:right w:val="none" w:sz="0" w:space="0" w:color="auto"/>
      </w:divBdr>
    </w:div>
    <w:div w:id="473910054">
      <w:marLeft w:val="0"/>
      <w:marRight w:val="0"/>
      <w:marTop w:val="0"/>
      <w:marBottom w:val="0"/>
      <w:divBdr>
        <w:top w:val="none" w:sz="0" w:space="0" w:color="auto"/>
        <w:left w:val="none" w:sz="0" w:space="0" w:color="auto"/>
        <w:bottom w:val="none" w:sz="0" w:space="0" w:color="auto"/>
        <w:right w:val="none" w:sz="0" w:space="0" w:color="auto"/>
      </w:divBdr>
    </w:div>
    <w:div w:id="473910055">
      <w:marLeft w:val="0"/>
      <w:marRight w:val="0"/>
      <w:marTop w:val="0"/>
      <w:marBottom w:val="0"/>
      <w:divBdr>
        <w:top w:val="none" w:sz="0" w:space="0" w:color="auto"/>
        <w:left w:val="none" w:sz="0" w:space="0" w:color="auto"/>
        <w:bottom w:val="none" w:sz="0" w:space="0" w:color="auto"/>
        <w:right w:val="none" w:sz="0" w:space="0" w:color="auto"/>
      </w:divBdr>
    </w:div>
    <w:div w:id="473910056">
      <w:marLeft w:val="0"/>
      <w:marRight w:val="0"/>
      <w:marTop w:val="0"/>
      <w:marBottom w:val="0"/>
      <w:divBdr>
        <w:top w:val="none" w:sz="0" w:space="0" w:color="auto"/>
        <w:left w:val="none" w:sz="0" w:space="0" w:color="auto"/>
        <w:bottom w:val="none" w:sz="0" w:space="0" w:color="auto"/>
        <w:right w:val="none" w:sz="0" w:space="0" w:color="auto"/>
      </w:divBdr>
    </w:div>
    <w:div w:id="473910057">
      <w:marLeft w:val="0"/>
      <w:marRight w:val="0"/>
      <w:marTop w:val="0"/>
      <w:marBottom w:val="0"/>
      <w:divBdr>
        <w:top w:val="none" w:sz="0" w:space="0" w:color="auto"/>
        <w:left w:val="none" w:sz="0" w:space="0" w:color="auto"/>
        <w:bottom w:val="none" w:sz="0" w:space="0" w:color="auto"/>
        <w:right w:val="none" w:sz="0" w:space="0" w:color="auto"/>
      </w:divBdr>
    </w:div>
    <w:div w:id="473910058">
      <w:marLeft w:val="0"/>
      <w:marRight w:val="0"/>
      <w:marTop w:val="0"/>
      <w:marBottom w:val="0"/>
      <w:divBdr>
        <w:top w:val="none" w:sz="0" w:space="0" w:color="auto"/>
        <w:left w:val="none" w:sz="0" w:space="0" w:color="auto"/>
        <w:bottom w:val="none" w:sz="0" w:space="0" w:color="auto"/>
        <w:right w:val="none" w:sz="0" w:space="0" w:color="auto"/>
      </w:divBdr>
    </w:div>
    <w:div w:id="473910059">
      <w:marLeft w:val="0"/>
      <w:marRight w:val="0"/>
      <w:marTop w:val="0"/>
      <w:marBottom w:val="0"/>
      <w:divBdr>
        <w:top w:val="none" w:sz="0" w:space="0" w:color="auto"/>
        <w:left w:val="none" w:sz="0" w:space="0" w:color="auto"/>
        <w:bottom w:val="none" w:sz="0" w:space="0" w:color="auto"/>
        <w:right w:val="none" w:sz="0" w:space="0" w:color="auto"/>
      </w:divBdr>
    </w:div>
    <w:div w:id="473910060">
      <w:marLeft w:val="0"/>
      <w:marRight w:val="0"/>
      <w:marTop w:val="0"/>
      <w:marBottom w:val="0"/>
      <w:divBdr>
        <w:top w:val="none" w:sz="0" w:space="0" w:color="auto"/>
        <w:left w:val="none" w:sz="0" w:space="0" w:color="auto"/>
        <w:bottom w:val="none" w:sz="0" w:space="0" w:color="auto"/>
        <w:right w:val="none" w:sz="0" w:space="0" w:color="auto"/>
      </w:divBdr>
    </w:div>
    <w:div w:id="473910061">
      <w:marLeft w:val="0"/>
      <w:marRight w:val="0"/>
      <w:marTop w:val="0"/>
      <w:marBottom w:val="0"/>
      <w:divBdr>
        <w:top w:val="none" w:sz="0" w:space="0" w:color="auto"/>
        <w:left w:val="none" w:sz="0" w:space="0" w:color="auto"/>
        <w:bottom w:val="none" w:sz="0" w:space="0" w:color="auto"/>
        <w:right w:val="none" w:sz="0" w:space="0" w:color="auto"/>
      </w:divBdr>
    </w:div>
    <w:div w:id="484860051">
      <w:bodyDiv w:val="1"/>
      <w:marLeft w:val="0"/>
      <w:marRight w:val="0"/>
      <w:marTop w:val="0"/>
      <w:marBottom w:val="0"/>
      <w:divBdr>
        <w:top w:val="none" w:sz="0" w:space="0" w:color="auto"/>
        <w:left w:val="none" w:sz="0" w:space="0" w:color="auto"/>
        <w:bottom w:val="none" w:sz="0" w:space="0" w:color="auto"/>
        <w:right w:val="none" w:sz="0" w:space="0" w:color="auto"/>
      </w:divBdr>
    </w:div>
    <w:div w:id="493491776">
      <w:bodyDiv w:val="1"/>
      <w:marLeft w:val="0"/>
      <w:marRight w:val="0"/>
      <w:marTop w:val="0"/>
      <w:marBottom w:val="0"/>
      <w:divBdr>
        <w:top w:val="none" w:sz="0" w:space="0" w:color="auto"/>
        <w:left w:val="none" w:sz="0" w:space="0" w:color="auto"/>
        <w:bottom w:val="none" w:sz="0" w:space="0" w:color="auto"/>
        <w:right w:val="none" w:sz="0" w:space="0" w:color="auto"/>
      </w:divBdr>
    </w:div>
    <w:div w:id="504707844">
      <w:bodyDiv w:val="1"/>
      <w:marLeft w:val="0"/>
      <w:marRight w:val="0"/>
      <w:marTop w:val="0"/>
      <w:marBottom w:val="0"/>
      <w:divBdr>
        <w:top w:val="none" w:sz="0" w:space="0" w:color="auto"/>
        <w:left w:val="none" w:sz="0" w:space="0" w:color="auto"/>
        <w:bottom w:val="none" w:sz="0" w:space="0" w:color="auto"/>
        <w:right w:val="none" w:sz="0" w:space="0" w:color="auto"/>
      </w:divBdr>
    </w:div>
    <w:div w:id="515972009">
      <w:bodyDiv w:val="1"/>
      <w:marLeft w:val="0"/>
      <w:marRight w:val="0"/>
      <w:marTop w:val="0"/>
      <w:marBottom w:val="0"/>
      <w:divBdr>
        <w:top w:val="none" w:sz="0" w:space="0" w:color="auto"/>
        <w:left w:val="none" w:sz="0" w:space="0" w:color="auto"/>
        <w:bottom w:val="none" w:sz="0" w:space="0" w:color="auto"/>
        <w:right w:val="none" w:sz="0" w:space="0" w:color="auto"/>
      </w:divBdr>
    </w:div>
    <w:div w:id="522286987">
      <w:bodyDiv w:val="1"/>
      <w:marLeft w:val="0"/>
      <w:marRight w:val="0"/>
      <w:marTop w:val="0"/>
      <w:marBottom w:val="0"/>
      <w:divBdr>
        <w:top w:val="none" w:sz="0" w:space="0" w:color="auto"/>
        <w:left w:val="none" w:sz="0" w:space="0" w:color="auto"/>
        <w:bottom w:val="none" w:sz="0" w:space="0" w:color="auto"/>
        <w:right w:val="none" w:sz="0" w:space="0" w:color="auto"/>
      </w:divBdr>
    </w:div>
    <w:div w:id="526144744">
      <w:bodyDiv w:val="1"/>
      <w:marLeft w:val="0"/>
      <w:marRight w:val="0"/>
      <w:marTop w:val="0"/>
      <w:marBottom w:val="0"/>
      <w:divBdr>
        <w:top w:val="none" w:sz="0" w:space="0" w:color="auto"/>
        <w:left w:val="none" w:sz="0" w:space="0" w:color="auto"/>
        <w:bottom w:val="none" w:sz="0" w:space="0" w:color="auto"/>
        <w:right w:val="none" w:sz="0" w:space="0" w:color="auto"/>
      </w:divBdr>
    </w:div>
    <w:div w:id="556741795">
      <w:bodyDiv w:val="1"/>
      <w:marLeft w:val="0"/>
      <w:marRight w:val="0"/>
      <w:marTop w:val="0"/>
      <w:marBottom w:val="0"/>
      <w:divBdr>
        <w:top w:val="none" w:sz="0" w:space="0" w:color="auto"/>
        <w:left w:val="none" w:sz="0" w:space="0" w:color="auto"/>
        <w:bottom w:val="none" w:sz="0" w:space="0" w:color="auto"/>
        <w:right w:val="none" w:sz="0" w:space="0" w:color="auto"/>
      </w:divBdr>
    </w:div>
    <w:div w:id="561872790">
      <w:bodyDiv w:val="1"/>
      <w:marLeft w:val="0"/>
      <w:marRight w:val="0"/>
      <w:marTop w:val="0"/>
      <w:marBottom w:val="0"/>
      <w:divBdr>
        <w:top w:val="none" w:sz="0" w:space="0" w:color="auto"/>
        <w:left w:val="none" w:sz="0" w:space="0" w:color="auto"/>
        <w:bottom w:val="none" w:sz="0" w:space="0" w:color="auto"/>
        <w:right w:val="none" w:sz="0" w:space="0" w:color="auto"/>
      </w:divBdr>
    </w:div>
    <w:div w:id="568883079">
      <w:bodyDiv w:val="1"/>
      <w:marLeft w:val="0"/>
      <w:marRight w:val="0"/>
      <w:marTop w:val="0"/>
      <w:marBottom w:val="0"/>
      <w:divBdr>
        <w:top w:val="none" w:sz="0" w:space="0" w:color="auto"/>
        <w:left w:val="none" w:sz="0" w:space="0" w:color="auto"/>
        <w:bottom w:val="none" w:sz="0" w:space="0" w:color="auto"/>
        <w:right w:val="none" w:sz="0" w:space="0" w:color="auto"/>
      </w:divBdr>
    </w:div>
    <w:div w:id="584417153">
      <w:bodyDiv w:val="1"/>
      <w:marLeft w:val="0"/>
      <w:marRight w:val="0"/>
      <w:marTop w:val="0"/>
      <w:marBottom w:val="0"/>
      <w:divBdr>
        <w:top w:val="none" w:sz="0" w:space="0" w:color="auto"/>
        <w:left w:val="none" w:sz="0" w:space="0" w:color="auto"/>
        <w:bottom w:val="none" w:sz="0" w:space="0" w:color="auto"/>
        <w:right w:val="none" w:sz="0" w:space="0" w:color="auto"/>
      </w:divBdr>
    </w:div>
    <w:div w:id="595594935">
      <w:bodyDiv w:val="1"/>
      <w:marLeft w:val="0"/>
      <w:marRight w:val="0"/>
      <w:marTop w:val="0"/>
      <w:marBottom w:val="0"/>
      <w:divBdr>
        <w:top w:val="none" w:sz="0" w:space="0" w:color="auto"/>
        <w:left w:val="none" w:sz="0" w:space="0" w:color="auto"/>
        <w:bottom w:val="none" w:sz="0" w:space="0" w:color="auto"/>
        <w:right w:val="none" w:sz="0" w:space="0" w:color="auto"/>
      </w:divBdr>
    </w:div>
    <w:div w:id="615402930">
      <w:bodyDiv w:val="1"/>
      <w:marLeft w:val="0"/>
      <w:marRight w:val="0"/>
      <w:marTop w:val="0"/>
      <w:marBottom w:val="0"/>
      <w:divBdr>
        <w:top w:val="none" w:sz="0" w:space="0" w:color="auto"/>
        <w:left w:val="none" w:sz="0" w:space="0" w:color="auto"/>
        <w:bottom w:val="none" w:sz="0" w:space="0" w:color="auto"/>
        <w:right w:val="none" w:sz="0" w:space="0" w:color="auto"/>
      </w:divBdr>
    </w:div>
    <w:div w:id="615479893">
      <w:bodyDiv w:val="1"/>
      <w:marLeft w:val="0"/>
      <w:marRight w:val="0"/>
      <w:marTop w:val="0"/>
      <w:marBottom w:val="0"/>
      <w:divBdr>
        <w:top w:val="none" w:sz="0" w:space="0" w:color="auto"/>
        <w:left w:val="none" w:sz="0" w:space="0" w:color="auto"/>
        <w:bottom w:val="none" w:sz="0" w:space="0" w:color="auto"/>
        <w:right w:val="none" w:sz="0" w:space="0" w:color="auto"/>
      </w:divBdr>
    </w:div>
    <w:div w:id="649024452">
      <w:bodyDiv w:val="1"/>
      <w:marLeft w:val="0"/>
      <w:marRight w:val="0"/>
      <w:marTop w:val="0"/>
      <w:marBottom w:val="0"/>
      <w:divBdr>
        <w:top w:val="none" w:sz="0" w:space="0" w:color="auto"/>
        <w:left w:val="none" w:sz="0" w:space="0" w:color="auto"/>
        <w:bottom w:val="none" w:sz="0" w:space="0" w:color="auto"/>
        <w:right w:val="none" w:sz="0" w:space="0" w:color="auto"/>
      </w:divBdr>
    </w:div>
    <w:div w:id="657030220">
      <w:bodyDiv w:val="1"/>
      <w:marLeft w:val="0"/>
      <w:marRight w:val="0"/>
      <w:marTop w:val="0"/>
      <w:marBottom w:val="0"/>
      <w:divBdr>
        <w:top w:val="none" w:sz="0" w:space="0" w:color="auto"/>
        <w:left w:val="none" w:sz="0" w:space="0" w:color="auto"/>
        <w:bottom w:val="none" w:sz="0" w:space="0" w:color="auto"/>
        <w:right w:val="none" w:sz="0" w:space="0" w:color="auto"/>
      </w:divBdr>
    </w:div>
    <w:div w:id="658309687">
      <w:bodyDiv w:val="1"/>
      <w:marLeft w:val="0"/>
      <w:marRight w:val="0"/>
      <w:marTop w:val="0"/>
      <w:marBottom w:val="0"/>
      <w:divBdr>
        <w:top w:val="none" w:sz="0" w:space="0" w:color="auto"/>
        <w:left w:val="none" w:sz="0" w:space="0" w:color="auto"/>
        <w:bottom w:val="none" w:sz="0" w:space="0" w:color="auto"/>
        <w:right w:val="none" w:sz="0" w:space="0" w:color="auto"/>
      </w:divBdr>
    </w:div>
    <w:div w:id="671684209">
      <w:bodyDiv w:val="1"/>
      <w:marLeft w:val="0"/>
      <w:marRight w:val="0"/>
      <w:marTop w:val="0"/>
      <w:marBottom w:val="0"/>
      <w:divBdr>
        <w:top w:val="none" w:sz="0" w:space="0" w:color="auto"/>
        <w:left w:val="none" w:sz="0" w:space="0" w:color="auto"/>
        <w:bottom w:val="none" w:sz="0" w:space="0" w:color="auto"/>
        <w:right w:val="none" w:sz="0" w:space="0" w:color="auto"/>
      </w:divBdr>
    </w:div>
    <w:div w:id="680621176">
      <w:bodyDiv w:val="1"/>
      <w:marLeft w:val="0"/>
      <w:marRight w:val="0"/>
      <w:marTop w:val="0"/>
      <w:marBottom w:val="0"/>
      <w:divBdr>
        <w:top w:val="none" w:sz="0" w:space="0" w:color="auto"/>
        <w:left w:val="none" w:sz="0" w:space="0" w:color="auto"/>
        <w:bottom w:val="none" w:sz="0" w:space="0" w:color="auto"/>
        <w:right w:val="none" w:sz="0" w:space="0" w:color="auto"/>
      </w:divBdr>
    </w:div>
    <w:div w:id="709959026">
      <w:bodyDiv w:val="1"/>
      <w:marLeft w:val="0"/>
      <w:marRight w:val="0"/>
      <w:marTop w:val="0"/>
      <w:marBottom w:val="0"/>
      <w:divBdr>
        <w:top w:val="none" w:sz="0" w:space="0" w:color="auto"/>
        <w:left w:val="none" w:sz="0" w:space="0" w:color="auto"/>
        <w:bottom w:val="none" w:sz="0" w:space="0" w:color="auto"/>
        <w:right w:val="none" w:sz="0" w:space="0" w:color="auto"/>
      </w:divBdr>
      <w:divsChild>
        <w:div w:id="1020816437">
          <w:marLeft w:val="0"/>
          <w:marRight w:val="0"/>
          <w:marTop w:val="0"/>
          <w:marBottom w:val="480"/>
          <w:divBdr>
            <w:top w:val="none" w:sz="0" w:space="0" w:color="auto"/>
            <w:left w:val="none" w:sz="0" w:space="0" w:color="auto"/>
            <w:bottom w:val="none" w:sz="0" w:space="0" w:color="auto"/>
            <w:right w:val="none" w:sz="0" w:space="0" w:color="auto"/>
          </w:divBdr>
        </w:div>
        <w:div w:id="508100739">
          <w:marLeft w:val="0"/>
          <w:marRight w:val="0"/>
          <w:marTop w:val="0"/>
          <w:marBottom w:val="750"/>
          <w:divBdr>
            <w:top w:val="none" w:sz="0" w:space="0" w:color="auto"/>
            <w:left w:val="none" w:sz="0" w:space="0" w:color="auto"/>
            <w:bottom w:val="none" w:sz="0" w:space="0" w:color="auto"/>
            <w:right w:val="none" w:sz="0" w:space="0" w:color="auto"/>
          </w:divBdr>
          <w:divsChild>
            <w:div w:id="11348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78437">
      <w:bodyDiv w:val="1"/>
      <w:marLeft w:val="0"/>
      <w:marRight w:val="0"/>
      <w:marTop w:val="0"/>
      <w:marBottom w:val="0"/>
      <w:divBdr>
        <w:top w:val="none" w:sz="0" w:space="0" w:color="auto"/>
        <w:left w:val="none" w:sz="0" w:space="0" w:color="auto"/>
        <w:bottom w:val="none" w:sz="0" w:space="0" w:color="auto"/>
        <w:right w:val="none" w:sz="0" w:space="0" w:color="auto"/>
      </w:divBdr>
    </w:div>
    <w:div w:id="736316369">
      <w:bodyDiv w:val="1"/>
      <w:marLeft w:val="0"/>
      <w:marRight w:val="0"/>
      <w:marTop w:val="0"/>
      <w:marBottom w:val="0"/>
      <w:divBdr>
        <w:top w:val="none" w:sz="0" w:space="0" w:color="auto"/>
        <w:left w:val="none" w:sz="0" w:space="0" w:color="auto"/>
        <w:bottom w:val="none" w:sz="0" w:space="0" w:color="auto"/>
        <w:right w:val="none" w:sz="0" w:space="0" w:color="auto"/>
      </w:divBdr>
    </w:div>
    <w:div w:id="746877956">
      <w:bodyDiv w:val="1"/>
      <w:marLeft w:val="0"/>
      <w:marRight w:val="0"/>
      <w:marTop w:val="0"/>
      <w:marBottom w:val="0"/>
      <w:divBdr>
        <w:top w:val="none" w:sz="0" w:space="0" w:color="auto"/>
        <w:left w:val="none" w:sz="0" w:space="0" w:color="auto"/>
        <w:bottom w:val="none" w:sz="0" w:space="0" w:color="auto"/>
        <w:right w:val="none" w:sz="0" w:space="0" w:color="auto"/>
      </w:divBdr>
    </w:div>
    <w:div w:id="748886883">
      <w:bodyDiv w:val="1"/>
      <w:marLeft w:val="0"/>
      <w:marRight w:val="0"/>
      <w:marTop w:val="0"/>
      <w:marBottom w:val="0"/>
      <w:divBdr>
        <w:top w:val="none" w:sz="0" w:space="0" w:color="auto"/>
        <w:left w:val="none" w:sz="0" w:space="0" w:color="auto"/>
        <w:bottom w:val="none" w:sz="0" w:space="0" w:color="auto"/>
        <w:right w:val="none" w:sz="0" w:space="0" w:color="auto"/>
      </w:divBdr>
    </w:div>
    <w:div w:id="756942425">
      <w:bodyDiv w:val="1"/>
      <w:marLeft w:val="0"/>
      <w:marRight w:val="0"/>
      <w:marTop w:val="0"/>
      <w:marBottom w:val="0"/>
      <w:divBdr>
        <w:top w:val="none" w:sz="0" w:space="0" w:color="auto"/>
        <w:left w:val="none" w:sz="0" w:space="0" w:color="auto"/>
        <w:bottom w:val="none" w:sz="0" w:space="0" w:color="auto"/>
        <w:right w:val="none" w:sz="0" w:space="0" w:color="auto"/>
      </w:divBdr>
    </w:div>
    <w:div w:id="763650537">
      <w:bodyDiv w:val="1"/>
      <w:marLeft w:val="0"/>
      <w:marRight w:val="0"/>
      <w:marTop w:val="0"/>
      <w:marBottom w:val="0"/>
      <w:divBdr>
        <w:top w:val="none" w:sz="0" w:space="0" w:color="auto"/>
        <w:left w:val="none" w:sz="0" w:space="0" w:color="auto"/>
        <w:bottom w:val="none" w:sz="0" w:space="0" w:color="auto"/>
        <w:right w:val="none" w:sz="0" w:space="0" w:color="auto"/>
      </w:divBdr>
    </w:div>
    <w:div w:id="797067406">
      <w:bodyDiv w:val="1"/>
      <w:marLeft w:val="0"/>
      <w:marRight w:val="0"/>
      <w:marTop w:val="0"/>
      <w:marBottom w:val="0"/>
      <w:divBdr>
        <w:top w:val="none" w:sz="0" w:space="0" w:color="auto"/>
        <w:left w:val="none" w:sz="0" w:space="0" w:color="auto"/>
        <w:bottom w:val="none" w:sz="0" w:space="0" w:color="auto"/>
        <w:right w:val="none" w:sz="0" w:space="0" w:color="auto"/>
      </w:divBdr>
    </w:div>
    <w:div w:id="798451876">
      <w:bodyDiv w:val="1"/>
      <w:marLeft w:val="0"/>
      <w:marRight w:val="0"/>
      <w:marTop w:val="0"/>
      <w:marBottom w:val="0"/>
      <w:divBdr>
        <w:top w:val="none" w:sz="0" w:space="0" w:color="auto"/>
        <w:left w:val="none" w:sz="0" w:space="0" w:color="auto"/>
        <w:bottom w:val="none" w:sz="0" w:space="0" w:color="auto"/>
        <w:right w:val="none" w:sz="0" w:space="0" w:color="auto"/>
      </w:divBdr>
    </w:div>
    <w:div w:id="816921366">
      <w:bodyDiv w:val="1"/>
      <w:marLeft w:val="0"/>
      <w:marRight w:val="0"/>
      <w:marTop w:val="0"/>
      <w:marBottom w:val="0"/>
      <w:divBdr>
        <w:top w:val="none" w:sz="0" w:space="0" w:color="auto"/>
        <w:left w:val="none" w:sz="0" w:space="0" w:color="auto"/>
        <w:bottom w:val="none" w:sz="0" w:space="0" w:color="auto"/>
        <w:right w:val="none" w:sz="0" w:space="0" w:color="auto"/>
      </w:divBdr>
    </w:div>
    <w:div w:id="819493328">
      <w:bodyDiv w:val="1"/>
      <w:marLeft w:val="0"/>
      <w:marRight w:val="0"/>
      <w:marTop w:val="0"/>
      <w:marBottom w:val="0"/>
      <w:divBdr>
        <w:top w:val="none" w:sz="0" w:space="0" w:color="auto"/>
        <w:left w:val="none" w:sz="0" w:space="0" w:color="auto"/>
        <w:bottom w:val="none" w:sz="0" w:space="0" w:color="auto"/>
        <w:right w:val="none" w:sz="0" w:space="0" w:color="auto"/>
      </w:divBdr>
    </w:div>
    <w:div w:id="823668367">
      <w:bodyDiv w:val="1"/>
      <w:marLeft w:val="0"/>
      <w:marRight w:val="0"/>
      <w:marTop w:val="0"/>
      <w:marBottom w:val="0"/>
      <w:divBdr>
        <w:top w:val="none" w:sz="0" w:space="0" w:color="auto"/>
        <w:left w:val="none" w:sz="0" w:space="0" w:color="auto"/>
        <w:bottom w:val="none" w:sz="0" w:space="0" w:color="auto"/>
        <w:right w:val="none" w:sz="0" w:space="0" w:color="auto"/>
      </w:divBdr>
    </w:div>
    <w:div w:id="825821017">
      <w:bodyDiv w:val="1"/>
      <w:marLeft w:val="0"/>
      <w:marRight w:val="0"/>
      <w:marTop w:val="0"/>
      <w:marBottom w:val="0"/>
      <w:divBdr>
        <w:top w:val="none" w:sz="0" w:space="0" w:color="auto"/>
        <w:left w:val="none" w:sz="0" w:space="0" w:color="auto"/>
        <w:bottom w:val="none" w:sz="0" w:space="0" w:color="auto"/>
        <w:right w:val="none" w:sz="0" w:space="0" w:color="auto"/>
      </w:divBdr>
      <w:divsChild>
        <w:div w:id="655957700">
          <w:marLeft w:val="0"/>
          <w:marRight w:val="0"/>
          <w:marTop w:val="600"/>
          <w:marBottom w:val="450"/>
          <w:divBdr>
            <w:top w:val="none" w:sz="0" w:space="0" w:color="auto"/>
            <w:left w:val="none" w:sz="0" w:space="0" w:color="auto"/>
            <w:bottom w:val="single" w:sz="6" w:space="11" w:color="A23001"/>
            <w:right w:val="none" w:sz="0" w:space="0" w:color="auto"/>
          </w:divBdr>
          <w:divsChild>
            <w:div w:id="1100838101">
              <w:marLeft w:val="150"/>
              <w:marRight w:val="0"/>
              <w:marTop w:val="0"/>
              <w:marBottom w:val="0"/>
              <w:divBdr>
                <w:top w:val="none" w:sz="0" w:space="0" w:color="auto"/>
                <w:left w:val="none" w:sz="0" w:space="0" w:color="auto"/>
                <w:bottom w:val="none" w:sz="0" w:space="0" w:color="auto"/>
                <w:right w:val="none" w:sz="0" w:space="0" w:color="auto"/>
              </w:divBdr>
            </w:div>
          </w:divsChild>
        </w:div>
        <w:div w:id="1288002951">
          <w:marLeft w:val="0"/>
          <w:marRight w:val="0"/>
          <w:marTop w:val="150"/>
          <w:marBottom w:val="0"/>
          <w:divBdr>
            <w:top w:val="none" w:sz="0" w:space="0" w:color="auto"/>
            <w:left w:val="none" w:sz="0" w:space="0" w:color="auto"/>
            <w:bottom w:val="none" w:sz="0" w:space="0" w:color="auto"/>
            <w:right w:val="none" w:sz="0" w:space="0" w:color="auto"/>
          </w:divBdr>
          <w:divsChild>
            <w:div w:id="8515349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45293936">
      <w:bodyDiv w:val="1"/>
      <w:marLeft w:val="0"/>
      <w:marRight w:val="0"/>
      <w:marTop w:val="0"/>
      <w:marBottom w:val="0"/>
      <w:divBdr>
        <w:top w:val="none" w:sz="0" w:space="0" w:color="auto"/>
        <w:left w:val="none" w:sz="0" w:space="0" w:color="auto"/>
        <w:bottom w:val="none" w:sz="0" w:space="0" w:color="auto"/>
        <w:right w:val="none" w:sz="0" w:space="0" w:color="auto"/>
      </w:divBdr>
    </w:div>
    <w:div w:id="847602222">
      <w:bodyDiv w:val="1"/>
      <w:marLeft w:val="0"/>
      <w:marRight w:val="0"/>
      <w:marTop w:val="0"/>
      <w:marBottom w:val="0"/>
      <w:divBdr>
        <w:top w:val="none" w:sz="0" w:space="0" w:color="auto"/>
        <w:left w:val="none" w:sz="0" w:space="0" w:color="auto"/>
        <w:bottom w:val="none" w:sz="0" w:space="0" w:color="auto"/>
        <w:right w:val="none" w:sz="0" w:space="0" w:color="auto"/>
      </w:divBdr>
    </w:div>
    <w:div w:id="861288887">
      <w:bodyDiv w:val="1"/>
      <w:marLeft w:val="0"/>
      <w:marRight w:val="0"/>
      <w:marTop w:val="0"/>
      <w:marBottom w:val="0"/>
      <w:divBdr>
        <w:top w:val="none" w:sz="0" w:space="0" w:color="auto"/>
        <w:left w:val="none" w:sz="0" w:space="0" w:color="auto"/>
        <w:bottom w:val="none" w:sz="0" w:space="0" w:color="auto"/>
        <w:right w:val="none" w:sz="0" w:space="0" w:color="auto"/>
      </w:divBdr>
    </w:div>
    <w:div w:id="868571235">
      <w:bodyDiv w:val="1"/>
      <w:marLeft w:val="0"/>
      <w:marRight w:val="0"/>
      <w:marTop w:val="0"/>
      <w:marBottom w:val="0"/>
      <w:divBdr>
        <w:top w:val="none" w:sz="0" w:space="0" w:color="auto"/>
        <w:left w:val="none" w:sz="0" w:space="0" w:color="auto"/>
        <w:bottom w:val="none" w:sz="0" w:space="0" w:color="auto"/>
        <w:right w:val="none" w:sz="0" w:space="0" w:color="auto"/>
      </w:divBdr>
    </w:div>
    <w:div w:id="872577428">
      <w:bodyDiv w:val="1"/>
      <w:marLeft w:val="0"/>
      <w:marRight w:val="0"/>
      <w:marTop w:val="0"/>
      <w:marBottom w:val="0"/>
      <w:divBdr>
        <w:top w:val="none" w:sz="0" w:space="0" w:color="auto"/>
        <w:left w:val="none" w:sz="0" w:space="0" w:color="auto"/>
        <w:bottom w:val="none" w:sz="0" w:space="0" w:color="auto"/>
        <w:right w:val="none" w:sz="0" w:space="0" w:color="auto"/>
      </w:divBdr>
    </w:div>
    <w:div w:id="884101726">
      <w:bodyDiv w:val="1"/>
      <w:marLeft w:val="0"/>
      <w:marRight w:val="0"/>
      <w:marTop w:val="0"/>
      <w:marBottom w:val="0"/>
      <w:divBdr>
        <w:top w:val="none" w:sz="0" w:space="0" w:color="auto"/>
        <w:left w:val="none" w:sz="0" w:space="0" w:color="auto"/>
        <w:bottom w:val="none" w:sz="0" w:space="0" w:color="auto"/>
        <w:right w:val="none" w:sz="0" w:space="0" w:color="auto"/>
      </w:divBdr>
    </w:div>
    <w:div w:id="893855034">
      <w:bodyDiv w:val="1"/>
      <w:marLeft w:val="0"/>
      <w:marRight w:val="0"/>
      <w:marTop w:val="0"/>
      <w:marBottom w:val="0"/>
      <w:divBdr>
        <w:top w:val="none" w:sz="0" w:space="0" w:color="auto"/>
        <w:left w:val="none" w:sz="0" w:space="0" w:color="auto"/>
        <w:bottom w:val="none" w:sz="0" w:space="0" w:color="auto"/>
        <w:right w:val="none" w:sz="0" w:space="0" w:color="auto"/>
      </w:divBdr>
    </w:div>
    <w:div w:id="908270761">
      <w:bodyDiv w:val="1"/>
      <w:marLeft w:val="0"/>
      <w:marRight w:val="0"/>
      <w:marTop w:val="0"/>
      <w:marBottom w:val="0"/>
      <w:divBdr>
        <w:top w:val="none" w:sz="0" w:space="0" w:color="auto"/>
        <w:left w:val="none" w:sz="0" w:space="0" w:color="auto"/>
        <w:bottom w:val="none" w:sz="0" w:space="0" w:color="auto"/>
        <w:right w:val="none" w:sz="0" w:space="0" w:color="auto"/>
      </w:divBdr>
    </w:div>
    <w:div w:id="913658533">
      <w:bodyDiv w:val="1"/>
      <w:marLeft w:val="0"/>
      <w:marRight w:val="0"/>
      <w:marTop w:val="0"/>
      <w:marBottom w:val="0"/>
      <w:divBdr>
        <w:top w:val="none" w:sz="0" w:space="0" w:color="auto"/>
        <w:left w:val="none" w:sz="0" w:space="0" w:color="auto"/>
        <w:bottom w:val="none" w:sz="0" w:space="0" w:color="auto"/>
        <w:right w:val="none" w:sz="0" w:space="0" w:color="auto"/>
      </w:divBdr>
    </w:div>
    <w:div w:id="922110124">
      <w:bodyDiv w:val="1"/>
      <w:marLeft w:val="0"/>
      <w:marRight w:val="0"/>
      <w:marTop w:val="0"/>
      <w:marBottom w:val="0"/>
      <w:divBdr>
        <w:top w:val="none" w:sz="0" w:space="0" w:color="auto"/>
        <w:left w:val="none" w:sz="0" w:space="0" w:color="auto"/>
        <w:bottom w:val="none" w:sz="0" w:space="0" w:color="auto"/>
        <w:right w:val="none" w:sz="0" w:space="0" w:color="auto"/>
      </w:divBdr>
    </w:div>
    <w:div w:id="947742098">
      <w:bodyDiv w:val="1"/>
      <w:marLeft w:val="0"/>
      <w:marRight w:val="0"/>
      <w:marTop w:val="0"/>
      <w:marBottom w:val="0"/>
      <w:divBdr>
        <w:top w:val="none" w:sz="0" w:space="0" w:color="auto"/>
        <w:left w:val="none" w:sz="0" w:space="0" w:color="auto"/>
        <w:bottom w:val="none" w:sz="0" w:space="0" w:color="auto"/>
        <w:right w:val="none" w:sz="0" w:space="0" w:color="auto"/>
      </w:divBdr>
    </w:div>
    <w:div w:id="960497769">
      <w:bodyDiv w:val="1"/>
      <w:marLeft w:val="0"/>
      <w:marRight w:val="0"/>
      <w:marTop w:val="0"/>
      <w:marBottom w:val="0"/>
      <w:divBdr>
        <w:top w:val="none" w:sz="0" w:space="0" w:color="auto"/>
        <w:left w:val="none" w:sz="0" w:space="0" w:color="auto"/>
        <w:bottom w:val="none" w:sz="0" w:space="0" w:color="auto"/>
        <w:right w:val="none" w:sz="0" w:space="0" w:color="auto"/>
      </w:divBdr>
    </w:div>
    <w:div w:id="965619481">
      <w:bodyDiv w:val="1"/>
      <w:marLeft w:val="0"/>
      <w:marRight w:val="0"/>
      <w:marTop w:val="0"/>
      <w:marBottom w:val="0"/>
      <w:divBdr>
        <w:top w:val="none" w:sz="0" w:space="0" w:color="auto"/>
        <w:left w:val="none" w:sz="0" w:space="0" w:color="auto"/>
        <w:bottom w:val="none" w:sz="0" w:space="0" w:color="auto"/>
        <w:right w:val="none" w:sz="0" w:space="0" w:color="auto"/>
      </w:divBdr>
    </w:div>
    <w:div w:id="967590956">
      <w:bodyDiv w:val="1"/>
      <w:marLeft w:val="0"/>
      <w:marRight w:val="0"/>
      <w:marTop w:val="0"/>
      <w:marBottom w:val="0"/>
      <w:divBdr>
        <w:top w:val="none" w:sz="0" w:space="0" w:color="auto"/>
        <w:left w:val="none" w:sz="0" w:space="0" w:color="auto"/>
        <w:bottom w:val="none" w:sz="0" w:space="0" w:color="auto"/>
        <w:right w:val="none" w:sz="0" w:space="0" w:color="auto"/>
      </w:divBdr>
    </w:div>
    <w:div w:id="969087650">
      <w:bodyDiv w:val="1"/>
      <w:marLeft w:val="0"/>
      <w:marRight w:val="0"/>
      <w:marTop w:val="0"/>
      <w:marBottom w:val="0"/>
      <w:divBdr>
        <w:top w:val="none" w:sz="0" w:space="0" w:color="auto"/>
        <w:left w:val="none" w:sz="0" w:space="0" w:color="auto"/>
        <w:bottom w:val="none" w:sz="0" w:space="0" w:color="auto"/>
        <w:right w:val="none" w:sz="0" w:space="0" w:color="auto"/>
      </w:divBdr>
    </w:div>
    <w:div w:id="971792931">
      <w:bodyDiv w:val="1"/>
      <w:marLeft w:val="0"/>
      <w:marRight w:val="0"/>
      <w:marTop w:val="0"/>
      <w:marBottom w:val="0"/>
      <w:divBdr>
        <w:top w:val="none" w:sz="0" w:space="0" w:color="auto"/>
        <w:left w:val="none" w:sz="0" w:space="0" w:color="auto"/>
        <w:bottom w:val="none" w:sz="0" w:space="0" w:color="auto"/>
        <w:right w:val="none" w:sz="0" w:space="0" w:color="auto"/>
      </w:divBdr>
    </w:div>
    <w:div w:id="971903342">
      <w:bodyDiv w:val="1"/>
      <w:marLeft w:val="0"/>
      <w:marRight w:val="0"/>
      <w:marTop w:val="0"/>
      <w:marBottom w:val="0"/>
      <w:divBdr>
        <w:top w:val="none" w:sz="0" w:space="0" w:color="auto"/>
        <w:left w:val="none" w:sz="0" w:space="0" w:color="auto"/>
        <w:bottom w:val="none" w:sz="0" w:space="0" w:color="auto"/>
        <w:right w:val="none" w:sz="0" w:space="0" w:color="auto"/>
      </w:divBdr>
    </w:div>
    <w:div w:id="980622797">
      <w:bodyDiv w:val="1"/>
      <w:marLeft w:val="0"/>
      <w:marRight w:val="0"/>
      <w:marTop w:val="0"/>
      <w:marBottom w:val="0"/>
      <w:divBdr>
        <w:top w:val="none" w:sz="0" w:space="0" w:color="auto"/>
        <w:left w:val="none" w:sz="0" w:space="0" w:color="auto"/>
        <w:bottom w:val="none" w:sz="0" w:space="0" w:color="auto"/>
        <w:right w:val="none" w:sz="0" w:space="0" w:color="auto"/>
      </w:divBdr>
    </w:div>
    <w:div w:id="990980803">
      <w:bodyDiv w:val="1"/>
      <w:marLeft w:val="0"/>
      <w:marRight w:val="0"/>
      <w:marTop w:val="0"/>
      <w:marBottom w:val="0"/>
      <w:divBdr>
        <w:top w:val="none" w:sz="0" w:space="0" w:color="auto"/>
        <w:left w:val="none" w:sz="0" w:space="0" w:color="auto"/>
        <w:bottom w:val="none" w:sz="0" w:space="0" w:color="auto"/>
        <w:right w:val="none" w:sz="0" w:space="0" w:color="auto"/>
      </w:divBdr>
    </w:div>
    <w:div w:id="1004892910">
      <w:bodyDiv w:val="1"/>
      <w:marLeft w:val="0"/>
      <w:marRight w:val="0"/>
      <w:marTop w:val="0"/>
      <w:marBottom w:val="0"/>
      <w:divBdr>
        <w:top w:val="none" w:sz="0" w:space="0" w:color="auto"/>
        <w:left w:val="none" w:sz="0" w:space="0" w:color="auto"/>
        <w:bottom w:val="none" w:sz="0" w:space="0" w:color="auto"/>
        <w:right w:val="none" w:sz="0" w:space="0" w:color="auto"/>
      </w:divBdr>
    </w:div>
    <w:div w:id="1025978451">
      <w:bodyDiv w:val="1"/>
      <w:marLeft w:val="0"/>
      <w:marRight w:val="0"/>
      <w:marTop w:val="0"/>
      <w:marBottom w:val="0"/>
      <w:divBdr>
        <w:top w:val="none" w:sz="0" w:space="0" w:color="auto"/>
        <w:left w:val="none" w:sz="0" w:space="0" w:color="auto"/>
        <w:bottom w:val="none" w:sz="0" w:space="0" w:color="auto"/>
        <w:right w:val="none" w:sz="0" w:space="0" w:color="auto"/>
      </w:divBdr>
    </w:div>
    <w:div w:id="1032731988">
      <w:bodyDiv w:val="1"/>
      <w:marLeft w:val="0"/>
      <w:marRight w:val="0"/>
      <w:marTop w:val="0"/>
      <w:marBottom w:val="0"/>
      <w:divBdr>
        <w:top w:val="none" w:sz="0" w:space="0" w:color="auto"/>
        <w:left w:val="none" w:sz="0" w:space="0" w:color="auto"/>
        <w:bottom w:val="none" w:sz="0" w:space="0" w:color="auto"/>
        <w:right w:val="none" w:sz="0" w:space="0" w:color="auto"/>
      </w:divBdr>
    </w:div>
    <w:div w:id="1049067278">
      <w:bodyDiv w:val="1"/>
      <w:marLeft w:val="0"/>
      <w:marRight w:val="0"/>
      <w:marTop w:val="0"/>
      <w:marBottom w:val="0"/>
      <w:divBdr>
        <w:top w:val="none" w:sz="0" w:space="0" w:color="auto"/>
        <w:left w:val="none" w:sz="0" w:space="0" w:color="auto"/>
        <w:bottom w:val="none" w:sz="0" w:space="0" w:color="auto"/>
        <w:right w:val="none" w:sz="0" w:space="0" w:color="auto"/>
      </w:divBdr>
    </w:div>
    <w:div w:id="1057439849">
      <w:bodyDiv w:val="1"/>
      <w:marLeft w:val="0"/>
      <w:marRight w:val="0"/>
      <w:marTop w:val="0"/>
      <w:marBottom w:val="0"/>
      <w:divBdr>
        <w:top w:val="none" w:sz="0" w:space="0" w:color="auto"/>
        <w:left w:val="none" w:sz="0" w:space="0" w:color="auto"/>
        <w:bottom w:val="none" w:sz="0" w:space="0" w:color="auto"/>
        <w:right w:val="none" w:sz="0" w:space="0" w:color="auto"/>
      </w:divBdr>
    </w:div>
    <w:div w:id="1069577354">
      <w:bodyDiv w:val="1"/>
      <w:marLeft w:val="0"/>
      <w:marRight w:val="0"/>
      <w:marTop w:val="0"/>
      <w:marBottom w:val="0"/>
      <w:divBdr>
        <w:top w:val="none" w:sz="0" w:space="0" w:color="auto"/>
        <w:left w:val="none" w:sz="0" w:space="0" w:color="auto"/>
        <w:bottom w:val="none" w:sz="0" w:space="0" w:color="auto"/>
        <w:right w:val="none" w:sz="0" w:space="0" w:color="auto"/>
      </w:divBdr>
    </w:div>
    <w:div w:id="1070661842">
      <w:bodyDiv w:val="1"/>
      <w:marLeft w:val="0"/>
      <w:marRight w:val="0"/>
      <w:marTop w:val="0"/>
      <w:marBottom w:val="0"/>
      <w:divBdr>
        <w:top w:val="none" w:sz="0" w:space="0" w:color="auto"/>
        <w:left w:val="none" w:sz="0" w:space="0" w:color="auto"/>
        <w:bottom w:val="none" w:sz="0" w:space="0" w:color="auto"/>
        <w:right w:val="none" w:sz="0" w:space="0" w:color="auto"/>
      </w:divBdr>
    </w:div>
    <w:div w:id="1070807662">
      <w:bodyDiv w:val="1"/>
      <w:marLeft w:val="0"/>
      <w:marRight w:val="0"/>
      <w:marTop w:val="0"/>
      <w:marBottom w:val="0"/>
      <w:divBdr>
        <w:top w:val="none" w:sz="0" w:space="0" w:color="auto"/>
        <w:left w:val="none" w:sz="0" w:space="0" w:color="auto"/>
        <w:bottom w:val="none" w:sz="0" w:space="0" w:color="auto"/>
        <w:right w:val="none" w:sz="0" w:space="0" w:color="auto"/>
      </w:divBdr>
    </w:div>
    <w:div w:id="1078135403">
      <w:bodyDiv w:val="1"/>
      <w:marLeft w:val="0"/>
      <w:marRight w:val="0"/>
      <w:marTop w:val="0"/>
      <w:marBottom w:val="0"/>
      <w:divBdr>
        <w:top w:val="none" w:sz="0" w:space="0" w:color="auto"/>
        <w:left w:val="none" w:sz="0" w:space="0" w:color="auto"/>
        <w:bottom w:val="none" w:sz="0" w:space="0" w:color="auto"/>
        <w:right w:val="none" w:sz="0" w:space="0" w:color="auto"/>
      </w:divBdr>
    </w:div>
    <w:div w:id="1092436542">
      <w:bodyDiv w:val="1"/>
      <w:marLeft w:val="0"/>
      <w:marRight w:val="0"/>
      <w:marTop w:val="0"/>
      <w:marBottom w:val="0"/>
      <w:divBdr>
        <w:top w:val="none" w:sz="0" w:space="0" w:color="auto"/>
        <w:left w:val="none" w:sz="0" w:space="0" w:color="auto"/>
        <w:bottom w:val="none" w:sz="0" w:space="0" w:color="auto"/>
        <w:right w:val="none" w:sz="0" w:space="0" w:color="auto"/>
      </w:divBdr>
    </w:div>
    <w:div w:id="1103769735">
      <w:bodyDiv w:val="1"/>
      <w:marLeft w:val="0"/>
      <w:marRight w:val="0"/>
      <w:marTop w:val="0"/>
      <w:marBottom w:val="0"/>
      <w:divBdr>
        <w:top w:val="none" w:sz="0" w:space="0" w:color="auto"/>
        <w:left w:val="none" w:sz="0" w:space="0" w:color="auto"/>
        <w:bottom w:val="none" w:sz="0" w:space="0" w:color="auto"/>
        <w:right w:val="none" w:sz="0" w:space="0" w:color="auto"/>
      </w:divBdr>
    </w:div>
    <w:div w:id="1106542122">
      <w:bodyDiv w:val="1"/>
      <w:marLeft w:val="0"/>
      <w:marRight w:val="0"/>
      <w:marTop w:val="0"/>
      <w:marBottom w:val="0"/>
      <w:divBdr>
        <w:top w:val="none" w:sz="0" w:space="0" w:color="auto"/>
        <w:left w:val="none" w:sz="0" w:space="0" w:color="auto"/>
        <w:bottom w:val="none" w:sz="0" w:space="0" w:color="auto"/>
        <w:right w:val="none" w:sz="0" w:space="0" w:color="auto"/>
      </w:divBdr>
    </w:div>
    <w:div w:id="1106731814">
      <w:bodyDiv w:val="1"/>
      <w:marLeft w:val="0"/>
      <w:marRight w:val="0"/>
      <w:marTop w:val="0"/>
      <w:marBottom w:val="0"/>
      <w:divBdr>
        <w:top w:val="none" w:sz="0" w:space="0" w:color="auto"/>
        <w:left w:val="none" w:sz="0" w:space="0" w:color="auto"/>
        <w:bottom w:val="none" w:sz="0" w:space="0" w:color="auto"/>
        <w:right w:val="none" w:sz="0" w:space="0" w:color="auto"/>
      </w:divBdr>
    </w:div>
    <w:div w:id="1108502265">
      <w:bodyDiv w:val="1"/>
      <w:marLeft w:val="0"/>
      <w:marRight w:val="0"/>
      <w:marTop w:val="0"/>
      <w:marBottom w:val="0"/>
      <w:divBdr>
        <w:top w:val="none" w:sz="0" w:space="0" w:color="auto"/>
        <w:left w:val="none" w:sz="0" w:space="0" w:color="auto"/>
        <w:bottom w:val="none" w:sz="0" w:space="0" w:color="auto"/>
        <w:right w:val="none" w:sz="0" w:space="0" w:color="auto"/>
      </w:divBdr>
    </w:div>
    <w:div w:id="1129321097">
      <w:bodyDiv w:val="1"/>
      <w:marLeft w:val="0"/>
      <w:marRight w:val="0"/>
      <w:marTop w:val="0"/>
      <w:marBottom w:val="0"/>
      <w:divBdr>
        <w:top w:val="none" w:sz="0" w:space="0" w:color="auto"/>
        <w:left w:val="none" w:sz="0" w:space="0" w:color="auto"/>
        <w:bottom w:val="none" w:sz="0" w:space="0" w:color="auto"/>
        <w:right w:val="none" w:sz="0" w:space="0" w:color="auto"/>
      </w:divBdr>
    </w:div>
    <w:div w:id="1131510049">
      <w:bodyDiv w:val="1"/>
      <w:marLeft w:val="0"/>
      <w:marRight w:val="0"/>
      <w:marTop w:val="0"/>
      <w:marBottom w:val="0"/>
      <w:divBdr>
        <w:top w:val="none" w:sz="0" w:space="0" w:color="auto"/>
        <w:left w:val="none" w:sz="0" w:space="0" w:color="auto"/>
        <w:bottom w:val="none" w:sz="0" w:space="0" w:color="auto"/>
        <w:right w:val="none" w:sz="0" w:space="0" w:color="auto"/>
      </w:divBdr>
    </w:div>
    <w:div w:id="1154299834">
      <w:bodyDiv w:val="1"/>
      <w:marLeft w:val="0"/>
      <w:marRight w:val="0"/>
      <w:marTop w:val="0"/>
      <w:marBottom w:val="0"/>
      <w:divBdr>
        <w:top w:val="none" w:sz="0" w:space="0" w:color="auto"/>
        <w:left w:val="none" w:sz="0" w:space="0" w:color="auto"/>
        <w:bottom w:val="none" w:sz="0" w:space="0" w:color="auto"/>
        <w:right w:val="none" w:sz="0" w:space="0" w:color="auto"/>
      </w:divBdr>
    </w:div>
    <w:div w:id="1157501300">
      <w:bodyDiv w:val="1"/>
      <w:marLeft w:val="0"/>
      <w:marRight w:val="0"/>
      <w:marTop w:val="0"/>
      <w:marBottom w:val="0"/>
      <w:divBdr>
        <w:top w:val="none" w:sz="0" w:space="0" w:color="auto"/>
        <w:left w:val="none" w:sz="0" w:space="0" w:color="auto"/>
        <w:bottom w:val="none" w:sz="0" w:space="0" w:color="auto"/>
        <w:right w:val="none" w:sz="0" w:space="0" w:color="auto"/>
      </w:divBdr>
    </w:div>
    <w:div w:id="1159926327">
      <w:bodyDiv w:val="1"/>
      <w:marLeft w:val="0"/>
      <w:marRight w:val="0"/>
      <w:marTop w:val="0"/>
      <w:marBottom w:val="0"/>
      <w:divBdr>
        <w:top w:val="none" w:sz="0" w:space="0" w:color="auto"/>
        <w:left w:val="none" w:sz="0" w:space="0" w:color="auto"/>
        <w:bottom w:val="none" w:sz="0" w:space="0" w:color="auto"/>
        <w:right w:val="none" w:sz="0" w:space="0" w:color="auto"/>
      </w:divBdr>
    </w:div>
    <w:div w:id="1160733507">
      <w:bodyDiv w:val="1"/>
      <w:marLeft w:val="0"/>
      <w:marRight w:val="0"/>
      <w:marTop w:val="0"/>
      <w:marBottom w:val="0"/>
      <w:divBdr>
        <w:top w:val="none" w:sz="0" w:space="0" w:color="auto"/>
        <w:left w:val="none" w:sz="0" w:space="0" w:color="auto"/>
        <w:bottom w:val="none" w:sz="0" w:space="0" w:color="auto"/>
        <w:right w:val="none" w:sz="0" w:space="0" w:color="auto"/>
      </w:divBdr>
    </w:div>
    <w:div w:id="1168403015">
      <w:bodyDiv w:val="1"/>
      <w:marLeft w:val="0"/>
      <w:marRight w:val="0"/>
      <w:marTop w:val="0"/>
      <w:marBottom w:val="0"/>
      <w:divBdr>
        <w:top w:val="none" w:sz="0" w:space="0" w:color="auto"/>
        <w:left w:val="none" w:sz="0" w:space="0" w:color="auto"/>
        <w:bottom w:val="none" w:sz="0" w:space="0" w:color="auto"/>
        <w:right w:val="none" w:sz="0" w:space="0" w:color="auto"/>
      </w:divBdr>
    </w:div>
    <w:div w:id="1170759638">
      <w:bodyDiv w:val="1"/>
      <w:marLeft w:val="0"/>
      <w:marRight w:val="0"/>
      <w:marTop w:val="0"/>
      <w:marBottom w:val="0"/>
      <w:divBdr>
        <w:top w:val="none" w:sz="0" w:space="0" w:color="auto"/>
        <w:left w:val="none" w:sz="0" w:space="0" w:color="auto"/>
        <w:bottom w:val="none" w:sz="0" w:space="0" w:color="auto"/>
        <w:right w:val="none" w:sz="0" w:space="0" w:color="auto"/>
      </w:divBdr>
    </w:div>
    <w:div w:id="1174344151">
      <w:bodyDiv w:val="1"/>
      <w:marLeft w:val="0"/>
      <w:marRight w:val="0"/>
      <w:marTop w:val="0"/>
      <w:marBottom w:val="0"/>
      <w:divBdr>
        <w:top w:val="none" w:sz="0" w:space="0" w:color="auto"/>
        <w:left w:val="none" w:sz="0" w:space="0" w:color="auto"/>
        <w:bottom w:val="none" w:sz="0" w:space="0" w:color="auto"/>
        <w:right w:val="none" w:sz="0" w:space="0" w:color="auto"/>
      </w:divBdr>
    </w:div>
    <w:div w:id="1183281012">
      <w:bodyDiv w:val="1"/>
      <w:marLeft w:val="0"/>
      <w:marRight w:val="0"/>
      <w:marTop w:val="0"/>
      <w:marBottom w:val="0"/>
      <w:divBdr>
        <w:top w:val="none" w:sz="0" w:space="0" w:color="auto"/>
        <w:left w:val="none" w:sz="0" w:space="0" w:color="auto"/>
        <w:bottom w:val="none" w:sz="0" w:space="0" w:color="auto"/>
        <w:right w:val="none" w:sz="0" w:space="0" w:color="auto"/>
      </w:divBdr>
    </w:div>
    <w:div w:id="1192495028">
      <w:bodyDiv w:val="1"/>
      <w:marLeft w:val="0"/>
      <w:marRight w:val="0"/>
      <w:marTop w:val="0"/>
      <w:marBottom w:val="0"/>
      <w:divBdr>
        <w:top w:val="none" w:sz="0" w:space="0" w:color="auto"/>
        <w:left w:val="none" w:sz="0" w:space="0" w:color="auto"/>
        <w:bottom w:val="none" w:sz="0" w:space="0" w:color="auto"/>
        <w:right w:val="none" w:sz="0" w:space="0" w:color="auto"/>
      </w:divBdr>
    </w:div>
    <w:div w:id="1202015222">
      <w:bodyDiv w:val="1"/>
      <w:marLeft w:val="0"/>
      <w:marRight w:val="0"/>
      <w:marTop w:val="0"/>
      <w:marBottom w:val="0"/>
      <w:divBdr>
        <w:top w:val="none" w:sz="0" w:space="0" w:color="auto"/>
        <w:left w:val="none" w:sz="0" w:space="0" w:color="auto"/>
        <w:bottom w:val="none" w:sz="0" w:space="0" w:color="auto"/>
        <w:right w:val="none" w:sz="0" w:space="0" w:color="auto"/>
      </w:divBdr>
    </w:div>
    <w:div w:id="1207990787">
      <w:bodyDiv w:val="1"/>
      <w:marLeft w:val="0"/>
      <w:marRight w:val="0"/>
      <w:marTop w:val="0"/>
      <w:marBottom w:val="0"/>
      <w:divBdr>
        <w:top w:val="none" w:sz="0" w:space="0" w:color="auto"/>
        <w:left w:val="none" w:sz="0" w:space="0" w:color="auto"/>
        <w:bottom w:val="none" w:sz="0" w:space="0" w:color="auto"/>
        <w:right w:val="none" w:sz="0" w:space="0" w:color="auto"/>
      </w:divBdr>
    </w:div>
    <w:div w:id="1214317495">
      <w:bodyDiv w:val="1"/>
      <w:marLeft w:val="0"/>
      <w:marRight w:val="0"/>
      <w:marTop w:val="0"/>
      <w:marBottom w:val="0"/>
      <w:divBdr>
        <w:top w:val="none" w:sz="0" w:space="0" w:color="auto"/>
        <w:left w:val="none" w:sz="0" w:space="0" w:color="auto"/>
        <w:bottom w:val="none" w:sz="0" w:space="0" w:color="auto"/>
        <w:right w:val="none" w:sz="0" w:space="0" w:color="auto"/>
      </w:divBdr>
    </w:div>
    <w:div w:id="1261109358">
      <w:bodyDiv w:val="1"/>
      <w:marLeft w:val="0"/>
      <w:marRight w:val="0"/>
      <w:marTop w:val="0"/>
      <w:marBottom w:val="0"/>
      <w:divBdr>
        <w:top w:val="none" w:sz="0" w:space="0" w:color="auto"/>
        <w:left w:val="none" w:sz="0" w:space="0" w:color="auto"/>
        <w:bottom w:val="none" w:sz="0" w:space="0" w:color="auto"/>
        <w:right w:val="none" w:sz="0" w:space="0" w:color="auto"/>
      </w:divBdr>
    </w:div>
    <w:div w:id="1261644749">
      <w:bodyDiv w:val="1"/>
      <w:marLeft w:val="0"/>
      <w:marRight w:val="0"/>
      <w:marTop w:val="0"/>
      <w:marBottom w:val="0"/>
      <w:divBdr>
        <w:top w:val="none" w:sz="0" w:space="0" w:color="auto"/>
        <w:left w:val="none" w:sz="0" w:space="0" w:color="auto"/>
        <w:bottom w:val="none" w:sz="0" w:space="0" w:color="auto"/>
        <w:right w:val="none" w:sz="0" w:space="0" w:color="auto"/>
      </w:divBdr>
    </w:div>
    <w:div w:id="1351637449">
      <w:bodyDiv w:val="1"/>
      <w:marLeft w:val="0"/>
      <w:marRight w:val="0"/>
      <w:marTop w:val="0"/>
      <w:marBottom w:val="0"/>
      <w:divBdr>
        <w:top w:val="none" w:sz="0" w:space="0" w:color="auto"/>
        <w:left w:val="none" w:sz="0" w:space="0" w:color="auto"/>
        <w:bottom w:val="none" w:sz="0" w:space="0" w:color="auto"/>
        <w:right w:val="none" w:sz="0" w:space="0" w:color="auto"/>
      </w:divBdr>
    </w:div>
    <w:div w:id="1358046432">
      <w:bodyDiv w:val="1"/>
      <w:marLeft w:val="0"/>
      <w:marRight w:val="0"/>
      <w:marTop w:val="0"/>
      <w:marBottom w:val="0"/>
      <w:divBdr>
        <w:top w:val="none" w:sz="0" w:space="0" w:color="auto"/>
        <w:left w:val="none" w:sz="0" w:space="0" w:color="auto"/>
        <w:bottom w:val="none" w:sz="0" w:space="0" w:color="auto"/>
        <w:right w:val="none" w:sz="0" w:space="0" w:color="auto"/>
      </w:divBdr>
    </w:div>
    <w:div w:id="1368872956">
      <w:bodyDiv w:val="1"/>
      <w:marLeft w:val="0"/>
      <w:marRight w:val="0"/>
      <w:marTop w:val="0"/>
      <w:marBottom w:val="0"/>
      <w:divBdr>
        <w:top w:val="none" w:sz="0" w:space="0" w:color="auto"/>
        <w:left w:val="none" w:sz="0" w:space="0" w:color="auto"/>
        <w:bottom w:val="none" w:sz="0" w:space="0" w:color="auto"/>
        <w:right w:val="none" w:sz="0" w:space="0" w:color="auto"/>
      </w:divBdr>
    </w:div>
    <w:div w:id="1374428320">
      <w:bodyDiv w:val="1"/>
      <w:marLeft w:val="0"/>
      <w:marRight w:val="0"/>
      <w:marTop w:val="0"/>
      <w:marBottom w:val="0"/>
      <w:divBdr>
        <w:top w:val="none" w:sz="0" w:space="0" w:color="auto"/>
        <w:left w:val="none" w:sz="0" w:space="0" w:color="auto"/>
        <w:bottom w:val="none" w:sz="0" w:space="0" w:color="auto"/>
        <w:right w:val="none" w:sz="0" w:space="0" w:color="auto"/>
      </w:divBdr>
    </w:div>
    <w:div w:id="1382098569">
      <w:bodyDiv w:val="1"/>
      <w:marLeft w:val="0"/>
      <w:marRight w:val="0"/>
      <w:marTop w:val="0"/>
      <w:marBottom w:val="0"/>
      <w:divBdr>
        <w:top w:val="none" w:sz="0" w:space="0" w:color="auto"/>
        <w:left w:val="none" w:sz="0" w:space="0" w:color="auto"/>
        <w:bottom w:val="none" w:sz="0" w:space="0" w:color="auto"/>
        <w:right w:val="none" w:sz="0" w:space="0" w:color="auto"/>
      </w:divBdr>
    </w:div>
    <w:div w:id="1382438569">
      <w:bodyDiv w:val="1"/>
      <w:marLeft w:val="0"/>
      <w:marRight w:val="0"/>
      <w:marTop w:val="0"/>
      <w:marBottom w:val="0"/>
      <w:divBdr>
        <w:top w:val="none" w:sz="0" w:space="0" w:color="auto"/>
        <w:left w:val="none" w:sz="0" w:space="0" w:color="auto"/>
        <w:bottom w:val="none" w:sz="0" w:space="0" w:color="auto"/>
        <w:right w:val="none" w:sz="0" w:space="0" w:color="auto"/>
      </w:divBdr>
    </w:div>
    <w:div w:id="1386026738">
      <w:bodyDiv w:val="1"/>
      <w:marLeft w:val="0"/>
      <w:marRight w:val="0"/>
      <w:marTop w:val="0"/>
      <w:marBottom w:val="0"/>
      <w:divBdr>
        <w:top w:val="none" w:sz="0" w:space="0" w:color="auto"/>
        <w:left w:val="none" w:sz="0" w:space="0" w:color="auto"/>
        <w:bottom w:val="none" w:sz="0" w:space="0" w:color="auto"/>
        <w:right w:val="none" w:sz="0" w:space="0" w:color="auto"/>
      </w:divBdr>
    </w:div>
    <w:div w:id="1391225549">
      <w:bodyDiv w:val="1"/>
      <w:marLeft w:val="0"/>
      <w:marRight w:val="0"/>
      <w:marTop w:val="0"/>
      <w:marBottom w:val="0"/>
      <w:divBdr>
        <w:top w:val="none" w:sz="0" w:space="0" w:color="auto"/>
        <w:left w:val="none" w:sz="0" w:space="0" w:color="auto"/>
        <w:bottom w:val="none" w:sz="0" w:space="0" w:color="auto"/>
        <w:right w:val="none" w:sz="0" w:space="0" w:color="auto"/>
      </w:divBdr>
    </w:div>
    <w:div w:id="1401171341">
      <w:bodyDiv w:val="1"/>
      <w:marLeft w:val="0"/>
      <w:marRight w:val="0"/>
      <w:marTop w:val="0"/>
      <w:marBottom w:val="0"/>
      <w:divBdr>
        <w:top w:val="none" w:sz="0" w:space="0" w:color="auto"/>
        <w:left w:val="none" w:sz="0" w:space="0" w:color="auto"/>
        <w:bottom w:val="none" w:sz="0" w:space="0" w:color="auto"/>
        <w:right w:val="none" w:sz="0" w:space="0" w:color="auto"/>
      </w:divBdr>
    </w:div>
    <w:div w:id="1416828025">
      <w:bodyDiv w:val="1"/>
      <w:marLeft w:val="0"/>
      <w:marRight w:val="0"/>
      <w:marTop w:val="0"/>
      <w:marBottom w:val="0"/>
      <w:divBdr>
        <w:top w:val="none" w:sz="0" w:space="0" w:color="auto"/>
        <w:left w:val="none" w:sz="0" w:space="0" w:color="auto"/>
        <w:bottom w:val="none" w:sz="0" w:space="0" w:color="auto"/>
        <w:right w:val="none" w:sz="0" w:space="0" w:color="auto"/>
      </w:divBdr>
    </w:div>
    <w:div w:id="1425882390">
      <w:bodyDiv w:val="1"/>
      <w:marLeft w:val="0"/>
      <w:marRight w:val="0"/>
      <w:marTop w:val="0"/>
      <w:marBottom w:val="0"/>
      <w:divBdr>
        <w:top w:val="none" w:sz="0" w:space="0" w:color="auto"/>
        <w:left w:val="none" w:sz="0" w:space="0" w:color="auto"/>
        <w:bottom w:val="none" w:sz="0" w:space="0" w:color="auto"/>
        <w:right w:val="none" w:sz="0" w:space="0" w:color="auto"/>
      </w:divBdr>
    </w:div>
    <w:div w:id="1426656182">
      <w:bodyDiv w:val="1"/>
      <w:marLeft w:val="0"/>
      <w:marRight w:val="0"/>
      <w:marTop w:val="0"/>
      <w:marBottom w:val="0"/>
      <w:divBdr>
        <w:top w:val="none" w:sz="0" w:space="0" w:color="auto"/>
        <w:left w:val="none" w:sz="0" w:space="0" w:color="auto"/>
        <w:bottom w:val="none" w:sz="0" w:space="0" w:color="auto"/>
        <w:right w:val="none" w:sz="0" w:space="0" w:color="auto"/>
      </w:divBdr>
      <w:divsChild>
        <w:div w:id="120614889">
          <w:marLeft w:val="0"/>
          <w:marRight w:val="0"/>
          <w:marTop w:val="0"/>
          <w:marBottom w:val="0"/>
          <w:divBdr>
            <w:top w:val="none" w:sz="0" w:space="0" w:color="auto"/>
            <w:left w:val="none" w:sz="0" w:space="0" w:color="auto"/>
            <w:bottom w:val="none" w:sz="0" w:space="0" w:color="auto"/>
            <w:right w:val="none" w:sz="0" w:space="0" w:color="auto"/>
          </w:divBdr>
          <w:divsChild>
            <w:div w:id="2057584091">
              <w:marLeft w:val="0"/>
              <w:marRight w:val="0"/>
              <w:marTop w:val="0"/>
              <w:marBottom w:val="0"/>
              <w:divBdr>
                <w:top w:val="none" w:sz="0" w:space="0" w:color="auto"/>
                <w:left w:val="none" w:sz="0" w:space="0" w:color="auto"/>
                <w:bottom w:val="none" w:sz="0" w:space="0" w:color="auto"/>
                <w:right w:val="none" w:sz="0" w:space="0" w:color="auto"/>
              </w:divBdr>
              <w:divsChild>
                <w:div w:id="1219248476">
                  <w:marLeft w:val="0"/>
                  <w:marRight w:val="0"/>
                  <w:marTop w:val="0"/>
                  <w:marBottom w:val="0"/>
                  <w:divBdr>
                    <w:top w:val="none" w:sz="0" w:space="0" w:color="auto"/>
                    <w:left w:val="none" w:sz="0" w:space="0" w:color="auto"/>
                    <w:bottom w:val="none" w:sz="0" w:space="0" w:color="auto"/>
                    <w:right w:val="none" w:sz="0" w:space="0" w:color="auto"/>
                  </w:divBdr>
                  <w:divsChild>
                    <w:div w:id="5153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88561">
          <w:marLeft w:val="0"/>
          <w:marRight w:val="0"/>
          <w:marTop w:val="0"/>
          <w:marBottom w:val="0"/>
          <w:divBdr>
            <w:top w:val="none" w:sz="0" w:space="0" w:color="auto"/>
            <w:left w:val="none" w:sz="0" w:space="0" w:color="auto"/>
            <w:bottom w:val="none" w:sz="0" w:space="0" w:color="auto"/>
            <w:right w:val="none" w:sz="0" w:space="0" w:color="auto"/>
          </w:divBdr>
          <w:divsChild>
            <w:div w:id="1172722485">
              <w:marLeft w:val="-360"/>
              <w:marRight w:val="-360"/>
              <w:marTop w:val="0"/>
              <w:marBottom w:val="0"/>
              <w:divBdr>
                <w:top w:val="none" w:sz="0" w:space="0" w:color="auto"/>
                <w:left w:val="none" w:sz="0" w:space="0" w:color="auto"/>
                <w:bottom w:val="none" w:sz="0" w:space="0" w:color="auto"/>
                <w:right w:val="none" w:sz="0" w:space="0" w:color="auto"/>
              </w:divBdr>
              <w:divsChild>
                <w:div w:id="194929823">
                  <w:marLeft w:val="0"/>
                  <w:marRight w:val="0"/>
                  <w:marTop w:val="0"/>
                  <w:marBottom w:val="0"/>
                  <w:divBdr>
                    <w:top w:val="none" w:sz="0" w:space="0" w:color="auto"/>
                    <w:left w:val="none" w:sz="0" w:space="0" w:color="auto"/>
                    <w:bottom w:val="none" w:sz="0" w:space="0" w:color="auto"/>
                    <w:right w:val="none" w:sz="0" w:space="0" w:color="auto"/>
                  </w:divBdr>
                  <w:divsChild>
                    <w:div w:id="173823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656223">
      <w:bodyDiv w:val="1"/>
      <w:marLeft w:val="0"/>
      <w:marRight w:val="0"/>
      <w:marTop w:val="0"/>
      <w:marBottom w:val="0"/>
      <w:divBdr>
        <w:top w:val="none" w:sz="0" w:space="0" w:color="auto"/>
        <w:left w:val="none" w:sz="0" w:space="0" w:color="auto"/>
        <w:bottom w:val="none" w:sz="0" w:space="0" w:color="auto"/>
        <w:right w:val="none" w:sz="0" w:space="0" w:color="auto"/>
      </w:divBdr>
    </w:div>
    <w:div w:id="1428578772">
      <w:bodyDiv w:val="1"/>
      <w:marLeft w:val="0"/>
      <w:marRight w:val="0"/>
      <w:marTop w:val="0"/>
      <w:marBottom w:val="0"/>
      <w:divBdr>
        <w:top w:val="none" w:sz="0" w:space="0" w:color="auto"/>
        <w:left w:val="none" w:sz="0" w:space="0" w:color="auto"/>
        <w:bottom w:val="none" w:sz="0" w:space="0" w:color="auto"/>
        <w:right w:val="none" w:sz="0" w:space="0" w:color="auto"/>
      </w:divBdr>
    </w:div>
    <w:div w:id="1436098107">
      <w:bodyDiv w:val="1"/>
      <w:marLeft w:val="0"/>
      <w:marRight w:val="0"/>
      <w:marTop w:val="0"/>
      <w:marBottom w:val="0"/>
      <w:divBdr>
        <w:top w:val="none" w:sz="0" w:space="0" w:color="auto"/>
        <w:left w:val="none" w:sz="0" w:space="0" w:color="auto"/>
        <w:bottom w:val="none" w:sz="0" w:space="0" w:color="auto"/>
        <w:right w:val="none" w:sz="0" w:space="0" w:color="auto"/>
      </w:divBdr>
    </w:div>
    <w:div w:id="1443382494">
      <w:bodyDiv w:val="1"/>
      <w:marLeft w:val="0"/>
      <w:marRight w:val="0"/>
      <w:marTop w:val="0"/>
      <w:marBottom w:val="0"/>
      <w:divBdr>
        <w:top w:val="none" w:sz="0" w:space="0" w:color="auto"/>
        <w:left w:val="none" w:sz="0" w:space="0" w:color="auto"/>
        <w:bottom w:val="none" w:sz="0" w:space="0" w:color="auto"/>
        <w:right w:val="none" w:sz="0" w:space="0" w:color="auto"/>
      </w:divBdr>
    </w:div>
    <w:div w:id="1446000542">
      <w:bodyDiv w:val="1"/>
      <w:marLeft w:val="0"/>
      <w:marRight w:val="0"/>
      <w:marTop w:val="0"/>
      <w:marBottom w:val="0"/>
      <w:divBdr>
        <w:top w:val="none" w:sz="0" w:space="0" w:color="auto"/>
        <w:left w:val="none" w:sz="0" w:space="0" w:color="auto"/>
        <w:bottom w:val="none" w:sz="0" w:space="0" w:color="auto"/>
        <w:right w:val="none" w:sz="0" w:space="0" w:color="auto"/>
      </w:divBdr>
    </w:div>
    <w:div w:id="1447846229">
      <w:bodyDiv w:val="1"/>
      <w:marLeft w:val="0"/>
      <w:marRight w:val="0"/>
      <w:marTop w:val="0"/>
      <w:marBottom w:val="0"/>
      <w:divBdr>
        <w:top w:val="none" w:sz="0" w:space="0" w:color="auto"/>
        <w:left w:val="none" w:sz="0" w:space="0" w:color="auto"/>
        <w:bottom w:val="none" w:sz="0" w:space="0" w:color="auto"/>
        <w:right w:val="none" w:sz="0" w:space="0" w:color="auto"/>
      </w:divBdr>
    </w:div>
    <w:div w:id="1449466371">
      <w:bodyDiv w:val="1"/>
      <w:marLeft w:val="0"/>
      <w:marRight w:val="0"/>
      <w:marTop w:val="0"/>
      <w:marBottom w:val="0"/>
      <w:divBdr>
        <w:top w:val="none" w:sz="0" w:space="0" w:color="auto"/>
        <w:left w:val="none" w:sz="0" w:space="0" w:color="auto"/>
        <w:bottom w:val="none" w:sz="0" w:space="0" w:color="auto"/>
        <w:right w:val="none" w:sz="0" w:space="0" w:color="auto"/>
      </w:divBdr>
    </w:div>
    <w:div w:id="1465855109">
      <w:bodyDiv w:val="1"/>
      <w:marLeft w:val="0"/>
      <w:marRight w:val="0"/>
      <w:marTop w:val="0"/>
      <w:marBottom w:val="0"/>
      <w:divBdr>
        <w:top w:val="none" w:sz="0" w:space="0" w:color="auto"/>
        <w:left w:val="none" w:sz="0" w:space="0" w:color="auto"/>
        <w:bottom w:val="none" w:sz="0" w:space="0" w:color="auto"/>
        <w:right w:val="none" w:sz="0" w:space="0" w:color="auto"/>
      </w:divBdr>
    </w:div>
    <w:div w:id="1487091358">
      <w:bodyDiv w:val="1"/>
      <w:marLeft w:val="0"/>
      <w:marRight w:val="0"/>
      <w:marTop w:val="0"/>
      <w:marBottom w:val="0"/>
      <w:divBdr>
        <w:top w:val="none" w:sz="0" w:space="0" w:color="auto"/>
        <w:left w:val="none" w:sz="0" w:space="0" w:color="auto"/>
        <w:bottom w:val="none" w:sz="0" w:space="0" w:color="auto"/>
        <w:right w:val="none" w:sz="0" w:space="0" w:color="auto"/>
      </w:divBdr>
    </w:div>
    <w:div w:id="1488131035">
      <w:bodyDiv w:val="1"/>
      <w:marLeft w:val="0"/>
      <w:marRight w:val="0"/>
      <w:marTop w:val="0"/>
      <w:marBottom w:val="0"/>
      <w:divBdr>
        <w:top w:val="none" w:sz="0" w:space="0" w:color="auto"/>
        <w:left w:val="none" w:sz="0" w:space="0" w:color="auto"/>
        <w:bottom w:val="none" w:sz="0" w:space="0" w:color="auto"/>
        <w:right w:val="none" w:sz="0" w:space="0" w:color="auto"/>
      </w:divBdr>
    </w:div>
    <w:div w:id="1499228498">
      <w:bodyDiv w:val="1"/>
      <w:marLeft w:val="0"/>
      <w:marRight w:val="0"/>
      <w:marTop w:val="0"/>
      <w:marBottom w:val="0"/>
      <w:divBdr>
        <w:top w:val="none" w:sz="0" w:space="0" w:color="auto"/>
        <w:left w:val="none" w:sz="0" w:space="0" w:color="auto"/>
        <w:bottom w:val="none" w:sz="0" w:space="0" w:color="auto"/>
        <w:right w:val="none" w:sz="0" w:space="0" w:color="auto"/>
      </w:divBdr>
    </w:div>
    <w:div w:id="1503819676">
      <w:bodyDiv w:val="1"/>
      <w:marLeft w:val="0"/>
      <w:marRight w:val="0"/>
      <w:marTop w:val="0"/>
      <w:marBottom w:val="0"/>
      <w:divBdr>
        <w:top w:val="none" w:sz="0" w:space="0" w:color="auto"/>
        <w:left w:val="none" w:sz="0" w:space="0" w:color="auto"/>
        <w:bottom w:val="none" w:sz="0" w:space="0" w:color="auto"/>
        <w:right w:val="none" w:sz="0" w:space="0" w:color="auto"/>
      </w:divBdr>
    </w:div>
    <w:div w:id="1511330219">
      <w:bodyDiv w:val="1"/>
      <w:marLeft w:val="0"/>
      <w:marRight w:val="0"/>
      <w:marTop w:val="0"/>
      <w:marBottom w:val="0"/>
      <w:divBdr>
        <w:top w:val="none" w:sz="0" w:space="0" w:color="auto"/>
        <w:left w:val="none" w:sz="0" w:space="0" w:color="auto"/>
        <w:bottom w:val="none" w:sz="0" w:space="0" w:color="auto"/>
        <w:right w:val="none" w:sz="0" w:space="0" w:color="auto"/>
      </w:divBdr>
    </w:div>
    <w:div w:id="1512062399">
      <w:bodyDiv w:val="1"/>
      <w:marLeft w:val="0"/>
      <w:marRight w:val="0"/>
      <w:marTop w:val="0"/>
      <w:marBottom w:val="0"/>
      <w:divBdr>
        <w:top w:val="none" w:sz="0" w:space="0" w:color="auto"/>
        <w:left w:val="none" w:sz="0" w:space="0" w:color="auto"/>
        <w:bottom w:val="none" w:sz="0" w:space="0" w:color="auto"/>
        <w:right w:val="none" w:sz="0" w:space="0" w:color="auto"/>
      </w:divBdr>
    </w:div>
    <w:div w:id="1517424282">
      <w:bodyDiv w:val="1"/>
      <w:marLeft w:val="0"/>
      <w:marRight w:val="0"/>
      <w:marTop w:val="0"/>
      <w:marBottom w:val="0"/>
      <w:divBdr>
        <w:top w:val="none" w:sz="0" w:space="0" w:color="auto"/>
        <w:left w:val="none" w:sz="0" w:space="0" w:color="auto"/>
        <w:bottom w:val="none" w:sz="0" w:space="0" w:color="auto"/>
        <w:right w:val="none" w:sz="0" w:space="0" w:color="auto"/>
      </w:divBdr>
    </w:div>
    <w:div w:id="1525943780">
      <w:bodyDiv w:val="1"/>
      <w:marLeft w:val="0"/>
      <w:marRight w:val="0"/>
      <w:marTop w:val="0"/>
      <w:marBottom w:val="0"/>
      <w:divBdr>
        <w:top w:val="none" w:sz="0" w:space="0" w:color="auto"/>
        <w:left w:val="none" w:sz="0" w:space="0" w:color="auto"/>
        <w:bottom w:val="none" w:sz="0" w:space="0" w:color="auto"/>
        <w:right w:val="none" w:sz="0" w:space="0" w:color="auto"/>
      </w:divBdr>
    </w:div>
    <w:div w:id="1533180328">
      <w:bodyDiv w:val="1"/>
      <w:marLeft w:val="0"/>
      <w:marRight w:val="0"/>
      <w:marTop w:val="0"/>
      <w:marBottom w:val="0"/>
      <w:divBdr>
        <w:top w:val="none" w:sz="0" w:space="0" w:color="auto"/>
        <w:left w:val="none" w:sz="0" w:space="0" w:color="auto"/>
        <w:bottom w:val="none" w:sz="0" w:space="0" w:color="auto"/>
        <w:right w:val="none" w:sz="0" w:space="0" w:color="auto"/>
      </w:divBdr>
    </w:div>
    <w:div w:id="1537768003">
      <w:bodyDiv w:val="1"/>
      <w:marLeft w:val="0"/>
      <w:marRight w:val="0"/>
      <w:marTop w:val="0"/>
      <w:marBottom w:val="0"/>
      <w:divBdr>
        <w:top w:val="none" w:sz="0" w:space="0" w:color="auto"/>
        <w:left w:val="none" w:sz="0" w:space="0" w:color="auto"/>
        <w:bottom w:val="none" w:sz="0" w:space="0" w:color="auto"/>
        <w:right w:val="none" w:sz="0" w:space="0" w:color="auto"/>
      </w:divBdr>
    </w:div>
    <w:div w:id="1559515152">
      <w:bodyDiv w:val="1"/>
      <w:marLeft w:val="0"/>
      <w:marRight w:val="0"/>
      <w:marTop w:val="0"/>
      <w:marBottom w:val="0"/>
      <w:divBdr>
        <w:top w:val="none" w:sz="0" w:space="0" w:color="auto"/>
        <w:left w:val="none" w:sz="0" w:space="0" w:color="auto"/>
        <w:bottom w:val="none" w:sz="0" w:space="0" w:color="auto"/>
        <w:right w:val="none" w:sz="0" w:space="0" w:color="auto"/>
      </w:divBdr>
    </w:div>
    <w:div w:id="1564220147">
      <w:bodyDiv w:val="1"/>
      <w:marLeft w:val="0"/>
      <w:marRight w:val="0"/>
      <w:marTop w:val="0"/>
      <w:marBottom w:val="0"/>
      <w:divBdr>
        <w:top w:val="none" w:sz="0" w:space="0" w:color="auto"/>
        <w:left w:val="none" w:sz="0" w:space="0" w:color="auto"/>
        <w:bottom w:val="none" w:sz="0" w:space="0" w:color="auto"/>
        <w:right w:val="none" w:sz="0" w:space="0" w:color="auto"/>
      </w:divBdr>
    </w:div>
    <w:div w:id="1583953138">
      <w:bodyDiv w:val="1"/>
      <w:marLeft w:val="0"/>
      <w:marRight w:val="0"/>
      <w:marTop w:val="0"/>
      <w:marBottom w:val="0"/>
      <w:divBdr>
        <w:top w:val="none" w:sz="0" w:space="0" w:color="auto"/>
        <w:left w:val="none" w:sz="0" w:space="0" w:color="auto"/>
        <w:bottom w:val="none" w:sz="0" w:space="0" w:color="auto"/>
        <w:right w:val="none" w:sz="0" w:space="0" w:color="auto"/>
      </w:divBdr>
    </w:div>
    <w:div w:id="1584875653">
      <w:bodyDiv w:val="1"/>
      <w:marLeft w:val="0"/>
      <w:marRight w:val="0"/>
      <w:marTop w:val="0"/>
      <w:marBottom w:val="0"/>
      <w:divBdr>
        <w:top w:val="none" w:sz="0" w:space="0" w:color="auto"/>
        <w:left w:val="none" w:sz="0" w:space="0" w:color="auto"/>
        <w:bottom w:val="none" w:sz="0" w:space="0" w:color="auto"/>
        <w:right w:val="none" w:sz="0" w:space="0" w:color="auto"/>
      </w:divBdr>
    </w:div>
    <w:div w:id="1587305910">
      <w:bodyDiv w:val="1"/>
      <w:marLeft w:val="0"/>
      <w:marRight w:val="0"/>
      <w:marTop w:val="0"/>
      <w:marBottom w:val="0"/>
      <w:divBdr>
        <w:top w:val="none" w:sz="0" w:space="0" w:color="auto"/>
        <w:left w:val="none" w:sz="0" w:space="0" w:color="auto"/>
        <w:bottom w:val="none" w:sz="0" w:space="0" w:color="auto"/>
        <w:right w:val="none" w:sz="0" w:space="0" w:color="auto"/>
      </w:divBdr>
    </w:div>
    <w:div w:id="1593585424">
      <w:bodyDiv w:val="1"/>
      <w:marLeft w:val="0"/>
      <w:marRight w:val="0"/>
      <w:marTop w:val="0"/>
      <w:marBottom w:val="0"/>
      <w:divBdr>
        <w:top w:val="none" w:sz="0" w:space="0" w:color="auto"/>
        <w:left w:val="none" w:sz="0" w:space="0" w:color="auto"/>
        <w:bottom w:val="none" w:sz="0" w:space="0" w:color="auto"/>
        <w:right w:val="none" w:sz="0" w:space="0" w:color="auto"/>
      </w:divBdr>
    </w:div>
    <w:div w:id="1621566911">
      <w:bodyDiv w:val="1"/>
      <w:marLeft w:val="0"/>
      <w:marRight w:val="0"/>
      <w:marTop w:val="0"/>
      <w:marBottom w:val="0"/>
      <w:divBdr>
        <w:top w:val="none" w:sz="0" w:space="0" w:color="auto"/>
        <w:left w:val="none" w:sz="0" w:space="0" w:color="auto"/>
        <w:bottom w:val="none" w:sz="0" w:space="0" w:color="auto"/>
        <w:right w:val="none" w:sz="0" w:space="0" w:color="auto"/>
      </w:divBdr>
    </w:div>
    <w:div w:id="1625498952">
      <w:bodyDiv w:val="1"/>
      <w:marLeft w:val="0"/>
      <w:marRight w:val="0"/>
      <w:marTop w:val="0"/>
      <w:marBottom w:val="0"/>
      <w:divBdr>
        <w:top w:val="none" w:sz="0" w:space="0" w:color="auto"/>
        <w:left w:val="none" w:sz="0" w:space="0" w:color="auto"/>
        <w:bottom w:val="none" w:sz="0" w:space="0" w:color="auto"/>
        <w:right w:val="none" w:sz="0" w:space="0" w:color="auto"/>
      </w:divBdr>
    </w:div>
    <w:div w:id="1634865337">
      <w:bodyDiv w:val="1"/>
      <w:marLeft w:val="0"/>
      <w:marRight w:val="0"/>
      <w:marTop w:val="0"/>
      <w:marBottom w:val="0"/>
      <w:divBdr>
        <w:top w:val="none" w:sz="0" w:space="0" w:color="auto"/>
        <w:left w:val="none" w:sz="0" w:space="0" w:color="auto"/>
        <w:bottom w:val="none" w:sz="0" w:space="0" w:color="auto"/>
        <w:right w:val="none" w:sz="0" w:space="0" w:color="auto"/>
      </w:divBdr>
    </w:div>
    <w:div w:id="1653482805">
      <w:bodyDiv w:val="1"/>
      <w:marLeft w:val="0"/>
      <w:marRight w:val="0"/>
      <w:marTop w:val="0"/>
      <w:marBottom w:val="0"/>
      <w:divBdr>
        <w:top w:val="none" w:sz="0" w:space="0" w:color="auto"/>
        <w:left w:val="none" w:sz="0" w:space="0" w:color="auto"/>
        <w:bottom w:val="none" w:sz="0" w:space="0" w:color="auto"/>
        <w:right w:val="none" w:sz="0" w:space="0" w:color="auto"/>
      </w:divBdr>
    </w:div>
    <w:div w:id="1657756198">
      <w:bodyDiv w:val="1"/>
      <w:marLeft w:val="0"/>
      <w:marRight w:val="0"/>
      <w:marTop w:val="0"/>
      <w:marBottom w:val="0"/>
      <w:divBdr>
        <w:top w:val="none" w:sz="0" w:space="0" w:color="auto"/>
        <w:left w:val="none" w:sz="0" w:space="0" w:color="auto"/>
        <w:bottom w:val="none" w:sz="0" w:space="0" w:color="auto"/>
        <w:right w:val="none" w:sz="0" w:space="0" w:color="auto"/>
      </w:divBdr>
    </w:div>
    <w:div w:id="1669626052">
      <w:bodyDiv w:val="1"/>
      <w:marLeft w:val="0"/>
      <w:marRight w:val="0"/>
      <w:marTop w:val="0"/>
      <w:marBottom w:val="0"/>
      <w:divBdr>
        <w:top w:val="none" w:sz="0" w:space="0" w:color="auto"/>
        <w:left w:val="none" w:sz="0" w:space="0" w:color="auto"/>
        <w:bottom w:val="none" w:sz="0" w:space="0" w:color="auto"/>
        <w:right w:val="none" w:sz="0" w:space="0" w:color="auto"/>
      </w:divBdr>
    </w:div>
    <w:div w:id="1680888660">
      <w:bodyDiv w:val="1"/>
      <w:marLeft w:val="0"/>
      <w:marRight w:val="0"/>
      <w:marTop w:val="0"/>
      <w:marBottom w:val="0"/>
      <w:divBdr>
        <w:top w:val="none" w:sz="0" w:space="0" w:color="auto"/>
        <w:left w:val="none" w:sz="0" w:space="0" w:color="auto"/>
        <w:bottom w:val="none" w:sz="0" w:space="0" w:color="auto"/>
        <w:right w:val="none" w:sz="0" w:space="0" w:color="auto"/>
      </w:divBdr>
    </w:div>
    <w:div w:id="1699895853">
      <w:bodyDiv w:val="1"/>
      <w:marLeft w:val="0"/>
      <w:marRight w:val="0"/>
      <w:marTop w:val="0"/>
      <w:marBottom w:val="0"/>
      <w:divBdr>
        <w:top w:val="none" w:sz="0" w:space="0" w:color="auto"/>
        <w:left w:val="none" w:sz="0" w:space="0" w:color="auto"/>
        <w:bottom w:val="none" w:sz="0" w:space="0" w:color="auto"/>
        <w:right w:val="none" w:sz="0" w:space="0" w:color="auto"/>
      </w:divBdr>
    </w:div>
    <w:div w:id="1711420655">
      <w:bodyDiv w:val="1"/>
      <w:marLeft w:val="0"/>
      <w:marRight w:val="0"/>
      <w:marTop w:val="0"/>
      <w:marBottom w:val="0"/>
      <w:divBdr>
        <w:top w:val="none" w:sz="0" w:space="0" w:color="auto"/>
        <w:left w:val="none" w:sz="0" w:space="0" w:color="auto"/>
        <w:bottom w:val="none" w:sz="0" w:space="0" w:color="auto"/>
        <w:right w:val="none" w:sz="0" w:space="0" w:color="auto"/>
      </w:divBdr>
    </w:div>
    <w:div w:id="1716615497">
      <w:bodyDiv w:val="1"/>
      <w:marLeft w:val="0"/>
      <w:marRight w:val="0"/>
      <w:marTop w:val="0"/>
      <w:marBottom w:val="0"/>
      <w:divBdr>
        <w:top w:val="none" w:sz="0" w:space="0" w:color="auto"/>
        <w:left w:val="none" w:sz="0" w:space="0" w:color="auto"/>
        <w:bottom w:val="none" w:sz="0" w:space="0" w:color="auto"/>
        <w:right w:val="none" w:sz="0" w:space="0" w:color="auto"/>
      </w:divBdr>
    </w:div>
    <w:div w:id="1724326698">
      <w:bodyDiv w:val="1"/>
      <w:marLeft w:val="0"/>
      <w:marRight w:val="0"/>
      <w:marTop w:val="0"/>
      <w:marBottom w:val="0"/>
      <w:divBdr>
        <w:top w:val="none" w:sz="0" w:space="0" w:color="auto"/>
        <w:left w:val="none" w:sz="0" w:space="0" w:color="auto"/>
        <w:bottom w:val="none" w:sz="0" w:space="0" w:color="auto"/>
        <w:right w:val="none" w:sz="0" w:space="0" w:color="auto"/>
      </w:divBdr>
    </w:div>
    <w:div w:id="1753812052">
      <w:bodyDiv w:val="1"/>
      <w:marLeft w:val="0"/>
      <w:marRight w:val="0"/>
      <w:marTop w:val="0"/>
      <w:marBottom w:val="0"/>
      <w:divBdr>
        <w:top w:val="none" w:sz="0" w:space="0" w:color="auto"/>
        <w:left w:val="none" w:sz="0" w:space="0" w:color="auto"/>
        <w:bottom w:val="none" w:sz="0" w:space="0" w:color="auto"/>
        <w:right w:val="none" w:sz="0" w:space="0" w:color="auto"/>
      </w:divBdr>
    </w:div>
    <w:div w:id="1809199359">
      <w:bodyDiv w:val="1"/>
      <w:marLeft w:val="0"/>
      <w:marRight w:val="0"/>
      <w:marTop w:val="0"/>
      <w:marBottom w:val="0"/>
      <w:divBdr>
        <w:top w:val="none" w:sz="0" w:space="0" w:color="auto"/>
        <w:left w:val="none" w:sz="0" w:space="0" w:color="auto"/>
        <w:bottom w:val="none" w:sz="0" w:space="0" w:color="auto"/>
        <w:right w:val="none" w:sz="0" w:space="0" w:color="auto"/>
      </w:divBdr>
    </w:div>
    <w:div w:id="1832256511">
      <w:bodyDiv w:val="1"/>
      <w:marLeft w:val="0"/>
      <w:marRight w:val="0"/>
      <w:marTop w:val="0"/>
      <w:marBottom w:val="0"/>
      <w:divBdr>
        <w:top w:val="none" w:sz="0" w:space="0" w:color="auto"/>
        <w:left w:val="none" w:sz="0" w:space="0" w:color="auto"/>
        <w:bottom w:val="none" w:sz="0" w:space="0" w:color="auto"/>
        <w:right w:val="none" w:sz="0" w:space="0" w:color="auto"/>
      </w:divBdr>
    </w:div>
    <w:div w:id="1833567425">
      <w:bodyDiv w:val="1"/>
      <w:marLeft w:val="0"/>
      <w:marRight w:val="0"/>
      <w:marTop w:val="0"/>
      <w:marBottom w:val="0"/>
      <w:divBdr>
        <w:top w:val="none" w:sz="0" w:space="0" w:color="auto"/>
        <w:left w:val="none" w:sz="0" w:space="0" w:color="auto"/>
        <w:bottom w:val="none" w:sz="0" w:space="0" w:color="auto"/>
        <w:right w:val="none" w:sz="0" w:space="0" w:color="auto"/>
      </w:divBdr>
      <w:divsChild>
        <w:div w:id="2121608996">
          <w:marLeft w:val="0"/>
          <w:marRight w:val="0"/>
          <w:marTop w:val="0"/>
          <w:marBottom w:val="480"/>
          <w:divBdr>
            <w:top w:val="none" w:sz="0" w:space="0" w:color="auto"/>
            <w:left w:val="none" w:sz="0" w:space="0" w:color="auto"/>
            <w:bottom w:val="none" w:sz="0" w:space="0" w:color="auto"/>
            <w:right w:val="none" w:sz="0" w:space="0" w:color="auto"/>
          </w:divBdr>
        </w:div>
        <w:div w:id="172384129">
          <w:marLeft w:val="0"/>
          <w:marRight w:val="0"/>
          <w:marTop w:val="0"/>
          <w:marBottom w:val="750"/>
          <w:divBdr>
            <w:top w:val="none" w:sz="0" w:space="0" w:color="auto"/>
            <w:left w:val="none" w:sz="0" w:space="0" w:color="auto"/>
            <w:bottom w:val="none" w:sz="0" w:space="0" w:color="auto"/>
            <w:right w:val="none" w:sz="0" w:space="0" w:color="auto"/>
          </w:divBdr>
          <w:divsChild>
            <w:div w:id="207974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63176">
      <w:bodyDiv w:val="1"/>
      <w:marLeft w:val="0"/>
      <w:marRight w:val="0"/>
      <w:marTop w:val="0"/>
      <w:marBottom w:val="0"/>
      <w:divBdr>
        <w:top w:val="none" w:sz="0" w:space="0" w:color="auto"/>
        <w:left w:val="none" w:sz="0" w:space="0" w:color="auto"/>
        <w:bottom w:val="none" w:sz="0" w:space="0" w:color="auto"/>
        <w:right w:val="none" w:sz="0" w:space="0" w:color="auto"/>
      </w:divBdr>
    </w:div>
    <w:div w:id="1840610915">
      <w:bodyDiv w:val="1"/>
      <w:marLeft w:val="0"/>
      <w:marRight w:val="0"/>
      <w:marTop w:val="0"/>
      <w:marBottom w:val="0"/>
      <w:divBdr>
        <w:top w:val="none" w:sz="0" w:space="0" w:color="auto"/>
        <w:left w:val="none" w:sz="0" w:space="0" w:color="auto"/>
        <w:bottom w:val="none" w:sz="0" w:space="0" w:color="auto"/>
        <w:right w:val="none" w:sz="0" w:space="0" w:color="auto"/>
      </w:divBdr>
      <w:divsChild>
        <w:div w:id="1210266785">
          <w:marLeft w:val="0"/>
          <w:marRight w:val="0"/>
          <w:marTop w:val="600"/>
          <w:marBottom w:val="450"/>
          <w:divBdr>
            <w:top w:val="none" w:sz="0" w:space="0" w:color="auto"/>
            <w:left w:val="none" w:sz="0" w:space="0" w:color="auto"/>
            <w:bottom w:val="single" w:sz="6" w:space="11" w:color="A23001"/>
            <w:right w:val="none" w:sz="0" w:space="0" w:color="auto"/>
          </w:divBdr>
          <w:divsChild>
            <w:div w:id="1903902993">
              <w:marLeft w:val="150"/>
              <w:marRight w:val="0"/>
              <w:marTop w:val="0"/>
              <w:marBottom w:val="0"/>
              <w:divBdr>
                <w:top w:val="none" w:sz="0" w:space="0" w:color="auto"/>
                <w:left w:val="none" w:sz="0" w:space="0" w:color="auto"/>
                <w:bottom w:val="none" w:sz="0" w:space="0" w:color="auto"/>
                <w:right w:val="none" w:sz="0" w:space="0" w:color="auto"/>
              </w:divBdr>
            </w:div>
          </w:divsChild>
        </w:div>
        <w:div w:id="903104546">
          <w:marLeft w:val="0"/>
          <w:marRight w:val="0"/>
          <w:marTop w:val="150"/>
          <w:marBottom w:val="0"/>
          <w:divBdr>
            <w:top w:val="none" w:sz="0" w:space="0" w:color="auto"/>
            <w:left w:val="none" w:sz="0" w:space="0" w:color="auto"/>
            <w:bottom w:val="none" w:sz="0" w:space="0" w:color="auto"/>
            <w:right w:val="none" w:sz="0" w:space="0" w:color="auto"/>
          </w:divBdr>
          <w:divsChild>
            <w:div w:id="19497284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54371219">
      <w:bodyDiv w:val="1"/>
      <w:marLeft w:val="0"/>
      <w:marRight w:val="0"/>
      <w:marTop w:val="0"/>
      <w:marBottom w:val="0"/>
      <w:divBdr>
        <w:top w:val="none" w:sz="0" w:space="0" w:color="auto"/>
        <w:left w:val="none" w:sz="0" w:space="0" w:color="auto"/>
        <w:bottom w:val="none" w:sz="0" w:space="0" w:color="auto"/>
        <w:right w:val="none" w:sz="0" w:space="0" w:color="auto"/>
      </w:divBdr>
    </w:div>
    <w:div w:id="1855529599">
      <w:bodyDiv w:val="1"/>
      <w:marLeft w:val="0"/>
      <w:marRight w:val="0"/>
      <w:marTop w:val="0"/>
      <w:marBottom w:val="0"/>
      <w:divBdr>
        <w:top w:val="none" w:sz="0" w:space="0" w:color="auto"/>
        <w:left w:val="none" w:sz="0" w:space="0" w:color="auto"/>
        <w:bottom w:val="none" w:sz="0" w:space="0" w:color="auto"/>
        <w:right w:val="none" w:sz="0" w:space="0" w:color="auto"/>
      </w:divBdr>
    </w:div>
    <w:div w:id="1873959420">
      <w:bodyDiv w:val="1"/>
      <w:marLeft w:val="0"/>
      <w:marRight w:val="0"/>
      <w:marTop w:val="0"/>
      <w:marBottom w:val="0"/>
      <w:divBdr>
        <w:top w:val="none" w:sz="0" w:space="0" w:color="auto"/>
        <w:left w:val="none" w:sz="0" w:space="0" w:color="auto"/>
        <w:bottom w:val="none" w:sz="0" w:space="0" w:color="auto"/>
        <w:right w:val="none" w:sz="0" w:space="0" w:color="auto"/>
      </w:divBdr>
    </w:div>
    <w:div w:id="1876193037">
      <w:bodyDiv w:val="1"/>
      <w:marLeft w:val="0"/>
      <w:marRight w:val="0"/>
      <w:marTop w:val="0"/>
      <w:marBottom w:val="0"/>
      <w:divBdr>
        <w:top w:val="none" w:sz="0" w:space="0" w:color="auto"/>
        <w:left w:val="none" w:sz="0" w:space="0" w:color="auto"/>
        <w:bottom w:val="none" w:sz="0" w:space="0" w:color="auto"/>
        <w:right w:val="none" w:sz="0" w:space="0" w:color="auto"/>
      </w:divBdr>
    </w:div>
    <w:div w:id="1887452453">
      <w:bodyDiv w:val="1"/>
      <w:marLeft w:val="0"/>
      <w:marRight w:val="0"/>
      <w:marTop w:val="0"/>
      <w:marBottom w:val="0"/>
      <w:divBdr>
        <w:top w:val="none" w:sz="0" w:space="0" w:color="auto"/>
        <w:left w:val="none" w:sz="0" w:space="0" w:color="auto"/>
        <w:bottom w:val="none" w:sz="0" w:space="0" w:color="auto"/>
        <w:right w:val="none" w:sz="0" w:space="0" w:color="auto"/>
      </w:divBdr>
    </w:div>
    <w:div w:id="1890220772">
      <w:bodyDiv w:val="1"/>
      <w:marLeft w:val="0"/>
      <w:marRight w:val="0"/>
      <w:marTop w:val="0"/>
      <w:marBottom w:val="0"/>
      <w:divBdr>
        <w:top w:val="none" w:sz="0" w:space="0" w:color="auto"/>
        <w:left w:val="none" w:sz="0" w:space="0" w:color="auto"/>
        <w:bottom w:val="none" w:sz="0" w:space="0" w:color="auto"/>
        <w:right w:val="none" w:sz="0" w:space="0" w:color="auto"/>
      </w:divBdr>
    </w:div>
    <w:div w:id="1891988646">
      <w:bodyDiv w:val="1"/>
      <w:marLeft w:val="0"/>
      <w:marRight w:val="0"/>
      <w:marTop w:val="0"/>
      <w:marBottom w:val="0"/>
      <w:divBdr>
        <w:top w:val="none" w:sz="0" w:space="0" w:color="auto"/>
        <w:left w:val="none" w:sz="0" w:space="0" w:color="auto"/>
        <w:bottom w:val="none" w:sz="0" w:space="0" w:color="auto"/>
        <w:right w:val="none" w:sz="0" w:space="0" w:color="auto"/>
      </w:divBdr>
    </w:div>
    <w:div w:id="1916940572">
      <w:bodyDiv w:val="1"/>
      <w:marLeft w:val="0"/>
      <w:marRight w:val="0"/>
      <w:marTop w:val="0"/>
      <w:marBottom w:val="0"/>
      <w:divBdr>
        <w:top w:val="none" w:sz="0" w:space="0" w:color="auto"/>
        <w:left w:val="none" w:sz="0" w:space="0" w:color="auto"/>
        <w:bottom w:val="none" w:sz="0" w:space="0" w:color="auto"/>
        <w:right w:val="none" w:sz="0" w:space="0" w:color="auto"/>
      </w:divBdr>
    </w:div>
    <w:div w:id="1921478790">
      <w:bodyDiv w:val="1"/>
      <w:marLeft w:val="0"/>
      <w:marRight w:val="0"/>
      <w:marTop w:val="0"/>
      <w:marBottom w:val="0"/>
      <w:divBdr>
        <w:top w:val="none" w:sz="0" w:space="0" w:color="auto"/>
        <w:left w:val="none" w:sz="0" w:space="0" w:color="auto"/>
        <w:bottom w:val="none" w:sz="0" w:space="0" w:color="auto"/>
        <w:right w:val="none" w:sz="0" w:space="0" w:color="auto"/>
      </w:divBdr>
    </w:div>
    <w:div w:id="1923101090">
      <w:bodyDiv w:val="1"/>
      <w:marLeft w:val="0"/>
      <w:marRight w:val="0"/>
      <w:marTop w:val="0"/>
      <w:marBottom w:val="0"/>
      <w:divBdr>
        <w:top w:val="none" w:sz="0" w:space="0" w:color="auto"/>
        <w:left w:val="none" w:sz="0" w:space="0" w:color="auto"/>
        <w:bottom w:val="none" w:sz="0" w:space="0" w:color="auto"/>
        <w:right w:val="none" w:sz="0" w:space="0" w:color="auto"/>
      </w:divBdr>
    </w:div>
    <w:div w:id="1928149029">
      <w:bodyDiv w:val="1"/>
      <w:marLeft w:val="0"/>
      <w:marRight w:val="0"/>
      <w:marTop w:val="0"/>
      <w:marBottom w:val="0"/>
      <w:divBdr>
        <w:top w:val="none" w:sz="0" w:space="0" w:color="auto"/>
        <w:left w:val="none" w:sz="0" w:space="0" w:color="auto"/>
        <w:bottom w:val="none" w:sz="0" w:space="0" w:color="auto"/>
        <w:right w:val="none" w:sz="0" w:space="0" w:color="auto"/>
      </w:divBdr>
    </w:div>
    <w:div w:id="1929272102">
      <w:bodyDiv w:val="1"/>
      <w:marLeft w:val="0"/>
      <w:marRight w:val="0"/>
      <w:marTop w:val="0"/>
      <w:marBottom w:val="0"/>
      <w:divBdr>
        <w:top w:val="none" w:sz="0" w:space="0" w:color="auto"/>
        <w:left w:val="none" w:sz="0" w:space="0" w:color="auto"/>
        <w:bottom w:val="none" w:sz="0" w:space="0" w:color="auto"/>
        <w:right w:val="none" w:sz="0" w:space="0" w:color="auto"/>
      </w:divBdr>
    </w:div>
    <w:div w:id="1942757681">
      <w:bodyDiv w:val="1"/>
      <w:marLeft w:val="0"/>
      <w:marRight w:val="0"/>
      <w:marTop w:val="0"/>
      <w:marBottom w:val="0"/>
      <w:divBdr>
        <w:top w:val="none" w:sz="0" w:space="0" w:color="auto"/>
        <w:left w:val="none" w:sz="0" w:space="0" w:color="auto"/>
        <w:bottom w:val="none" w:sz="0" w:space="0" w:color="auto"/>
        <w:right w:val="none" w:sz="0" w:space="0" w:color="auto"/>
      </w:divBdr>
    </w:div>
    <w:div w:id="1954745354">
      <w:bodyDiv w:val="1"/>
      <w:marLeft w:val="0"/>
      <w:marRight w:val="0"/>
      <w:marTop w:val="0"/>
      <w:marBottom w:val="0"/>
      <w:divBdr>
        <w:top w:val="none" w:sz="0" w:space="0" w:color="auto"/>
        <w:left w:val="none" w:sz="0" w:space="0" w:color="auto"/>
        <w:bottom w:val="none" w:sz="0" w:space="0" w:color="auto"/>
        <w:right w:val="none" w:sz="0" w:space="0" w:color="auto"/>
      </w:divBdr>
    </w:div>
    <w:div w:id="1959097420">
      <w:bodyDiv w:val="1"/>
      <w:marLeft w:val="0"/>
      <w:marRight w:val="0"/>
      <w:marTop w:val="0"/>
      <w:marBottom w:val="0"/>
      <w:divBdr>
        <w:top w:val="none" w:sz="0" w:space="0" w:color="auto"/>
        <w:left w:val="none" w:sz="0" w:space="0" w:color="auto"/>
        <w:bottom w:val="none" w:sz="0" w:space="0" w:color="auto"/>
        <w:right w:val="none" w:sz="0" w:space="0" w:color="auto"/>
      </w:divBdr>
      <w:divsChild>
        <w:div w:id="2013217823">
          <w:marLeft w:val="0"/>
          <w:marRight w:val="0"/>
          <w:marTop w:val="0"/>
          <w:marBottom w:val="0"/>
          <w:divBdr>
            <w:top w:val="none" w:sz="0" w:space="0" w:color="auto"/>
            <w:left w:val="none" w:sz="0" w:space="0" w:color="auto"/>
            <w:bottom w:val="none" w:sz="0" w:space="0" w:color="auto"/>
            <w:right w:val="none" w:sz="0" w:space="0" w:color="auto"/>
          </w:divBdr>
        </w:div>
      </w:divsChild>
    </w:div>
    <w:div w:id="1965379970">
      <w:bodyDiv w:val="1"/>
      <w:marLeft w:val="0"/>
      <w:marRight w:val="0"/>
      <w:marTop w:val="0"/>
      <w:marBottom w:val="0"/>
      <w:divBdr>
        <w:top w:val="none" w:sz="0" w:space="0" w:color="auto"/>
        <w:left w:val="none" w:sz="0" w:space="0" w:color="auto"/>
        <w:bottom w:val="none" w:sz="0" w:space="0" w:color="auto"/>
        <w:right w:val="none" w:sz="0" w:space="0" w:color="auto"/>
      </w:divBdr>
    </w:div>
    <w:div w:id="1971858385">
      <w:bodyDiv w:val="1"/>
      <w:marLeft w:val="0"/>
      <w:marRight w:val="0"/>
      <w:marTop w:val="0"/>
      <w:marBottom w:val="0"/>
      <w:divBdr>
        <w:top w:val="none" w:sz="0" w:space="0" w:color="auto"/>
        <w:left w:val="none" w:sz="0" w:space="0" w:color="auto"/>
        <w:bottom w:val="none" w:sz="0" w:space="0" w:color="auto"/>
        <w:right w:val="none" w:sz="0" w:space="0" w:color="auto"/>
      </w:divBdr>
    </w:div>
    <w:div w:id="1972052838">
      <w:bodyDiv w:val="1"/>
      <w:marLeft w:val="0"/>
      <w:marRight w:val="0"/>
      <w:marTop w:val="0"/>
      <w:marBottom w:val="0"/>
      <w:divBdr>
        <w:top w:val="none" w:sz="0" w:space="0" w:color="auto"/>
        <w:left w:val="none" w:sz="0" w:space="0" w:color="auto"/>
        <w:bottom w:val="none" w:sz="0" w:space="0" w:color="auto"/>
        <w:right w:val="none" w:sz="0" w:space="0" w:color="auto"/>
      </w:divBdr>
    </w:div>
    <w:div w:id="1998679452">
      <w:bodyDiv w:val="1"/>
      <w:marLeft w:val="0"/>
      <w:marRight w:val="0"/>
      <w:marTop w:val="0"/>
      <w:marBottom w:val="0"/>
      <w:divBdr>
        <w:top w:val="none" w:sz="0" w:space="0" w:color="auto"/>
        <w:left w:val="none" w:sz="0" w:space="0" w:color="auto"/>
        <w:bottom w:val="none" w:sz="0" w:space="0" w:color="auto"/>
        <w:right w:val="none" w:sz="0" w:space="0" w:color="auto"/>
      </w:divBdr>
    </w:div>
    <w:div w:id="2002152587">
      <w:bodyDiv w:val="1"/>
      <w:marLeft w:val="0"/>
      <w:marRight w:val="0"/>
      <w:marTop w:val="0"/>
      <w:marBottom w:val="0"/>
      <w:divBdr>
        <w:top w:val="none" w:sz="0" w:space="0" w:color="auto"/>
        <w:left w:val="none" w:sz="0" w:space="0" w:color="auto"/>
        <w:bottom w:val="none" w:sz="0" w:space="0" w:color="auto"/>
        <w:right w:val="none" w:sz="0" w:space="0" w:color="auto"/>
      </w:divBdr>
    </w:div>
    <w:div w:id="2016834361">
      <w:bodyDiv w:val="1"/>
      <w:marLeft w:val="0"/>
      <w:marRight w:val="0"/>
      <w:marTop w:val="0"/>
      <w:marBottom w:val="0"/>
      <w:divBdr>
        <w:top w:val="none" w:sz="0" w:space="0" w:color="auto"/>
        <w:left w:val="none" w:sz="0" w:space="0" w:color="auto"/>
        <w:bottom w:val="none" w:sz="0" w:space="0" w:color="auto"/>
        <w:right w:val="none" w:sz="0" w:space="0" w:color="auto"/>
      </w:divBdr>
    </w:div>
    <w:div w:id="2023581202">
      <w:bodyDiv w:val="1"/>
      <w:marLeft w:val="0"/>
      <w:marRight w:val="0"/>
      <w:marTop w:val="0"/>
      <w:marBottom w:val="0"/>
      <w:divBdr>
        <w:top w:val="none" w:sz="0" w:space="0" w:color="auto"/>
        <w:left w:val="none" w:sz="0" w:space="0" w:color="auto"/>
        <w:bottom w:val="none" w:sz="0" w:space="0" w:color="auto"/>
        <w:right w:val="none" w:sz="0" w:space="0" w:color="auto"/>
      </w:divBdr>
    </w:div>
    <w:div w:id="2026903893">
      <w:bodyDiv w:val="1"/>
      <w:marLeft w:val="0"/>
      <w:marRight w:val="0"/>
      <w:marTop w:val="0"/>
      <w:marBottom w:val="0"/>
      <w:divBdr>
        <w:top w:val="none" w:sz="0" w:space="0" w:color="auto"/>
        <w:left w:val="none" w:sz="0" w:space="0" w:color="auto"/>
        <w:bottom w:val="none" w:sz="0" w:space="0" w:color="auto"/>
        <w:right w:val="none" w:sz="0" w:space="0" w:color="auto"/>
      </w:divBdr>
    </w:div>
    <w:div w:id="2051877867">
      <w:bodyDiv w:val="1"/>
      <w:marLeft w:val="0"/>
      <w:marRight w:val="0"/>
      <w:marTop w:val="0"/>
      <w:marBottom w:val="0"/>
      <w:divBdr>
        <w:top w:val="none" w:sz="0" w:space="0" w:color="auto"/>
        <w:left w:val="none" w:sz="0" w:space="0" w:color="auto"/>
        <w:bottom w:val="none" w:sz="0" w:space="0" w:color="auto"/>
        <w:right w:val="none" w:sz="0" w:space="0" w:color="auto"/>
      </w:divBdr>
    </w:div>
    <w:div w:id="2055352579">
      <w:bodyDiv w:val="1"/>
      <w:marLeft w:val="0"/>
      <w:marRight w:val="0"/>
      <w:marTop w:val="0"/>
      <w:marBottom w:val="0"/>
      <w:divBdr>
        <w:top w:val="none" w:sz="0" w:space="0" w:color="auto"/>
        <w:left w:val="none" w:sz="0" w:space="0" w:color="auto"/>
        <w:bottom w:val="none" w:sz="0" w:space="0" w:color="auto"/>
        <w:right w:val="none" w:sz="0" w:space="0" w:color="auto"/>
      </w:divBdr>
    </w:div>
    <w:div w:id="2058620215">
      <w:bodyDiv w:val="1"/>
      <w:marLeft w:val="0"/>
      <w:marRight w:val="0"/>
      <w:marTop w:val="0"/>
      <w:marBottom w:val="0"/>
      <w:divBdr>
        <w:top w:val="none" w:sz="0" w:space="0" w:color="auto"/>
        <w:left w:val="none" w:sz="0" w:space="0" w:color="auto"/>
        <w:bottom w:val="none" w:sz="0" w:space="0" w:color="auto"/>
        <w:right w:val="none" w:sz="0" w:space="0" w:color="auto"/>
      </w:divBdr>
    </w:div>
    <w:div w:id="2097046833">
      <w:bodyDiv w:val="1"/>
      <w:marLeft w:val="0"/>
      <w:marRight w:val="0"/>
      <w:marTop w:val="0"/>
      <w:marBottom w:val="0"/>
      <w:divBdr>
        <w:top w:val="none" w:sz="0" w:space="0" w:color="auto"/>
        <w:left w:val="none" w:sz="0" w:space="0" w:color="auto"/>
        <w:bottom w:val="none" w:sz="0" w:space="0" w:color="auto"/>
        <w:right w:val="none" w:sz="0" w:space="0" w:color="auto"/>
      </w:divBdr>
    </w:div>
    <w:div w:id="2107575890">
      <w:bodyDiv w:val="1"/>
      <w:marLeft w:val="0"/>
      <w:marRight w:val="0"/>
      <w:marTop w:val="0"/>
      <w:marBottom w:val="0"/>
      <w:divBdr>
        <w:top w:val="none" w:sz="0" w:space="0" w:color="auto"/>
        <w:left w:val="none" w:sz="0" w:space="0" w:color="auto"/>
        <w:bottom w:val="none" w:sz="0" w:space="0" w:color="auto"/>
        <w:right w:val="none" w:sz="0" w:space="0" w:color="auto"/>
      </w:divBdr>
    </w:div>
    <w:div w:id="2112820937">
      <w:bodyDiv w:val="1"/>
      <w:marLeft w:val="0"/>
      <w:marRight w:val="0"/>
      <w:marTop w:val="0"/>
      <w:marBottom w:val="0"/>
      <w:divBdr>
        <w:top w:val="none" w:sz="0" w:space="0" w:color="auto"/>
        <w:left w:val="none" w:sz="0" w:space="0" w:color="auto"/>
        <w:bottom w:val="none" w:sz="0" w:space="0" w:color="auto"/>
        <w:right w:val="none" w:sz="0" w:space="0" w:color="auto"/>
      </w:divBdr>
    </w:div>
    <w:div w:id="2113040628">
      <w:bodyDiv w:val="1"/>
      <w:marLeft w:val="0"/>
      <w:marRight w:val="0"/>
      <w:marTop w:val="0"/>
      <w:marBottom w:val="0"/>
      <w:divBdr>
        <w:top w:val="none" w:sz="0" w:space="0" w:color="auto"/>
        <w:left w:val="none" w:sz="0" w:space="0" w:color="auto"/>
        <w:bottom w:val="none" w:sz="0" w:space="0" w:color="auto"/>
        <w:right w:val="none" w:sz="0" w:space="0" w:color="auto"/>
      </w:divBdr>
    </w:div>
    <w:div w:id="2122455003">
      <w:bodyDiv w:val="1"/>
      <w:marLeft w:val="0"/>
      <w:marRight w:val="0"/>
      <w:marTop w:val="0"/>
      <w:marBottom w:val="0"/>
      <w:divBdr>
        <w:top w:val="none" w:sz="0" w:space="0" w:color="auto"/>
        <w:left w:val="none" w:sz="0" w:space="0" w:color="auto"/>
        <w:bottom w:val="none" w:sz="0" w:space="0" w:color="auto"/>
        <w:right w:val="none" w:sz="0" w:space="0" w:color="auto"/>
      </w:divBdr>
    </w:div>
    <w:div w:id="2125998284">
      <w:bodyDiv w:val="1"/>
      <w:marLeft w:val="0"/>
      <w:marRight w:val="0"/>
      <w:marTop w:val="0"/>
      <w:marBottom w:val="0"/>
      <w:divBdr>
        <w:top w:val="none" w:sz="0" w:space="0" w:color="auto"/>
        <w:left w:val="none" w:sz="0" w:space="0" w:color="auto"/>
        <w:bottom w:val="none" w:sz="0" w:space="0" w:color="auto"/>
        <w:right w:val="none" w:sz="0" w:space="0" w:color="auto"/>
      </w:divBdr>
    </w:div>
    <w:div w:id="213328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image" Target="media/image12.jpeg"/><Relationship Id="rId6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image" Target="media/image5.jpeg"/><Relationship Id="rId58" Type="http://schemas.openxmlformats.org/officeDocument/2006/relationships/hyperlink" Target="https://www.asajacyl.com/wp-content/uploads/2025/04/comida-falsa.jpg" TargetMode="External"/><Relationship Id="rId66" Type="http://schemas.openxmlformats.org/officeDocument/2006/relationships/image" Target="media/image15.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x.com/hashtag/StopMercosur?src=hashtag_click" TargetMode="Externa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hyperlink" Target="https://www.ifema.es/exposagris" TargetMode="External"/><Relationship Id="rId64" Type="http://schemas.openxmlformats.org/officeDocument/2006/relationships/image" Target="media/image13.jpeg"/><Relationship Id="rId69" Type="http://schemas.openxmlformats.org/officeDocument/2006/relationships/image" Target="cid:image001.jpg@01DC8AB8.5C50FFA0" TargetMode="External"/><Relationship Id="rId8" Type="http://schemas.openxmlformats.org/officeDocument/2006/relationships/image" Target="media/image1.jpeg"/><Relationship Id="rId51" Type="http://schemas.openxmlformats.org/officeDocument/2006/relationships/image" Target="media/image3.jpe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image" Target="media/image9.jpeg"/><Relationship Id="rId67" Type="http://schemas.openxmlformats.org/officeDocument/2006/relationships/image" Target="media/image16.jpeg"/><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image" Target="media/image6.jpeg"/><Relationship Id="rId62" Type="http://schemas.openxmlformats.org/officeDocument/2006/relationships/image" Target="media/image11.jpeg"/><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hyperlink" Target="https://www.boe.es/diario_boe/txt.php?id=BOE-A-2025-6597" TargetMode="External"/><Relationship Id="rId57" Type="http://schemas.openxmlformats.org/officeDocument/2006/relationships/image" Target="media/image8.jpeg"/><Relationship Id="rId10" Type="http://schemas.openxmlformats.org/officeDocument/2006/relationships/footer" Target="footer2.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image" Target="media/image4.jpeg"/><Relationship Id="rId60" Type="http://schemas.openxmlformats.org/officeDocument/2006/relationships/image" Target="media/image10.jpeg"/><Relationship Id="rId65" Type="http://schemas.openxmlformats.org/officeDocument/2006/relationships/image" Target="media/image14.jpe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9.xml"/><Relationship Id="rId34" Type="http://schemas.openxmlformats.org/officeDocument/2006/relationships/chart" Target="charts/chart24.xml"/><Relationship Id="rId50" Type="http://schemas.openxmlformats.org/officeDocument/2006/relationships/image" Target="media/image2.jpeg"/><Relationship Id="rId55"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D:\CEREALES%20INVIERNO%20ESTAD&#205;STICAS%202025\CereaL_tablas%20superficies%20y%20producciones%20con%20gr&#225;ficos%20(gr&#225;fico%20dobl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CULTIVOS%20INDUSTRIALES%20ESTAD&#205;STICAS%202025\girasol%20superfici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uario\OneDrive\Documents\girasol_precios_24-25.csv.xlt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CULTIVOS%20INDUSTRIALES%20ESTAD&#205;STICAS%202025\colza%20invierno_superficie%20y%20producci&#243;n23-%2024-2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CULTIVOS%20INDUSTRIALES%20ESTAD&#205;STICAS%202025\colza%20invierno_superficie%20y%20producci&#243;n23-%2024-2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PATATA%202025\precios%20julio-abril%20campa&#241;a%2024-25.xlt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LEGUMINOSAS%20GRANO%202025\leguminosas%20grano-superf%20y%20producc%20ministerio_.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LEGUMINOSAS%20GRANO%202025\LEGUMINOSAS%202025\precio%20lenteja_24-25.csv"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CEREALES%20INVIERNO%20ESTAD&#205;STICAS%202025\Trigo%20blando_precios24-2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uario\Documents\Plantillas%20personalizadas%20de%20Office\precio_garbanzo24-25.xlt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suario\Documents\Plantillas%20personalizadas%20de%20Office\alfalfa%20heno_precio24-25.xlt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CULTIVOS%20FORRAJEROS%202025\precio%20veza%20forraje24-25.csv"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GANADER&#205;A%20ESTAD&#205;STICAS%202025\precio%20ovino%208-15%20kg.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d.docs.live.net/2750cb80242aac53/Documents/precios%20cordero%20recental_cyl_24-25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D:\GANADER&#205;A%20ESTAD&#205;STICAS%202025\precio%20cabrito%20inf%201,5%20meses%2024-25.csv"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D:\GANADER&#205;A%20ESTAD&#205;STICAS%202025\precio%20cerdo%20inferior%20120%20Kg%2024-25.csv"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D:\GANADER&#205;A%20ESTAD&#205;STICAS%202025\precios%20cerdo%20ib&#233;rico_cyl24-25.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pollo%20y%20conejo_Precios_Medios_Nacionales_2025%20s50.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D:\pollo%20y%20conejo_Precios_Medios_Nacionales_2025%20s50.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d.docs.live.net/2750cb80242aac53/Documents/precios%20leche%20vaca%20cyl_24-251.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d.docs.live.net/2750cb80242aac53/Documents/precios%20leche%20vaca%20cyl_24-251.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d.docs.live.net/2750cb80242aac53/Documents/precios%20leche%20vaca%20cyl_24-251.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d.docs.live.net/2750cb80242aac53/Documents/precios%20leche%20vaca%20cyl_24-251.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nasajacyl\home\Campo%20Regional\Afiliados%20Sector%20agrario%202012-2019.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nasajacyl\home\Campo%20Regional\Afiliados%20Sector%20agrario%202012-2019.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nasajacyl\home\Campo%20Regional\Afiliados%20Sector%20agrario%202012-2019.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CEREALES%20INVIERNO%20ESTAD&#205;STICAS%202025\Avena_precios24-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ugcv\Documents\Plantillas%20personalizadas%20de%20Office\precio%20maiz%20campa&#241;a%2023-24%20y%2024-25.xlt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2750cb80242aac53/Documents/maiz_precios-24-25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CULTIVOS%20INDUSTRIALES%20ESTAD&#205;STICAS%202025\remolacha%20precio%20por%20campa&#241;a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050">
                <a:latin typeface="Arial" panose="020B0604020202020204" pitchFamily="34" charset="0"/>
                <a:cs typeface="Arial" panose="020B0604020202020204" pitchFamily="34" charset="0"/>
              </a:rPr>
              <a:t>Superficie</a:t>
            </a:r>
            <a:r>
              <a:rPr lang="es-ES" sz="1050" baseline="0">
                <a:latin typeface="Arial" panose="020B0604020202020204" pitchFamily="34" charset="0"/>
                <a:cs typeface="Arial" panose="020B0604020202020204" pitchFamily="34" charset="0"/>
              </a:rPr>
              <a:t> y producción cereales de invierno Castilla y León</a:t>
            </a:r>
            <a:endParaRPr lang="es-ES" sz="1050">
              <a:latin typeface="Arial" panose="020B0604020202020204" pitchFamily="34" charset="0"/>
              <a:cs typeface="Arial" panose="020B0604020202020204" pitchFamily="34" charset="0"/>
            </a:endParaRPr>
          </a:p>
        </c:rich>
      </c:tx>
      <c:layout>
        <c:manualLayout>
          <c:xMode val="edge"/>
          <c:yMode val="edge"/>
          <c:x val="0.15938269427115909"/>
          <c:y val="1.72021600748182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manualLayout>
          <c:layoutTarget val="inner"/>
          <c:xMode val="edge"/>
          <c:yMode val="edge"/>
          <c:x val="0.16539943507389476"/>
          <c:y val="0.12220190866946229"/>
          <c:w val="0.66652853729332717"/>
          <c:h val="0.6097271749077342"/>
        </c:manualLayout>
      </c:layout>
      <c:barChart>
        <c:barDir val="col"/>
        <c:grouping val="clustered"/>
        <c:varyColors val="0"/>
        <c:ser>
          <c:idx val="0"/>
          <c:order val="0"/>
          <c:tx>
            <c:strRef>
              <c:f>Hoja1!$Z$34:$Z$35</c:f>
              <c:strCache>
                <c:ptCount val="2"/>
                <c:pt idx="0">
                  <c:v>Superficie (Ha)</c:v>
                </c:pt>
                <c:pt idx="1">
                  <c:v>2024</c:v>
                </c:pt>
              </c:strCache>
            </c:strRef>
          </c:tx>
          <c:spPr>
            <a:solidFill>
              <a:srgbClr val="92D050"/>
            </a:solidFill>
            <a:ln w="6350">
              <a:solidFill>
                <a:srgbClr val="92D050"/>
              </a:solidFill>
            </a:ln>
            <a:effectLst/>
          </c:spPr>
          <c:invertIfNegative val="0"/>
          <c:cat>
            <c:strRef>
              <c:f>Hoja1!$Y$36:$Y$40</c:f>
              <c:strCache>
                <c:ptCount val="5"/>
                <c:pt idx="0">
                  <c:v>Trigo </c:v>
                </c:pt>
                <c:pt idx="1">
                  <c:v>Cebada</c:v>
                </c:pt>
                <c:pt idx="2">
                  <c:v>Avena</c:v>
                </c:pt>
                <c:pt idx="3">
                  <c:v>Centeno</c:v>
                </c:pt>
                <c:pt idx="4">
                  <c:v>Triticale</c:v>
                </c:pt>
              </c:strCache>
            </c:strRef>
          </c:cat>
          <c:val>
            <c:numRef>
              <c:f>Hoja1!$Z$36:$Z$40</c:f>
              <c:numCache>
                <c:formatCode>General</c:formatCode>
                <c:ptCount val="5"/>
                <c:pt idx="0">
                  <c:v>772101</c:v>
                </c:pt>
                <c:pt idx="1">
                  <c:v>641416</c:v>
                </c:pt>
                <c:pt idx="2">
                  <c:v>94120</c:v>
                </c:pt>
                <c:pt idx="3">
                  <c:v>69255</c:v>
                </c:pt>
                <c:pt idx="4">
                  <c:v>35648</c:v>
                </c:pt>
              </c:numCache>
            </c:numRef>
          </c:val>
          <c:extLst>
            <c:ext xmlns:c16="http://schemas.microsoft.com/office/drawing/2014/chart" uri="{C3380CC4-5D6E-409C-BE32-E72D297353CC}">
              <c16:uniqueId val="{00000000-3D7C-4659-91C9-DBF72B738209}"/>
            </c:ext>
          </c:extLst>
        </c:ser>
        <c:ser>
          <c:idx val="1"/>
          <c:order val="1"/>
          <c:tx>
            <c:strRef>
              <c:f>Hoja1!$AA$34:$AA$35</c:f>
              <c:strCache>
                <c:ptCount val="2"/>
                <c:pt idx="0">
                  <c:v>Superficie (Ha)</c:v>
                </c:pt>
                <c:pt idx="1">
                  <c:v>2025</c:v>
                </c:pt>
              </c:strCache>
            </c:strRef>
          </c:tx>
          <c:spPr>
            <a:solidFill>
              <a:srgbClr val="E6A4DE"/>
            </a:solidFill>
            <a:ln>
              <a:noFill/>
            </a:ln>
            <a:effectLst/>
          </c:spPr>
          <c:invertIfNegative val="0"/>
          <c:cat>
            <c:strRef>
              <c:f>Hoja1!$Y$36:$Y$40</c:f>
              <c:strCache>
                <c:ptCount val="5"/>
                <c:pt idx="0">
                  <c:v>Trigo </c:v>
                </c:pt>
                <c:pt idx="1">
                  <c:v>Cebada</c:v>
                </c:pt>
                <c:pt idx="2">
                  <c:v>Avena</c:v>
                </c:pt>
                <c:pt idx="3">
                  <c:v>Centeno</c:v>
                </c:pt>
                <c:pt idx="4">
                  <c:v>Triticale</c:v>
                </c:pt>
              </c:strCache>
            </c:strRef>
          </c:cat>
          <c:val>
            <c:numRef>
              <c:f>Hoja1!$AA$36:$AA$40</c:f>
              <c:numCache>
                <c:formatCode>General</c:formatCode>
                <c:ptCount val="5"/>
                <c:pt idx="0">
                  <c:v>871553</c:v>
                </c:pt>
                <c:pt idx="1">
                  <c:v>713263</c:v>
                </c:pt>
                <c:pt idx="2">
                  <c:v>114866</c:v>
                </c:pt>
                <c:pt idx="3">
                  <c:v>71692</c:v>
                </c:pt>
                <c:pt idx="4">
                  <c:v>46863</c:v>
                </c:pt>
              </c:numCache>
            </c:numRef>
          </c:val>
          <c:extLst>
            <c:ext xmlns:c16="http://schemas.microsoft.com/office/drawing/2014/chart" uri="{C3380CC4-5D6E-409C-BE32-E72D297353CC}">
              <c16:uniqueId val="{00000001-3D7C-4659-91C9-DBF72B738209}"/>
            </c:ext>
          </c:extLst>
        </c:ser>
        <c:dLbls>
          <c:showLegendKey val="0"/>
          <c:showVal val="0"/>
          <c:showCatName val="0"/>
          <c:showSerName val="0"/>
          <c:showPercent val="0"/>
          <c:showBubbleSize val="0"/>
        </c:dLbls>
        <c:gapWidth val="150"/>
        <c:axId val="1236291615"/>
        <c:axId val="1260369711"/>
      </c:barChart>
      <c:lineChart>
        <c:grouping val="standard"/>
        <c:varyColors val="0"/>
        <c:ser>
          <c:idx val="2"/>
          <c:order val="2"/>
          <c:tx>
            <c:strRef>
              <c:f>Hoja1!$AB$34:$AB$35</c:f>
              <c:strCache>
                <c:ptCount val="2"/>
                <c:pt idx="0">
                  <c:v>Producción (T)</c:v>
                </c:pt>
                <c:pt idx="1">
                  <c:v>2024</c:v>
                </c:pt>
              </c:strCache>
            </c:strRef>
          </c:tx>
          <c:spPr>
            <a:ln w="28575" cap="rnd">
              <a:solidFill>
                <a:srgbClr val="983D10"/>
              </a:solidFill>
              <a:round/>
            </a:ln>
            <a:effectLst/>
          </c:spPr>
          <c:marker>
            <c:symbol val="none"/>
          </c:marker>
          <c:cat>
            <c:strRef>
              <c:f>Hoja1!$Y$36:$Y$40</c:f>
              <c:strCache>
                <c:ptCount val="5"/>
                <c:pt idx="0">
                  <c:v>Trigo </c:v>
                </c:pt>
                <c:pt idx="1">
                  <c:v>Cebada</c:v>
                </c:pt>
                <c:pt idx="2">
                  <c:v>Avena</c:v>
                </c:pt>
                <c:pt idx="3">
                  <c:v>Centeno</c:v>
                </c:pt>
                <c:pt idx="4">
                  <c:v>Triticale</c:v>
                </c:pt>
              </c:strCache>
            </c:strRef>
          </c:cat>
          <c:val>
            <c:numRef>
              <c:f>Hoja1!$AB$36:$AB$40</c:f>
              <c:numCache>
                <c:formatCode>General</c:formatCode>
                <c:ptCount val="5"/>
                <c:pt idx="0">
                  <c:v>3338696</c:v>
                </c:pt>
                <c:pt idx="1">
                  <c:v>2656616</c:v>
                </c:pt>
                <c:pt idx="2">
                  <c:v>325308</c:v>
                </c:pt>
                <c:pt idx="3">
                  <c:v>171138</c:v>
                </c:pt>
                <c:pt idx="4">
                  <c:v>116424</c:v>
                </c:pt>
              </c:numCache>
            </c:numRef>
          </c:val>
          <c:smooth val="0"/>
          <c:extLst>
            <c:ext xmlns:c16="http://schemas.microsoft.com/office/drawing/2014/chart" uri="{C3380CC4-5D6E-409C-BE32-E72D297353CC}">
              <c16:uniqueId val="{00000002-3D7C-4659-91C9-DBF72B738209}"/>
            </c:ext>
          </c:extLst>
        </c:ser>
        <c:ser>
          <c:idx val="3"/>
          <c:order val="3"/>
          <c:tx>
            <c:strRef>
              <c:f>Hoja1!$AC$34:$AC$35</c:f>
              <c:strCache>
                <c:ptCount val="2"/>
                <c:pt idx="0">
                  <c:v>Producción (T)</c:v>
                </c:pt>
                <c:pt idx="1">
                  <c:v>2025</c:v>
                </c:pt>
              </c:strCache>
            </c:strRef>
          </c:tx>
          <c:spPr>
            <a:ln w="28575" cap="rnd">
              <a:solidFill>
                <a:schemeClr val="tx2">
                  <a:lumMod val="75000"/>
                  <a:lumOff val="25000"/>
                </a:schemeClr>
              </a:solidFill>
              <a:round/>
            </a:ln>
            <a:effectLst/>
          </c:spPr>
          <c:marker>
            <c:symbol val="none"/>
          </c:marker>
          <c:cat>
            <c:strRef>
              <c:f>Hoja1!$Y$36:$Y$40</c:f>
              <c:strCache>
                <c:ptCount val="5"/>
                <c:pt idx="0">
                  <c:v>Trigo </c:v>
                </c:pt>
                <c:pt idx="1">
                  <c:v>Cebada</c:v>
                </c:pt>
                <c:pt idx="2">
                  <c:v>Avena</c:v>
                </c:pt>
                <c:pt idx="3">
                  <c:v>Centeno</c:v>
                </c:pt>
                <c:pt idx="4">
                  <c:v>Triticale</c:v>
                </c:pt>
              </c:strCache>
            </c:strRef>
          </c:cat>
          <c:val>
            <c:numRef>
              <c:f>Hoja1!$AC$36:$AC$40</c:f>
              <c:numCache>
                <c:formatCode>General</c:formatCode>
                <c:ptCount val="5"/>
                <c:pt idx="0">
                  <c:v>4193818</c:v>
                </c:pt>
                <c:pt idx="1">
                  <c:v>3449796</c:v>
                </c:pt>
                <c:pt idx="2">
                  <c:v>405825</c:v>
                </c:pt>
                <c:pt idx="3">
                  <c:v>198921</c:v>
                </c:pt>
                <c:pt idx="4">
                  <c:v>168882</c:v>
                </c:pt>
              </c:numCache>
            </c:numRef>
          </c:val>
          <c:smooth val="0"/>
          <c:extLst>
            <c:ext xmlns:c16="http://schemas.microsoft.com/office/drawing/2014/chart" uri="{C3380CC4-5D6E-409C-BE32-E72D297353CC}">
              <c16:uniqueId val="{00000003-3D7C-4659-91C9-DBF72B738209}"/>
            </c:ext>
          </c:extLst>
        </c:ser>
        <c:dLbls>
          <c:showLegendKey val="0"/>
          <c:showVal val="0"/>
          <c:showCatName val="0"/>
          <c:showSerName val="0"/>
          <c:showPercent val="0"/>
          <c:showBubbleSize val="0"/>
        </c:dLbls>
        <c:marker val="1"/>
        <c:smooth val="0"/>
        <c:axId val="1934061823"/>
        <c:axId val="1934059903"/>
      </c:lineChart>
      <c:catAx>
        <c:axId val="1236291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60369711"/>
        <c:crossesAt val="0"/>
        <c:auto val="1"/>
        <c:lblAlgn val="ctr"/>
        <c:lblOffset val="100"/>
        <c:noMultiLvlLbl val="0"/>
      </c:catAx>
      <c:valAx>
        <c:axId val="1260369711"/>
        <c:scaling>
          <c:orientation val="minMax"/>
          <c:max val="10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0"/>
        <c:majorTickMark val="none"/>
        <c:minorTickMark val="none"/>
        <c:tickLblPos val="nextTo"/>
        <c:spPr>
          <a:noFill/>
          <a:ln w="6350">
            <a:solidFill>
              <a:schemeClr val="tx2">
                <a:lumMod val="75000"/>
                <a:lumOff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36291615"/>
        <c:crosses val="autoZero"/>
        <c:crossBetween val="between"/>
        <c:majorUnit val="200000"/>
      </c:valAx>
      <c:valAx>
        <c:axId val="1934059903"/>
        <c:scaling>
          <c:orientation val="minMax"/>
          <c:max val="4500000"/>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34061823"/>
        <c:crosses val="max"/>
        <c:crossBetween val="between"/>
        <c:majorUnit val="1000000"/>
        <c:minorUnit val="20000"/>
      </c:valAx>
      <c:catAx>
        <c:axId val="1934061823"/>
        <c:scaling>
          <c:orientation val="minMax"/>
        </c:scaling>
        <c:delete val="1"/>
        <c:axPos val="b"/>
        <c:numFmt formatCode="General" sourceLinked="1"/>
        <c:majorTickMark val="out"/>
        <c:minorTickMark val="none"/>
        <c:tickLblPos val="nextTo"/>
        <c:crossAx val="19340599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a:latin typeface="Arial" panose="020B0604020202020204" pitchFamily="34" charset="0"/>
                <a:cs typeface="Arial" panose="020B0604020202020204" pitchFamily="34" charset="0"/>
              </a:rPr>
              <a:t>Superficie</a:t>
            </a:r>
            <a:r>
              <a:rPr lang="es-ES" sz="1050" baseline="0">
                <a:latin typeface="Arial" panose="020B0604020202020204" pitchFamily="34" charset="0"/>
                <a:cs typeface="Arial" panose="020B0604020202020204" pitchFamily="34" charset="0"/>
              </a:rPr>
              <a:t> girasol Castilla y León</a:t>
            </a:r>
            <a:endParaRPr lang="es-ES" sz="1050">
              <a:latin typeface="Arial" panose="020B0604020202020204" pitchFamily="34" charset="0"/>
              <a:cs typeface="Arial" panose="020B0604020202020204" pitchFamily="34" charset="0"/>
            </a:endParaRPr>
          </a:p>
        </c:rich>
      </c:tx>
      <c:layout>
        <c:manualLayout>
          <c:xMode val="edge"/>
          <c:yMode val="edge"/>
          <c:x val="0.32730215541239172"/>
          <c:y val="4.16665949543192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dLbl>
              <c:idx val="1"/>
              <c:tx>
                <c:rich>
                  <a:bodyPr/>
                  <a:lstStyle/>
                  <a:p>
                    <a:r>
                      <a:rPr lang="en-US" sz="900" b="0" i="0" u="none" strike="noStrike" baseline="0">
                        <a:effectLst/>
                      </a:rPr>
                      <a:t>366.639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6FE-4AE4-900E-70E207F8B0CF}"/>
                </c:ext>
              </c:extLst>
            </c:dLbl>
            <c:dLbl>
              <c:idx val="2"/>
              <c:tx>
                <c:rich>
                  <a:bodyPr/>
                  <a:lstStyle/>
                  <a:p>
                    <a:r>
                      <a:rPr lang="en-US" sz="900" b="0" i="0" u="none" strike="noStrike" baseline="0">
                        <a:effectLst/>
                      </a:rPr>
                      <a:t>298.424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6FE-4AE4-900E-70E207F8B0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'girasol superficie '!$H$28:$H$30</c:f>
              <c:numCache>
                <c:formatCode>General</c:formatCode>
                <c:ptCount val="3"/>
                <c:pt idx="0">
                  <c:v>2023</c:v>
                </c:pt>
                <c:pt idx="1">
                  <c:v>2024</c:v>
                </c:pt>
                <c:pt idx="2">
                  <c:v>2025</c:v>
                </c:pt>
              </c:numCache>
            </c:numRef>
          </c:cat>
          <c:val>
            <c:numRef>
              <c:f>'girasol superficie '!$I$28:$I$30</c:f>
              <c:numCache>
                <c:formatCode>#,##0</c:formatCode>
                <c:ptCount val="3"/>
                <c:pt idx="0">
                  <c:v>365977</c:v>
                </c:pt>
                <c:pt idx="1">
                  <c:v>366764</c:v>
                </c:pt>
                <c:pt idx="2">
                  <c:v>297773</c:v>
                </c:pt>
              </c:numCache>
            </c:numRef>
          </c:val>
          <c:extLst>
            <c:ext xmlns:c16="http://schemas.microsoft.com/office/drawing/2014/chart" uri="{C3380CC4-5D6E-409C-BE32-E72D297353CC}">
              <c16:uniqueId val="{00000000-7B32-4B19-ABC4-3A0F5E5F0101}"/>
            </c:ext>
          </c:extLst>
        </c:ser>
        <c:dLbls>
          <c:showLegendKey val="0"/>
          <c:showVal val="0"/>
          <c:showCatName val="0"/>
          <c:showSerName val="0"/>
          <c:showPercent val="0"/>
          <c:showBubbleSize val="0"/>
        </c:dLbls>
        <c:gapWidth val="219"/>
        <c:overlap val="-27"/>
        <c:axId val="857076399"/>
        <c:axId val="857080719"/>
      </c:barChart>
      <c:catAx>
        <c:axId val="857076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57080719"/>
        <c:crosses val="autoZero"/>
        <c:auto val="1"/>
        <c:lblAlgn val="ctr"/>
        <c:lblOffset val="100"/>
        <c:noMultiLvlLbl val="0"/>
      </c:catAx>
      <c:valAx>
        <c:axId val="8570807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Ha</a:t>
                </a:r>
              </a:p>
            </c:rich>
          </c:tx>
          <c:layout>
            <c:manualLayout>
              <c:xMode val="edge"/>
              <c:yMode val="edge"/>
              <c:x val="2.2222222222222223E-2"/>
              <c:y val="0.433811971420239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57076399"/>
        <c:crosses val="autoZero"/>
        <c:crossBetween val="between"/>
        <c:majorUnit val="1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ES" sz="1050">
                <a:latin typeface="Arial" panose="020B0604020202020204" pitchFamily="34" charset="0"/>
                <a:cs typeface="Arial" panose="020B0604020202020204" pitchFamily="34" charset="0"/>
              </a:rPr>
              <a:t>Precio girasol Castilla y León</a:t>
            </a:r>
          </a:p>
        </c:rich>
      </c:tx>
      <c:layout>
        <c:manualLayout>
          <c:xMode val="edge"/>
          <c:yMode val="edge"/>
          <c:x val="0.28353121550672677"/>
          <c:y val="4.2872454448017148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'girasol_precios_24-25'!$M$19</c:f>
              <c:strCache>
                <c:ptCount val="1"/>
                <c:pt idx="0">
                  <c:v>2024</c:v>
                </c:pt>
              </c:strCache>
            </c:strRef>
          </c:tx>
          <c:spPr>
            <a:ln w="22225" cap="rnd" cmpd="sng" algn="ctr">
              <a:solidFill>
                <a:schemeClr val="accent1"/>
              </a:solidFill>
              <a:round/>
            </a:ln>
            <a:effectLst/>
          </c:spPr>
          <c:marker>
            <c:symbol val="none"/>
          </c:marker>
          <c:cat>
            <c:strRef>
              <c:f>'girasol_precios_24-25'!$L$20:$L$22</c:f>
              <c:strCache>
                <c:ptCount val="3"/>
                <c:pt idx="0">
                  <c:v>Septiembre</c:v>
                </c:pt>
                <c:pt idx="1">
                  <c:v>Octubre</c:v>
                </c:pt>
                <c:pt idx="2">
                  <c:v>Noviembre</c:v>
                </c:pt>
              </c:strCache>
            </c:strRef>
          </c:cat>
          <c:val>
            <c:numRef>
              <c:f>'girasol_precios_24-25'!$M$20:$M$22</c:f>
              <c:numCache>
                <c:formatCode>General</c:formatCode>
                <c:ptCount val="3"/>
                <c:pt idx="0">
                  <c:v>38.76</c:v>
                </c:pt>
                <c:pt idx="1">
                  <c:v>40.590000000000003</c:v>
                </c:pt>
                <c:pt idx="2">
                  <c:v>43.51</c:v>
                </c:pt>
              </c:numCache>
            </c:numRef>
          </c:val>
          <c:smooth val="0"/>
          <c:extLst>
            <c:ext xmlns:c16="http://schemas.microsoft.com/office/drawing/2014/chart" uri="{C3380CC4-5D6E-409C-BE32-E72D297353CC}">
              <c16:uniqueId val="{00000000-2ECF-4420-A82D-64A4E0D726A0}"/>
            </c:ext>
          </c:extLst>
        </c:ser>
        <c:ser>
          <c:idx val="1"/>
          <c:order val="1"/>
          <c:tx>
            <c:strRef>
              <c:f>'girasol_precios_24-25'!$N$19</c:f>
              <c:strCache>
                <c:ptCount val="1"/>
                <c:pt idx="0">
                  <c:v>2025</c:v>
                </c:pt>
              </c:strCache>
            </c:strRef>
          </c:tx>
          <c:spPr>
            <a:ln w="22225" cap="rnd" cmpd="sng" algn="ctr">
              <a:solidFill>
                <a:schemeClr val="accent2"/>
              </a:solidFill>
              <a:round/>
            </a:ln>
            <a:effectLst/>
          </c:spPr>
          <c:marker>
            <c:symbol val="none"/>
          </c:marker>
          <c:cat>
            <c:strRef>
              <c:f>'girasol_precios_24-25'!$L$20:$L$22</c:f>
              <c:strCache>
                <c:ptCount val="3"/>
                <c:pt idx="0">
                  <c:v>Septiembre</c:v>
                </c:pt>
                <c:pt idx="1">
                  <c:v>Octubre</c:v>
                </c:pt>
                <c:pt idx="2">
                  <c:v>Noviembre</c:v>
                </c:pt>
              </c:strCache>
            </c:strRef>
          </c:cat>
          <c:val>
            <c:numRef>
              <c:f>'girasol_precios_24-25'!$N$20:$N$22</c:f>
              <c:numCache>
                <c:formatCode>General</c:formatCode>
                <c:ptCount val="3"/>
                <c:pt idx="0">
                  <c:v>43.49</c:v>
                </c:pt>
                <c:pt idx="1">
                  <c:v>45.29</c:v>
                </c:pt>
                <c:pt idx="2">
                  <c:v>43.84</c:v>
                </c:pt>
              </c:numCache>
            </c:numRef>
          </c:val>
          <c:smooth val="0"/>
          <c:extLst>
            <c:ext xmlns:c16="http://schemas.microsoft.com/office/drawing/2014/chart" uri="{C3380CC4-5D6E-409C-BE32-E72D297353CC}">
              <c16:uniqueId val="{00000001-2ECF-4420-A82D-64A4E0D726A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431743"/>
        <c:axId val="3438463"/>
      </c:lineChart>
      <c:catAx>
        <c:axId val="3431743"/>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ES"/>
          </a:p>
        </c:txPr>
        <c:crossAx val="3438463"/>
        <c:crosses val="autoZero"/>
        <c:auto val="1"/>
        <c:lblAlgn val="ctr"/>
        <c:lblOffset val="100"/>
        <c:noMultiLvlLbl val="0"/>
      </c:catAx>
      <c:valAx>
        <c:axId val="3438463"/>
        <c:scaling>
          <c:orientation val="minMax"/>
          <c:max val="50"/>
          <c:min val="30"/>
        </c:scaling>
        <c:delete val="0"/>
        <c:axPos val="l"/>
        <c:title>
          <c:tx>
            <c:rich>
              <a:bodyPr rot="-5400000" spcFirstLastPara="1" vertOverflow="ellipsis" vert="horz" wrap="square" anchor="ctr" anchorCtr="1"/>
              <a:lstStyle/>
              <a:p>
                <a:pPr>
                  <a:defRPr sz="800" b="0" i="0" u="none" strike="noStrike" kern="1200" cap="all" baseline="0">
                    <a:solidFill>
                      <a:schemeClr val="dk1">
                        <a:lumMod val="65000"/>
                        <a:lumOff val="35000"/>
                      </a:schemeClr>
                    </a:solidFill>
                    <a:latin typeface="+mn-lt"/>
                    <a:ea typeface="+mn-ea"/>
                    <a:cs typeface="+mn-cs"/>
                  </a:defRPr>
                </a:pPr>
                <a:r>
                  <a:rPr lang="es-ES" sz="800"/>
                  <a:t>€/100 Kg</a:t>
                </a:r>
              </a:p>
            </c:rich>
          </c:tx>
          <c:layout>
            <c:manualLayout>
              <c:xMode val="edge"/>
              <c:yMode val="edge"/>
              <c:x val="3.011040481766477E-2"/>
              <c:y val="0.33143951861322801"/>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dk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3431743"/>
        <c:crosses val="autoZero"/>
        <c:crossBetween val="between"/>
        <c:majorUnit val="5"/>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100">
                <a:latin typeface="Arial" panose="020B0604020202020204" pitchFamily="34" charset="0"/>
                <a:cs typeface="Arial" panose="020B0604020202020204" pitchFamily="34" charset="0"/>
              </a:rPr>
              <a:t>Superficie</a:t>
            </a:r>
            <a:r>
              <a:rPr lang="es-ES" sz="1100" baseline="0">
                <a:latin typeface="Arial" panose="020B0604020202020204" pitchFamily="34" charset="0"/>
                <a:cs typeface="Arial" panose="020B0604020202020204" pitchFamily="34" charset="0"/>
              </a:rPr>
              <a:t> colza de invierno Castilla y León</a:t>
            </a:r>
            <a:endParaRPr lang="es-ES" sz="1100">
              <a:latin typeface="Arial" panose="020B0604020202020204" pitchFamily="34" charset="0"/>
              <a:cs typeface="Arial" panose="020B0604020202020204" pitchFamily="34" charset="0"/>
            </a:endParaRPr>
          </a:p>
        </c:rich>
      </c:tx>
      <c:layout>
        <c:manualLayout>
          <c:xMode val="edge"/>
          <c:yMode val="edge"/>
          <c:x val="0.19830854476523771"/>
          <c:y val="3.415740496552763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'superficie y producción'!$G$8:$I$8</c:f>
              <c:numCache>
                <c:formatCode>General</c:formatCode>
                <c:ptCount val="3"/>
                <c:pt idx="0">
                  <c:v>2023</c:v>
                </c:pt>
                <c:pt idx="1">
                  <c:v>2024</c:v>
                </c:pt>
                <c:pt idx="2">
                  <c:v>2025</c:v>
                </c:pt>
              </c:numCache>
            </c:numRef>
          </c:cat>
          <c:val>
            <c:numRef>
              <c:f>'superficie y producción'!$G$9:$I$9</c:f>
              <c:numCache>
                <c:formatCode>#,##0</c:formatCode>
                <c:ptCount val="3"/>
                <c:pt idx="0">
                  <c:v>47255</c:v>
                </c:pt>
                <c:pt idx="1">
                  <c:v>51317</c:v>
                </c:pt>
                <c:pt idx="2">
                  <c:v>51397</c:v>
                </c:pt>
              </c:numCache>
            </c:numRef>
          </c:val>
          <c:extLst>
            <c:ext xmlns:c16="http://schemas.microsoft.com/office/drawing/2014/chart" uri="{C3380CC4-5D6E-409C-BE32-E72D297353CC}">
              <c16:uniqueId val="{00000000-C43E-42A3-BA53-E855B58FF2E0}"/>
            </c:ext>
          </c:extLst>
        </c:ser>
        <c:dLbls>
          <c:showLegendKey val="0"/>
          <c:showVal val="0"/>
          <c:showCatName val="0"/>
          <c:showSerName val="0"/>
          <c:showPercent val="0"/>
          <c:showBubbleSize val="0"/>
        </c:dLbls>
        <c:gapWidth val="219"/>
        <c:overlap val="-27"/>
        <c:axId val="1700290927"/>
        <c:axId val="1700296687"/>
      </c:barChart>
      <c:catAx>
        <c:axId val="170029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700296687"/>
        <c:crosses val="autoZero"/>
        <c:auto val="1"/>
        <c:lblAlgn val="ctr"/>
        <c:lblOffset val="100"/>
        <c:noMultiLvlLbl val="0"/>
      </c:catAx>
      <c:valAx>
        <c:axId val="1700296687"/>
        <c:scaling>
          <c:orientation val="minMax"/>
          <c:max val="8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a:latin typeface="Arial" panose="020B0604020202020204" pitchFamily="34" charset="0"/>
                    <a:cs typeface="Arial" panose="020B0604020202020204" pitchFamily="34" charset="0"/>
                  </a:rPr>
                  <a:t>Ha</a:t>
                </a:r>
              </a:p>
            </c:rich>
          </c:tx>
          <c:layout>
            <c:manualLayout>
              <c:xMode val="edge"/>
              <c:yMode val="edge"/>
              <c:x val="2.2222222222222223E-2"/>
              <c:y val="0.483900554097404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700290927"/>
        <c:crosses val="autoZero"/>
        <c:crossBetween val="between"/>
        <c:majorUnit val="2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a:t>Producción colza de invierno Castilla y León</a:t>
            </a:r>
          </a:p>
        </c:rich>
      </c:tx>
      <c:layout>
        <c:manualLayout>
          <c:xMode val="edge"/>
          <c:yMode val="edge"/>
          <c:x val="0.2044201774048317"/>
          <c:y val="5.15297906602254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'superficie y producción'!$F$14</c:f>
              <c:strCache>
                <c:ptCount val="1"/>
                <c:pt idx="0">
                  <c:v>Producción (T)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'superficie y producción'!$G$13:$I$13</c:f>
              <c:numCache>
                <c:formatCode>General</c:formatCode>
                <c:ptCount val="3"/>
                <c:pt idx="0">
                  <c:v>2023</c:v>
                </c:pt>
                <c:pt idx="1">
                  <c:v>2024</c:v>
                </c:pt>
                <c:pt idx="2">
                  <c:v>2025</c:v>
                </c:pt>
              </c:numCache>
            </c:numRef>
          </c:cat>
          <c:val>
            <c:numRef>
              <c:f>'superficie y producción'!$G$14:$I$14</c:f>
              <c:numCache>
                <c:formatCode>#,##0</c:formatCode>
                <c:ptCount val="3"/>
                <c:pt idx="0">
                  <c:v>72296</c:v>
                </c:pt>
                <c:pt idx="1">
                  <c:v>141611</c:v>
                </c:pt>
                <c:pt idx="2">
                  <c:v>155504</c:v>
                </c:pt>
              </c:numCache>
            </c:numRef>
          </c:val>
          <c:extLst>
            <c:ext xmlns:c16="http://schemas.microsoft.com/office/drawing/2014/chart" uri="{C3380CC4-5D6E-409C-BE32-E72D297353CC}">
              <c16:uniqueId val="{00000000-C05D-4C02-90C1-B950602C289B}"/>
            </c:ext>
          </c:extLst>
        </c:ser>
        <c:dLbls>
          <c:showLegendKey val="0"/>
          <c:showVal val="0"/>
          <c:showCatName val="0"/>
          <c:showSerName val="0"/>
          <c:showPercent val="0"/>
          <c:showBubbleSize val="0"/>
        </c:dLbls>
        <c:gapWidth val="219"/>
        <c:overlap val="-27"/>
        <c:axId val="1184643743"/>
        <c:axId val="1184644223"/>
      </c:barChart>
      <c:catAx>
        <c:axId val="118464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84644223"/>
        <c:crosses val="autoZero"/>
        <c:auto val="1"/>
        <c:lblAlgn val="ctr"/>
        <c:lblOffset val="100"/>
        <c:noMultiLvlLbl val="0"/>
      </c:catAx>
      <c:valAx>
        <c:axId val="11846442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Tm</a:t>
                </a:r>
              </a:p>
            </c:rich>
          </c:tx>
          <c:layout>
            <c:manualLayout>
              <c:xMode val="edge"/>
              <c:yMode val="edge"/>
              <c:x val="2.9197080291970802E-2"/>
              <c:y val="0.443918495695284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8464374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a:latin typeface="Arial" panose="020B0604020202020204" pitchFamily="34" charset="0"/>
                <a:cs typeface="Arial" panose="020B0604020202020204" pitchFamily="34" charset="0"/>
              </a:rPr>
              <a:t>Superficie</a:t>
            </a:r>
            <a:r>
              <a:rPr lang="es-ES" sz="1200" baseline="0">
                <a:latin typeface="Arial" panose="020B0604020202020204" pitchFamily="34" charset="0"/>
                <a:cs typeface="Arial" panose="020B0604020202020204" pitchFamily="34" charset="0"/>
              </a:rPr>
              <a:t> patata Castilla y León </a:t>
            </a:r>
            <a:endParaRPr lang="es-ES" sz="1200">
              <a:latin typeface="Arial" panose="020B0604020202020204" pitchFamily="34" charset="0"/>
              <a:cs typeface="Arial" panose="020B0604020202020204" pitchFamily="34" charset="0"/>
            </a:endParaRPr>
          </a:p>
        </c:rich>
      </c:tx>
      <c:layout>
        <c:manualLayout>
          <c:xMode val="edge"/>
          <c:yMode val="edge"/>
          <c:x val="0.23012507299668222"/>
          <c:y val="4.04087489063866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'superficie patata'!$G$4</c:f>
              <c:strCache>
                <c:ptCount val="1"/>
                <c:pt idx="0">
                  <c:v>23-24</c:v>
                </c:pt>
              </c:strCache>
            </c:strRef>
          </c:tx>
          <c:spPr>
            <a:solidFill>
              <a:schemeClr val="accent1"/>
            </a:solidFill>
            <a:ln>
              <a:noFill/>
            </a:ln>
            <a:effectLst/>
          </c:spPr>
          <c:invertIfNegative val="0"/>
          <c:cat>
            <c:strRef>
              <c:f>'superficie patata'!$F$5:$F$13</c:f>
              <c:strCache>
                <c:ptCount val="9"/>
                <c:pt idx="0">
                  <c:v>Ávila</c:v>
                </c:pt>
                <c:pt idx="1">
                  <c:v>Burgos</c:v>
                </c:pt>
                <c:pt idx="2">
                  <c:v>León</c:v>
                </c:pt>
                <c:pt idx="3">
                  <c:v>Palencia</c:v>
                </c:pt>
                <c:pt idx="4">
                  <c:v>Salamanca</c:v>
                </c:pt>
                <c:pt idx="5">
                  <c:v>Segovia</c:v>
                </c:pt>
                <c:pt idx="6">
                  <c:v>Soria</c:v>
                </c:pt>
                <c:pt idx="7">
                  <c:v>Valladolid</c:v>
                </c:pt>
                <c:pt idx="8">
                  <c:v>Zamora</c:v>
                </c:pt>
              </c:strCache>
            </c:strRef>
          </c:cat>
          <c:val>
            <c:numRef>
              <c:f>'superficie patata'!$G$5:$G$13</c:f>
              <c:numCache>
                <c:formatCode>#,##0</c:formatCode>
                <c:ptCount val="9"/>
                <c:pt idx="0">
                  <c:v>1294</c:v>
                </c:pt>
                <c:pt idx="1">
                  <c:v>1839</c:v>
                </c:pt>
                <c:pt idx="2">
                  <c:v>1162</c:v>
                </c:pt>
                <c:pt idx="3">
                  <c:v>676</c:v>
                </c:pt>
                <c:pt idx="4">
                  <c:v>4283</c:v>
                </c:pt>
                <c:pt idx="5">
                  <c:v>1847</c:v>
                </c:pt>
                <c:pt idx="6">
                  <c:v>316</c:v>
                </c:pt>
                <c:pt idx="7">
                  <c:v>4786</c:v>
                </c:pt>
                <c:pt idx="8">
                  <c:v>762</c:v>
                </c:pt>
              </c:numCache>
            </c:numRef>
          </c:val>
          <c:extLst>
            <c:ext xmlns:c16="http://schemas.microsoft.com/office/drawing/2014/chart" uri="{C3380CC4-5D6E-409C-BE32-E72D297353CC}">
              <c16:uniqueId val="{00000000-8184-4D7F-AD4A-ECEE7B492B83}"/>
            </c:ext>
          </c:extLst>
        </c:ser>
        <c:ser>
          <c:idx val="1"/>
          <c:order val="1"/>
          <c:tx>
            <c:strRef>
              <c:f>'superficie patata'!$H$4</c:f>
              <c:strCache>
                <c:ptCount val="1"/>
                <c:pt idx="0">
                  <c:v>24-25</c:v>
                </c:pt>
              </c:strCache>
            </c:strRef>
          </c:tx>
          <c:spPr>
            <a:solidFill>
              <a:schemeClr val="accent2"/>
            </a:solidFill>
            <a:ln>
              <a:noFill/>
            </a:ln>
            <a:effectLst/>
          </c:spPr>
          <c:invertIfNegative val="0"/>
          <c:cat>
            <c:strRef>
              <c:f>'superficie patata'!$F$5:$F$13</c:f>
              <c:strCache>
                <c:ptCount val="9"/>
                <c:pt idx="0">
                  <c:v>Ávila</c:v>
                </c:pt>
                <c:pt idx="1">
                  <c:v>Burgos</c:v>
                </c:pt>
                <c:pt idx="2">
                  <c:v>León</c:v>
                </c:pt>
                <c:pt idx="3">
                  <c:v>Palencia</c:v>
                </c:pt>
                <c:pt idx="4">
                  <c:v>Salamanca</c:v>
                </c:pt>
                <c:pt idx="5">
                  <c:v>Segovia</c:v>
                </c:pt>
                <c:pt idx="6">
                  <c:v>Soria</c:v>
                </c:pt>
                <c:pt idx="7">
                  <c:v>Valladolid</c:v>
                </c:pt>
                <c:pt idx="8">
                  <c:v>Zamora</c:v>
                </c:pt>
              </c:strCache>
            </c:strRef>
          </c:cat>
          <c:val>
            <c:numRef>
              <c:f>'superficie patata'!$H$5:$H$13</c:f>
              <c:numCache>
                <c:formatCode>#,##0</c:formatCode>
                <c:ptCount val="9"/>
                <c:pt idx="0">
                  <c:v>1334</c:v>
                </c:pt>
                <c:pt idx="1">
                  <c:v>1728</c:v>
                </c:pt>
                <c:pt idx="2">
                  <c:v>1165</c:v>
                </c:pt>
                <c:pt idx="3">
                  <c:v>728</c:v>
                </c:pt>
                <c:pt idx="4">
                  <c:v>4741</c:v>
                </c:pt>
                <c:pt idx="5">
                  <c:v>1808</c:v>
                </c:pt>
                <c:pt idx="6">
                  <c:v>282</c:v>
                </c:pt>
                <c:pt idx="7">
                  <c:v>4760</c:v>
                </c:pt>
                <c:pt idx="8">
                  <c:v>862</c:v>
                </c:pt>
              </c:numCache>
            </c:numRef>
          </c:val>
          <c:extLst>
            <c:ext xmlns:c16="http://schemas.microsoft.com/office/drawing/2014/chart" uri="{C3380CC4-5D6E-409C-BE32-E72D297353CC}">
              <c16:uniqueId val="{00000001-8184-4D7F-AD4A-ECEE7B492B83}"/>
            </c:ext>
          </c:extLst>
        </c:ser>
        <c:ser>
          <c:idx val="2"/>
          <c:order val="2"/>
          <c:tx>
            <c:strRef>
              <c:f>'superficie patata'!$I$4</c:f>
              <c:strCache>
                <c:ptCount val="1"/>
                <c:pt idx="0">
                  <c:v>25-26</c:v>
                </c:pt>
              </c:strCache>
            </c:strRef>
          </c:tx>
          <c:spPr>
            <a:solidFill>
              <a:srgbClr val="92D050"/>
            </a:solidFill>
            <a:ln>
              <a:noFill/>
            </a:ln>
            <a:effectLst/>
          </c:spPr>
          <c:invertIfNegative val="0"/>
          <c:cat>
            <c:strRef>
              <c:f>'superficie patata'!$F$5:$F$13</c:f>
              <c:strCache>
                <c:ptCount val="9"/>
                <c:pt idx="0">
                  <c:v>Ávila</c:v>
                </c:pt>
                <c:pt idx="1">
                  <c:v>Burgos</c:v>
                </c:pt>
                <c:pt idx="2">
                  <c:v>León</c:v>
                </c:pt>
                <c:pt idx="3">
                  <c:v>Palencia</c:v>
                </c:pt>
                <c:pt idx="4">
                  <c:v>Salamanca</c:v>
                </c:pt>
                <c:pt idx="5">
                  <c:v>Segovia</c:v>
                </c:pt>
                <c:pt idx="6">
                  <c:v>Soria</c:v>
                </c:pt>
                <c:pt idx="7">
                  <c:v>Valladolid</c:v>
                </c:pt>
                <c:pt idx="8">
                  <c:v>Zamora</c:v>
                </c:pt>
              </c:strCache>
            </c:strRef>
          </c:cat>
          <c:val>
            <c:numRef>
              <c:f>'superficie patata'!$I$5:$I$13</c:f>
              <c:numCache>
                <c:formatCode>#,##0</c:formatCode>
                <c:ptCount val="9"/>
                <c:pt idx="0">
                  <c:v>1641</c:v>
                </c:pt>
                <c:pt idx="1">
                  <c:v>1799</c:v>
                </c:pt>
                <c:pt idx="2">
                  <c:v>1334</c:v>
                </c:pt>
                <c:pt idx="3">
                  <c:v>604</c:v>
                </c:pt>
                <c:pt idx="4">
                  <c:v>5215</c:v>
                </c:pt>
                <c:pt idx="5">
                  <c:v>1866</c:v>
                </c:pt>
                <c:pt idx="6">
                  <c:v>269</c:v>
                </c:pt>
                <c:pt idx="7">
                  <c:v>5601</c:v>
                </c:pt>
                <c:pt idx="8">
                  <c:v>1087</c:v>
                </c:pt>
              </c:numCache>
            </c:numRef>
          </c:val>
          <c:extLst>
            <c:ext xmlns:c16="http://schemas.microsoft.com/office/drawing/2014/chart" uri="{C3380CC4-5D6E-409C-BE32-E72D297353CC}">
              <c16:uniqueId val="{00000002-8184-4D7F-AD4A-ECEE7B492B83}"/>
            </c:ext>
          </c:extLst>
        </c:ser>
        <c:dLbls>
          <c:showLegendKey val="0"/>
          <c:showVal val="0"/>
          <c:showCatName val="0"/>
          <c:showSerName val="0"/>
          <c:showPercent val="0"/>
          <c:showBubbleSize val="0"/>
        </c:dLbls>
        <c:gapWidth val="219"/>
        <c:overlap val="-27"/>
        <c:axId val="38701296"/>
        <c:axId val="38693136"/>
      </c:barChart>
      <c:catAx>
        <c:axId val="3870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38693136"/>
        <c:crosses val="autoZero"/>
        <c:auto val="1"/>
        <c:lblAlgn val="ctr"/>
        <c:lblOffset val="100"/>
        <c:noMultiLvlLbl val="0"/>
      </c:catAx>
      <c:valAx>
        <c:axId val="38693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800">
                    <a:latin typeface="Arial" panose="020B0604020202020204" pitchFamily="34" charset="0"/>
                    <a:cs typeface="Arial" panose="020B0604020202020204" pitchFamily="34" charset="0"/>
                  </a:rPr>
                  <a:t>Ha</a:t>
                </a:r>
              </a:p>
            </c:rich>
          </c:tx>
          <c:layout>
            <c:manualLayout>
              <c:xMode val="edge"/>
              <c:yMode val="edge"/>
              <c:x val="2.6079823560138521E-2"/>
              <c:y val="0.326731915519905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87012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ES" sz="1200">
                <a:latin typeface="Arial" panose="020B0604020202020204" pitchFamily="34" charset="0"/>
                <a:cs typeface="Arial" panose="020B0604020202020204" pitchFamily="34" charset="0"/>
              </a:rPr>
              <a:t>Precio patata Catilla y León</a:t>
            </a:r>
          </a:p>
        </c:rich>
      </c:tx>
      <c:layout>
        <c:manualLayout>
          <c:xMode val="edge"/>
          <c:yMode val="edge"/>
          <c:x val="0.31290378770373795"/>
          <c:y val="3.2407467080903911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'D:\PATATA 2025\[precios julio-abril campaña 23-24-25.xltx]precios julio-abril campaña 24-'!$K$6</c:f>
              <c:strCache>
                <c:ptCount val="1"/>
                <c:pt idx="0">
                  <c:v>2023/24</c:v>
                </c:pt>
              </c:strCache>
            </c:strRef>
          </c:tx>
          <c:spPr>
            <a:ln w="22225" cap="rnd" cmpd="sng" algn="ctr">
              <a:solidFill>
                <a:schemeClr val="accent1"/>
              </a:solidFill>
              <a:round/>
            </a:ln>
            <a:effectLst/>
          </c:spPr>
          <c:marker>
            <c:symbol val="none"/>
          </c:marker>
          <c:cat>
            <c:strRef>
              <c:f>'D:\PATATA 2025\[precios julio-abril campaña 23-24-25.xltx]precios julio-abril campaña 24-'!$J$7:$J$16</c:f>
              <c:strCache>
                <c:ptCount val="10"/>
                <c:pt idx="0">
                  <c:v>jul</c:v>
                </c:pt>
                <c:pt idx="1">
                  <c:v>ago</c:v>
                </c:pt>
                <c:pt idx="2">
                  <c:v>sep</c:v>
                </c:pt>
                <c:pt idx="3">
                  <c:v>oct</c:v>
                </c:pt>
                <c:pt idx="4">
                  <c:v>nov</c:v>
                </c:pt>
                <c:pt idx="5">
                  <c:v>dic</c:v>
                </c:pt>
                <c:pt idx="6">
                  <c:v>ene</c:v>
                </c:pt>
                <c:pt idx="7">
                  <c:v>feb</c:v>
                </c:pt>
                <c:pt idx="8">
                  <c:v>mar</c:v>
                </c:pt>
                <c:pt idx="9">
                  <c:v>abr</c:v>
                </c:pt>
              </c:strCache>
            </c:strRef>
          </c:cat>
          <c:val>
            <c:numRef>
              <c:f>'D:\PATATA 2025\[precios julio-abril campaña 23-24-25.xltx]precios julio-abril campaña 24-'!$K$7:$K$16</c:f>
              <c:numCache>
                <c:formatCode>General</c:formatCode>
                <c:ptCount val="10"/>
                <c:pt idx="0">
                  <c:v>30.17</c:v>
                </c:pt>
                <c:pt idx="1">
                  <c:v>29.88</c:v>
                </c:pt>
                <c:pt idx="2">
                  <c:v>30.97</c:v>
                </c:pt>
                <c:pt idx="3">
                  <c:v>30.47</c:v>
                </c:pt>
                <c:pt idx="4">
                  <c:v>29.86</c:v>
                </c:pt>
                <c:pt idx="5">
                  <c:v>30.46</c:v>
                </c:pt>
                <c:pt idx="6">
                  <c:v>32.61</c:v>
                </c:pt>
                <c:pt idx="7">
                  <c:v>37.520000000000003</c:v>
                </c:pt>
                <c:pt idx="8">
                  <c:v>41.63</c:v>
                </c:pt>
                <c:pt idx="9">
                  <c:v>44.7</c:v>
                </c:pt>
              </c:numCache>
            </c:numRef>
          </c:val>
          <c:smooth val="0"/>
          <c:extLst>
            <c:ext xmlns:c16="http://schemas.microsoft.com/office/drawing/2014/chart" uri="{C3380CC4-5D6E-409C-BE32-E72D297353CC}">
              <c16:uniqueId val="{00000000-7C72-42E8-A40D-8D98454F65E3}"/>
            </c:ext>
          </c:extLst>
        </c:ser>
        <c:ser>
          <c:idx val="1"/>
          <c:order val="1"/>
          <c:tx>
            <c:strRef>
              <c:f>'D:\PATATA 2025\[precios julio-abril campaña 23-24-25.xltx]precios julio-abril campaña 24-'!$L$6</c:f>
              <c:strCache>
                <c:ptCount val="1"/>
                <c:pt idx="0">
                  <c:v>2024/25</c:v>
                </c:pt>
              </c:strCache>
            </c:strRef>
          </c:tx>
          <c:spPr>
            <a:ln w="22225" cap="rnd" cmpd="sng" algn="ctr">
              <a:solidFill>
                <a:schemeClr val="accent2"/>
              </a:solidFill>
              <a:round/>
            </a:ln>
            <a:effectLst/>
          </c:spPr>
          <c:marker>
            <c:symbol val="none"/>
          </c:marker>
          <c:cat>
            <c:strRef>
              <c:f>'D:\PATATA 2025\[precios julio-abril campaña 23-24-25.xltx]precios julio-abril campaña 24-'!$J$7:$J$16</c:f>
              <c:strCache>
                <c:ptCount val="10"/>
                <c:pt idx="0">
                  <c:v>jul</c:v>
                </c:pt>
                <c:pt idx="1">
                  <c:v>ago</c:v>
                </c:pt>
                <c:pt idx="2">
                  <c:v>sep</c:v>
                </c:pt>
                <c:pt idx="3">
                  <c:v>oct</c:v>
                </c:pt>
                <c:pt idx="4">
                  <c:v>nov</c:v>
                </c:pt>
                <c:pt idx="5">
                  <c:v>dic</c:v>
                </c:pt>
                <c:pt idx="6">
                  <c:v>ene</c:v>
                </c:pt>
                <c:pt idx="7">
                  <c:v>feb</c:v>
                </c:pt>
                <c:pt idx="8">
                  <c:v>mar</c:v>
                </c:pt>
                <c:pt idx="9">
                  <c:v>abr</c:v>
                </c:pt>
              </c:strCache>
            </c:strRef>
          </c:cat>
          <c:val>
            <c:numRef>
              <c:f>'D:\PATATA 2025\[precios julio-abril campaña 23-24-25.xltx]precios julio-abril campaña 24-'!$L$7:$L$16</c:f>
              <c:numCache>
                <c:formatCode>General</c:formatCode>
                <c:ptCount val="10"/>
                <c:pt idx="0">
                  <c:v>55</c:v>
                </c:pt>
                <c:pt idx="1">
                  <c:v>55.21</c:v>
                </c:pt>
                <c:pt idx="2">
                  <c:v>39.450000000000003</c:v>
                </c:pt>
                <c:pt idx="3">
                  <c:v>27.9</c:v>
                </c:pt>
                <c:pt idx="4">
                  <c:v>26.19</c:v>
                </c:pt>
                <c:pt idx="5">
                  <c:v>27.39</c:v>
                </c:pt>
                <c:pt idx="6">
                  <c:v>29.65</c:v>
                </c:pt>
                <c:pt idx="7">
                  <c:v>36.11</c:v>
                </c:pt>
                <c:pt idx="8">
                  <c:v>37</c:v>
                </c:pt>
                <c:pt idx="9">
                  <c:v>37.5</c:v>
                </c:pt>
              </c:numCache>
            </c:numRef>
          </c:val>
          <c:smooth val="0"/>
          <c:extLst>
            <c:ext xmlns:c16="http://schemas.microsoft.com/office/drawing/2014/chart" uri="{C3380CC4-5D6E-409C-BE32-E72D297353CC}">
              <c16:uniqueId val="{00000001-7C72-42E8-A40D-8D98454F65E3}"/>
            </c:ext>
          </c:extLst>
        </c:ser>
        <c:ser>
          <c:idx val="2"/>
          <c:order val="2"/>
          <c:tx>
            <c:strRef>
              <c:f>'D:\PATATA 2025\[precios julio-abril campaña 23-24-25.xltx]precios julio-abril campaña 24-'!$M$6</c:f>
              <c:strCache>
                <c:ptCount val="1"/>
                <c:pt idx="0">
                  <c:v>2025/26</c:v>
                </c:pt>
              </c:strCache>
            </c:strRef>
          </c:tx>
          <c:spPr>
            <a:ln w="22225" cap="rnd" cmpd="sng" algn="ctr">
              <a:solidFill>
                <a:schemeClr val="accent3"/>
              </a:solidFill>
              <a:round/>
            </a:ln>
            <a:effectLst/>
          </c:spPr>
          <c:marker>
            <c:symbol val="none"/>
          </c:marker>
          <c:cat>
            <c:strRef>
              <c:f>'D:\PATATA 2025\[precios julio-abril campaña 23-24-25.xltx]precios julio-abril campaña 24-'!$J$7:$J$16</c:f>
              <c:strCache>
                <c:ptCount val="10"/>
                <c:pt idx="0">
                  <c:v>jul</c:v>
                </c:pt>
                <c:pt idx="1">
                  <c:v>ago</c:v>
                </c:pt>
                <c:pt idx="2">
                  <c:v>sep</c:v>
                </c:pt>
                <c:pt idx="3">
                  <c:v>oct</c:v>
                </c:pt>
                <c:pt idx="4">
                  <c:v>nov</c:v>
                </c:pt>
                <c:pt idx="5">
                  <c:v>dic</c:v>
                </c:pt>
                <c:pt idx="6">
                  <c:v>ene</c:v>
                </c:pt>
                <c:pt idx="7">
                  <c:v>feb</c:v>
                </c:pt>
                <c:pt idx="8">
                  <c:v>mar</c:v>
                </c:pt>
                <c:pt idx="9">
                  <c:v>abr</c:v>
                </c:pt>
              </c:strCache>
            </c:strRef>
          </c:cat>
          <c:val>
            <c:numRef>
              <c:f>'D:\PATATA 2025\[precios julio-abril campaña 23-24-25.xltx]precios julio-abril campaña 24-'!$M$7:$M$16</c:f>
              <c:numCache>
                <c:formatCode>General</c:formatCode>
                <c:ptCount val="10"/>
                <c:pt idx="0">
                  <c:v>31.25</c:v>
                </c:pt>
                <c:pt idx="1">
                  <c:v>23.25</c:v>
                </c:pt>
                <c:pt idx="2">
                  <c:v>21.7</c:v>
                </c:pt>
                <c:pt idx="3">
                  <c:v>17.71</c:v>
                </c:pt>
                <c:pt idx="4">
                  <c:v>15.58</c:v>
                </c:pt>
                <c:pt idx="5">
                  <c:v>14.45</c:v>
                </c:pt>
              </c:numCache>
            </c:numRef>
          </c:val>
          <c:smooth val="0"/>
          <c:extLst>
            <c:ext xmlns:c16="http://schemas.microsoft.com/office/drawing/2014/chart" uri="{C3380CC4-5D6E-409C-BE32-E72D297353CC}">
              <c16:uniqueId val="{00000002-7C72-42E8-A40D-8D98454F65E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690191071"/>
        <c:axId val="1690185791"/>
      </c:lineChart>
      <c:catAx>
        <c:axId val="1690191071"/>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ES"/>
          </a:p>
        </c:txPr>
        <c:crossAx val="1690185791"/>
        <c:crosses val="autoZero"/>
        <c:auto val="1"/>
        <c:lblAlgn val="ctr"/>
        <c:lblOffset val="100"/>
        <c:noMultiLvlLbl val="0"/>
      </c:catAx>
      <c:valAx>
        <c:axId val="1690185791"/>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S" sz="800">
                    <a:latin typeface="Arial" panose="020B0604020202020204" pitchFamily="34" charset="0"/>
                    <a:cs typeface="Arial" panose="020B0604020202020204" pitchFamily="34" charset="0"/>
                  </a:rPr>
                  <a:t>€/100 Kg</a:t>
                </a:r>
              </a:p>
            </c:rich>
          </c:tx>
          <c:layout>
            <c:manualLayout>
              <c:xMode val="edge"/>
              <c:yMode val="edge"/>
              <c:x val="2.2222222222222223E-2"/>
              <c:y val="0.3885221638961796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690191071"/>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22082934892732084"/>
          <c:y val="0.88409492807464918"/>
          <c:w val="0.58353783196455278"/>
          <c:h val="8.66233490763722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a:latin typeface="Arial" panose="020B0604020202020204" pitchFamily="34" charset="0"/>
                <a:cs typeface="Arial" panose="020B0604020202020204" pitchFamily="34" charset="0"/>
              </a:rPr>
              <a:t>Superficie</a:t>
            </a:r>
            <a:r>
              <a:rPr lang="es-ES" sz="1050" baseline="0">
                <a:latin typeface="Arial" panose="020B0604020202020204" pitchFamily="34" charset="0"/>
                <a:cs typeface="Arial" panose="020B0604020202020204" pitchFamily="34" charset="0"/>
              </a:rPr>
              <a:t> leguminosas grano Castilla y León </a:t>
            </a:r>
            <a:endParaRPr lang="es-ES" sz="1050">
              <a:latin typeface="Arial" panose="020B0604020202020204" pitchFamily="34" charset="0"/>
              <a:cs typeface="Arial" panose="020B0604020202020204" pitchFamily="34" charset="0"/>
            </a:endParaRPr>
          </a:p>
        </c:rich>
      </c:tx>
      <c:layout>
        <c:manualLayout>
          <c:xMode val="edge"/>
          <c:yMode val="edge"/>
          <c:x val="0.23374600452171201"/>
          <c:y val="2.99067949839603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Hoja2!$Q$10</c:f>
              <c:strCache>
                <c:ptCount val="1"/>
                <c:pt idx="0">
                  <c:v>2023</c:v>
                </c:pt>
              </c:strCache>
            </c:strRef>
          </c:tx>
          <c:spPr>
            <a:solidFill>
              <a:schemeClr val="accent1"/>
            </a:solidFill>
            <a:ln>
              <a:noFill/>
            </a:ln>
            <a:effectLst/>
            <a:sp3d/>
          </c:spPr>
          <c:invertIfNegative val="0"/>
          <c:cat>
            <c:strRef>
              <c:f>Hoja2!$P$11:$P$19</c:f>
              <c:strCache>
                <c:ptCount val="9"/>
                <c:pt idx="0">
                  <c:v>Judias secas</c:v>
                </c:pt>
                <c:pt idx="1">
                  <c:v>Habas secas</c:v>
                </c:pt>
                <c:pt idx="2">
                  <c:v>Lentejas</c:v>
                </c:pt>
                <c:pt idx="3">
                  <c:v>Garbanzos</c:v>
                </c:pt>
                <c:pt idx="4">
                  <c:v>Guisantes secos</c:v>
                </c:pt>
                <c:pt idx="5">
                  <c:v>Veza</c:v>
                </c:pt>
                <c:pt idx="6">
                  <c:v>Altramuz dulce</c:v>
                </c:pt>
                <c:pt idx="7">
                  <c:v>Yeros</c:v>
                </c:pt>
                <c:pt idx="8">
                  <c:v>Total</c:v>
                </c:pt>
              </c:strCache>
            </c:strRef>
          </c:cat>
          <c:val>
            <c:numRef>
              <c:f>Hoja2!$Q$11:$Q$19</c:f>
              <c:numCache>
                <c:formatCode>General</c:formatCode>
                <c:ptCount val="9"/>
                <c:pt idx="0">
                  <c:v>4850</c:v>
                </c:pt>
                <c:pt idx="1">
                  <c:v>663</c:v>
                </c:pt>
                <c:pt idx="2">
                  <c:v>13107</c:v>
                </c:pt>
                <c:pt idx="3">
                  <c:v>19881</c:v>
                </c:pt>
                <c:pt idx="4">
                  <c:v>81212</c:v>
                </c:pt>
                <c:pt idx="5">
                  <c:v>38534</c:v>
                </c:pt>
                <c:pt idx="6">
                  <c:v>191</c:v>
                </c:pt>
                <c:pt idx="7">
                  <c:v>22161</c:v>
                </c:pt>
                <c:pt idx="8" formatCode="#,##0">
                  <c:v>180599</c:v>
                </c:pt>
              </c:numCache>
            </c:numRef>
          </c:val>
          <c:extLst>
            <c:ext xmlns:c16="http://schemas.microsoft.com/office/drawing/2014/chart" uri="{C3380CC4-5D6E-409C-BE32-E72D297353CC}">
              <c16:uniqueId val="{00000000-0160-4378-B903-B179E01ABA52}"/>
            </c:ext>
          </c:extLst>
        </c:ser>
        <c:ser>
          <c:idx val="1"/>
          <c:order val="1"/>
          <c:tx>
            <c:strRef>
              <c:f>Hoja2!$R$10</c:f>
              <c:strCache>
                <c:ptCount val="1"/>
                <c:pt idx="0">
                  <c:v>2024</c:v>
                </c:pt>
              </c:strCache>
            </c:strRef>
          </c:tx>
          <c:spPr>
            <a:solidFill>
              <a:schemeClr val="accent2"/>
            </a:solidFill>
            <a:ln>
              <a:noFill/>
            </a:ln>
            <a:effectLst/>
            <a:sp3d/>
          </c:spPr>
          <c:invertIfNegative val="0"/>
          <c:cat>
            <c:strRef>
              <c:f>Hoja2!$P$11:$P$19</c:f>
              <c:strCache>
                <c:ptCount val="9"/>
                <c:pt idx="0">
                  <c:v>Judias secas</c:v>
                </c:pt>
                <c:pt idx="1">
                  <c:v>Habas secas</c:v>
                </c:pt>
                <c:pt idx="2">
                  <c:v>Lentejas</c:v>
                </c:pt>
                <c:pt idx="3">
                  <c:v>Garbanzos</c:v>
                </c:pt>
                <c:pt idx="4">
                  <c:v>Guisantes secos</c:v>
                </c:pt>
                <c:pt idx="5">
                  <c:v>Veza</c:v>
                </c:pt>
                <c:pt idx="6">
                  <c:v>Altramuz dulce</c:v>
                </c:pt>
                <c:pt idx="7">
                  <c:v>Yeros</c:v>
                </c:pt>
                <c:pt idx="8">
                  <c:v>Total</c:v>
                </c:pt>
              </c:strCache>
            </c:strRef>
          </c:cat>
          <c:val>
            <c:numRef>
              <c:f>Hoja2!$R$11:$R$19</c:f>
              <c:numCache>
                <c:formatCode>General</c:formatCode>
                <c:ptCount val="9"/>
                <c:pt idx="0">
                  <c:v>5881</c:v>
                </c:pt>
                <c:pt idx="1">
                  <c:v>463</c:v>
                </c:pt>
                <c:pt idx="2">
                  <c:v>11958</c:v>
                </c:pt>
                <c:pt idx="3">
                  <c:v>29861</c:v>
                </c:pt>
                <c:pt idx="4">
                  <c:v>55410</c:v>
                </c:pt>
                <c:pt idx="5">
                  <c:v>38859</c:v>
                </c:pt>
                <c:pt idx="6">
                  <c:v>168</c:v>
                </c:pt>
                <c:pt idx="7">
                  <c:v>21264</c:v>
                </c:pt>
                <c:pt idx="8" formatCode="#,##0">
                  <c:v>163864</c:v>
                </c:pt>
              </c:numCache>
            </c:numRef>
          </c:val>
          <c:extLst>
            <c:ext xmlns:c16="http://schemas.microsoft.com/office/drawing/2014/chart" uri="{C3380CC4-5D6E-409C-BE32-E72D297353CC}">
              <c16:uniqueId val="{00000001-0160-4378-B903-B179E01ABA52}"/>
            </c:ext>
          </c:extLst>
        </c:ser>
        <c:ser>
          <c:idx val="2"/>
          <c:order val="2"/>
          <c:tx>
            <c:strRef>
              <c:f>Hoja2!$S$10</c:f>
              <c:strCache>
                <c:ptCount val="1"/>
                <c:pt idx="0">
                  <c:v>2025</c:v>
                </c:pt>
              </c:strCache>
            </c:strRef>
          </c:tx>
          <c:spPr>
            <a:solidFill>
              <a:schemeClr val="accent3"/>
            </a:solidFill>
            <a:ln>
              <a:noFill/>
            </a:ln>
            <a:effectLst/>
            <a:sp3d/>
          </c:spPr>
          <c:invertIfNegative val="0"/>
          <c:cat>
            <c:strRef>
              <c:f>Hoja2!$P$11:$P$19</c:f>
              <c:strCache>
                <c:ptCount val="9"/>
                <c:pt idx="0">
                  <c:v>Judias secas</c:v>
                </c:pt>
                <c:pt idx="1">
                  <c:v>Habas secas</c:v>
                </c:pt>
                <c:pt idx="2">
                  <c:v>Lentejas</c:v>
                </c:pt>
                <c:pt idx="3">
                  <c:v>Garbanzos</c:v>
                </c:pt>
                <c:pt idx="4">
                  <c:v>Guisantes secos</c:v>
                </c:pt>
                <c:pt idx="5">
                  <c:v>Veza</c:v>
                </c:pt>
                <c:pt idx="6">
                  <c:v>Altramuz dulce</c:v>
                </c:pt>
                <c:pt idx="7">
                  <c:v>Yeros</c:v>
                </c:pt>
                <c:pt idx="8">
                  <c:v>Total</c:v>
                </c:pt>
              </c:strCache>
            </c:strRef>
          </c:cat>
          <c:val>
            <c:numRef>
              <c:f>Hoja2!$S$11:$S$19</c:f>
              <c:numCache>
                <c:formatCode>General</c:formatCode>
                <c:ptCount val="9"/>
                <c:pt idx="0">
                  <c:v>6315</c:v>
                </c:pt>
                <c:pt idx="1">
                  <c:v>584</c:v>
                </c:pt>
                <c:pt idx="2">
                  <c:v>13153</c:v>
                </c:pt>
                <c:pt idx="3">
                  <c:v>20800</c:v>
                </c:pt>
                <c:pt idx="4">
                  <c:v>51624</c:v>
                </c:pt>
                <c:pt idx="5" formatCode="0">
                  <c:v>43939.880000000005</c:v>
                </c:pt>
                <c:pt idx="6">
                  <c:v>201</c:v>
                </c:pt>
                <c:pt idx="7" formatCode="0">
                  <c:v>19146.59</c:v>
                </c:pt>
                <c:pt idx="8" formatCode="#,##0">
                  <c:v>155763.47</c:v>
                </c:pt>
              </c:numCache>
            </c:numRef>
          </c:val>
          <c:extLst>
            <c:ext xmlns:c16="http://schemas.microsoft.com/office/drawing/2014/chart" uri="{C3380CC4-5D6E-409C-BE32-E72D297353CC}">
              <c16:uniqueId val="{00000002-0160-4378-B903-B179E01ABA52}"/>
            </c:ext>
          </c:extLst>
        </c:ser>
        <c:dLbls>
          <c:showLegendKey val="0"/>
          <c:showVal val="0"/>
          <c:showCatName val="0"/>
          <c:showSerName val="0"/>
          <c:showPercent val="0"/>
          <c:showBubbleSize val="0"/>
        </c:dLbls>
        <c:gapWidth val="150"/>
        <c:shape val="box"/>
        <c:axId val="2014989263"/>
        <c:axId val="2014987343"/>
        <c:axId val="0"/>
      </c:bar3DChart>
      <c:catAx>
        <c:axId val="20149892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14987343"/>
        <c:crosses val="autoZero"/>
        <c:auto val="1"/>
        <c:lblAlgn val="ctr"/>
        <c:lblOffset val="100"/>
        <c:noMultiLvlLbl val="0"/>
      </c:catAx>
      <c:valAx>
        <c:axId val="2014987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a:latin typeface="Arial" panose="020B0604020202020204" pitchFamily="34" charset="0"/>
                    <a:cs typeface="Arial" panose="020B0604020202020204" pitchFamily="34" charset="0"/>
                  </a:rPr>
                  <a:t>Ha</a:t>
                </a:r>
              </a:p>
            </c:rich>
          </c:tx>
          <c:layout>
            <c:manualLayout>
              <c:xMode val="edge"/>
              <c:yMode val="edge"/>
              <c:x val="5.0608886655125557E-2"/>
              <c:y val="0.3209208303507515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14989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a:latin typeface="Arial" panose="020B0604020202020204" pitchFamily="34" charset="0"/>
                <a:cs typeface="Arial" panose="020B0604020202020204" pitchFamily="34" charset="0"/>
              </a:rPr>
              <a:t>Producción</a:t>
            </a:r>
            <a:r>
              <a:rPr lang="es-ES" sz="1050" baseline="0">
                <a:latin typeface="Arial" panose="020B0604020202020204" pitchFamily="34" charset="0"/>
                <a:cs typeface="Arial" panose="020B0604020202020204" pitchFamily="34" charset="0"/>
              </a:rPr>
              <a:t> leguminosas grano Castilla y León</a:t>
            </a:r>
            <a:endParaRPr lang="es-ES" sz="1050">
              <a:latin typeface="Arial" panose="020B0604020202020204" pitchFamily="34" charset="0"/>
              <a:cs typeface="Arial" panose="020B0604020202020204" pitchFamily="34" charset="0"/>
            </a:endParaRPr>
          </a:p>
        </c:rich>
      </c:tx>
      <c:layout>
        <c:manualLayout>
          <c:xMode val="edge"/>
          <c:yMode val="edge"/>
          <c:x val="0.25218390804597701"/>
          <c:y val="3.619909502262443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Hoja2!$D$23</c:f>
              <c:strCache>
                <c:ptCount val="1"/>
                <c:pt idx="0">
                  <c:v>2023</c:v>
                </c:pt>
              </c:strCache>
            </c:strRef>
          </c:tx>
          <c:spPr>
            <a:solidFill>
              <a:schemeClr val="accent1"/>
            </a:solidFill>
            <a:ln>
              <a:noFill/>
            </a:ln>
            <a:effectLst/>
            <a:sp3d/>
          </c:spPr>
          <c:invertIfNegative val="0"/>
          <c:cat>
            <c:strRef>
              <c:f>Hoja2!$C$24:$C$32</c:f>
              <c:strCache>
                <c:ptCount val="9"/>
                <c:pt idx="0">
                  <c:v>Judias secas</c:v>
                </c:pt>
                <c:pt idx="1">
                  <c:v>Habas secas</c:v>
                </c:pt>
                <c:pt idx="2">
                  <c:v>Lentejas</c:v>
                </c:pt>
                <c:pt idx="3">
                  <c:v>Garbanzos</c:v>
                </c:pt>
                <c:pt idx="4">
                  <c:v>Guisantes secos</c:v>
                </c:pt>
                <c:pt idx="5">
                  <c:v>Veza</c:v>
                </c:pt>
                <c:pt idx="6">
                  <c:v>Altramuz dulce</c:v>
                </c:pt>
                <c:pt idx="7">
                  <c:v>Yeros</c:v>
                </c:pt>
                <c:pt idx="8">
                  <c:v>Total</c:v>
                </c:pt>
              </c:strCache>
            </c:strRef>
          </c:cat>
          <c:val>
            <c:numRef>
              <c:f>Hoja2!$D$24:$D$32</c:f>
              <c:numCache>
                <c:formatCode>General</c:formatCode>
                <c:ptCount val="9"/>
                <c:pt idx="0">
                  <c:v>11583</c:v>
                </c:pt>
                <c:pt idx="1">
                  <c:v>1334</c:v>
                </c:pt>
                <c:pt idx="2">
                  <c:v>4870</c:v>
                </c:pt>
                <c:pt idx="3">
                  <c:v>16158</c:v>
                </c:pt>
                <c:pt idx="4">
                  <c:v>37973</c:v>
                </c:pt>
                <c:pt idx="5">
                  <c:v>17090</c:v>
                </c:pt>
                <c:pt idx="6">
                  <c:v>64</c:v>
                </c:pt>
                <c:pt idx="7">
                  <c:v>8635</c:v>
                </c:pt>
                <c:pt idx="8" formatCode="#,##0">
                  <c:v>97707</c:v>
                </c:pt>
              </c:numCache>
            </c:numRef>
          </c:val>
          <c:extLst>
            <c:ext xmlns:c16="http://schemas.microsoft.com/office/drawing/2014/chart" uri="{C3380CC4-5D6E-409C-BE32-E72D297353CC}">
              <c16:uniqueId val="{00000000-88FD-46A3-B576-A2D4B7C931B4}"/>
            </c:ext>
          </c:extLst>
        </c:ser>
        <c:ser>
          <c:idx val="1"/>
          <c:order val="1"/>
          <c:tx>
            <c:strRef>
              <c:f>Hoja2!$E$23</c:f>
              <c:strCache>
                <c:ptCount val="1"/>
                <c:pt idx="0">
                  <c:v>2024</c:v>
                </c:pt>
              </c:strCache>
            </c:strRef>
          </c:tx>
          <c:spPr>
            <a:solidFill>
              <a:schemeClr val="accent2"/>
            </a:solidFill>
            <a:ln>
              <a:noFill/>
            </a:ln>
            <a:effectLst/>
            <a:sp3d/>
          </c:spPr>
          <c:invertIfNegative val="0"/>
          <c:cat>
            <c:strRef>
              <c:f>Hoja2!$C$24:$C$32</c:f>
              <c:strCache>
                <c:ptCount val="9"/>
                <c:pt idx="0">
                  <c:v>Judias secas</c:v>
                </c:pt>
                <c:pt idx="1">
                  <c:v>Habas secas</c:v>
                </c:pt>
                <c:pt idx="2">
                  <c:v>Lentejas</c:v>
                </c:pt>
                <c:pt idx="3">
                  <c:v>Garbanzos</c:v>
                </c:pt>
                <c:pt idx="4">
                  <c:v>Guisantes secos</c:v>
                </c:pt>
                <c:pt idx="5">
                  <c:v>Veza</c:v>
                </c:pt>
                <c:pt idx="6">
                  <c:v>Altramuz dulce</c:v>
                </c:pt>
                <c:pt idx="7">
                  <c:v>Yeros</c:v>
                </c:pt>
                <c:pt idx="8">
                  <c:v>Total</c:v>
                </c:pt>
              </c:strCache>
            </c:strRef>
          </c:cat>
          <c:val>
            <c:numRef>
              <c:f>Hoja2!$E$24:$E$32</c:f>
              <c:numCache>
                <c:formatCode>General</c:formatCode>
                <c:ptCount val="9"/>
                <c:pt idx="0">
                  <c:v>12175</c:v>
                </c:pt>
                <c:pt idx="1">
                  <c:v>1138</c:v>
                </c:pt>
                <c:pt idx="2">
                  <c:v>11570</c:v>
                </c:pt>
                <c:pt idx="3">
                  <c:v>27062</c:v>
                </c:pt>
                <c:pt idx="4">
                  <c:v>87405</c:v>
                </c:pt>
                <c:pt idx="5">
                  <c:v>45851</c:v>
                </c:pt>
                <c:pt idx="6">
                  <c:v>119</c:v>
                </c:pt>
                <c:pt idx="7">
                  <c:v>20114</c:v>
                </c:pt>
                <c:pt idx="8" formatCode="#,##0">
                  <c:v>205434</c:v>
                </c:pt>
              </c:numCache>
            </c:numRef>
          </c:val>
          <c:extLst>
            <c:ext xmlns:c16="http://schemas.microsoft.com/office/drawing/2014/chart" uri="{C3380CC4-5D6E-409C-BE32-E72D297353CC}">
              <c16:uniqueId val="{00000001-88FD-46A3-B576-A2D4B7C931B4}"/>
            </c:ext>
          </c:extLst>
        </c:ser>
        <c:ser>
          <c:idx val="2"/>
          <c:order val="2"/>
          <c:tx>
            <c:strRef>
              <c:f>Hoja2!$F$23</c:f>
              <c:strCache>
                <c:ptCount val="1"/>
                <c:pt idx="0">
                  <c:v>2025</c:v>
                </c:pt>
              </c:strCache>
            </c:strRef>
          </c:tx>
          <c:spPr>
            <a:solidFill>
              <a:schemeClr val="accent3"/>
            </a:solidFill>
            <a:ln>
              <a:noFill/>
            </a:ln>
            <a:effectLst/>
            <a:sp3d/>
          </c:spPr>
          <c:invertIfNegative val="0"/>
          <c:cat>
            <c:strRef>
              <c:f>Hoja2!$C$24:$C$32</c:f>
              <c:strCache>
                <c:ptCount val="9"/>
                <c:pt idx="0">
                  <c:v>Judias secas</c:v>
                </c:pt>
                <c:pt idx="1">
                  <c:v>Habas secas</c:v>
                </c:pt>
                <c:pt idx="2">
                  <c:v>Lentejas</c:v>
                </c:pt>
                <c:pt idx="3">
                  <c:v>Garbanzos</c:v>
                </c:pt>
                <c:pt idx="4">
                  <c:v>Guisantes secos</c:v>
                </c:pt>
                <c:pt idx="5">
                  <c:v>Veza</c:v>
                </c:pt>
                <c:pt idx="6">
                  <c:v>Altramuz dulce</c:v>
                </c:pt>
                <c:pt idx="7">
                  <c:v>Yeros</c:v>
                </c:pt>
                <c:pt idx="8">
                  <c:v>Total</c:v>
                </c:pt>
              </c:strCache>
            </c:strRef>
          </c:cat>
          <c:val>
            <c:numRef>
              <c:f>Hoja2!$F$24:$F$32</c:f>
              <c:numCache>
                <c:formatCode>General</c:formatCode>
                <c:ptCount val="9"/>
                <c:pt idx="0">
                  <c:v>15753</c:v>
                </c:pt>
                <c:pt idx="1">
                  <c:v>1464</c:v>
                </c:pt>
                <c:pt idx="2">
                  <c:v>13652</c:v>
                </c:pt>
                <c:pt idx="3">
                  <c:v>18620</c:v>
                </c:pt>
                <c:pt idx="4">
                  <c:v>113334</c:v>
                </c:pt>
                <c:pt idx="5">
                  <c:v>51264</c:v>
                </c:pt>
                <c:pt idx="6">
                  <c:v>125</c:v>
                </c:pt>
                <c:pt idx="7">
                  <c:v>20515</c:v>
                </c:pt>
                <c:pt idx="8" formatCode="#,##0">
                  <c:v>234727</c:v>
                </c:pt>
              </c:numCache>
            </c:numRef>
          </c:val>
          <c:extLst>
            <c:ext xmlns:c16="http://schemas.microsoft.com/office/drawing/2014/chart" uri="{C3380CC4-5D6E-409C-BE32-E72D297353CC}">
              <c16:uniqueId val="{00000002-88FD-46A3-B576-A2D4B7C931B4}"/>
            </c:ext>
          </c:extLst>
        </c:ser>
        <c:dLbls>
          <c:showLegendKey val="0"/>
          <c:showVal val="0"/>
          <c:showCatName val="0"/>
          <c:showSerName val="0"/>
          <c:showPercent val="0"/>
          <c:showBubbleSize val="0"/>
        </c:dLbls>
        <c:gapWidth val="150"/>
        <c:shape val="box"/>
        <c:axId val="1691055807"/>
        <c:axId val="1691043327"/>
        <c:axId val="0"/>
      </c:bar3DChart>
      <c:catAx>
        <c:axId val="16910558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91043327"/>
        <c:crosses val="autoZero"/>
        <c:auto val="1"/>
        <c:lblAlgn val="ctr"/>
        <c:lblOffset val="100"/>
        <c:noMultiLvlLbl val="0"/>
      </c:catAx>
      <c:valAx>
        <c:axId val="16910433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a:latin typeface="Arial" panose="020B0604020202020204" pitchFamily="34" charset="0"/>
                    <a:cs typeface="Arial" panose="020B0604020202020204" pitchFamily="34" charset="0"/>
                  </a:rPr>
                  <a:t>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91055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00">
                <a:latin typeface="Arial" panose="020B0604020202020204" pitchFamily="34" charset="0"/>
                <a:cs typeface="Arial" panose="020B0604020202020204" pitchFamily="34" charset="0"/>
              </a:rPr>
              <a:t>Precio</a:t>
            </a:r>
            <a:r>
              <a:rPr lang="es-ES" sz="1000" baseline="0">
                <a:latin typeface="Arial" panose="020B0604020202020204" pitchFamily="34" charset="0"/>
                <a:cs typeface="Arial" panose="020B0604020202020204" pitchFamily="34" charset="0"/>
              </a:rPr>
              <a:t> judía seca Castilla y León</a:t>
            </a:r>
            <a:endParaRPr lang="es-ES" sz="1000">
              <a:latin typeface="Arial" panose="020B0604020202020204" pitchFamily="34" charset="0"/>
              <a:cs typeface="Arial" panose="020B0604020202020204" pitchFamily="34" charset="0"/>
            </a:endParaRPr>
          </a:p>
        </c:rich>
      </c:tx>
      <c:layout>
        <c:manualLayout>
          <c:xMode val="edge"/>
          <c:yMode val="edge"/>
          <c:x val="0.25373935784908608"/>
          <c:y val="4.59770114942528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'cagjcyl (24)'!$U$22</c:f>
              <c:strCache>
                <c:ptCount val="1"/>
                <c:pt idx="0">
                  <c:v>2024-2025</c:v>
                </c:pt>
              </c:strCache>
            </c:strRef>
          </c:tx>
          <c:spPr>
            <a:ln w="28575" cap="rnd">
              <a:solidFill>
                <a:schemeClr val="accent1"/>
              </a:solidFill>
              <a:round/>
            </a:ln>
            <a:effectLst/>
          </c:spPr>
          <c:marker>
            <c:symbol val="none"/>
          </c:marker>
          <c:cat>
            <c:strRef>
              <c:f>'cagjcyl (24)'!$T$23:$T$28</c:f>
              <c:strCache>
                <c:ptCount val="6"/>
                <c:pt idx="0">
                  <c:v>sep</c:v>
                </c:pt>
                <c:pt idx="1">
                  <c:v>oct</c:v>
                </c:pt>
                <c:pt idx="2">
                  <c:v>nov</c:v>
                </c:pt>
                <c:pt idx="3">
                  <c:v>dic</c:v>
                </c:pt>
                <c:pt idx="4">
                  <c:v>ene</c:v>
                </c:pt>
                <c:pt idx="5">
                  <c:v>feb</c:v>
                </c:pt>
              </c:strCache>
            </c:strRef>
          </c:cat>
          <c:val>
            <c:numRef>
              <c:f>'cagjcyl (24)'!$U$23:$U$28</c:f>
              <c:numCache>
                <c:formatCode>General</c:formatCode>
                <c:ptCount val="6"/>
                <c:pt idx="0">
                  <c:v>160</c:v>
                </c:pt>
                <c:pt idx="1">
                  <c:v>133.79</c:v>
                </c:pt>
                <c:pt idx="2">
                  <c:v>133.41</c:v>
                </c:pt>
                <c:pt idx="3">
                  <c:v>132.26</c:v>
                </c:pt>
                <c:pt idx="4">
                  <c:v>166.1</c:v>
                </c:pt>
                <c:pt idx="5">
                  <c:v>160</c:v>
                </c:pt>
              </c:numCache>
            </c:numRef>
          </c:val>
          <c:smooth val="0"/>
          <c:extLst>
            <c:ext xmlns:c16="http://schemas.microsoft.com/office/drawing/2014/chart" uri="{C3380CC4-5D6E-409C-BE32-E72D297353CC}">
              <c16:uniqueId val="{00000000-D203-4DCC-B662-83AD69A13C9C}"/>
            </c:ext>
          </c:extLst>
        </c:ser>
        <c:ser>
          <c:idx val="1"/>
          <c:order val="1"/>
          <c:tx>
            <c:strRef>
              <c:f>'cagjcyl (24)'!$V$22</c:f>
              <c:strCache>
                <c:ptCount val="1"/>
                <c:pt idx="0">
                  <c:v>2025-2026</c:v>
                </c:pt>
              </c:strCache>
            </c:strRef>
          </c:tx>
          <c:spPr>
            <a:ln w="28575" cap="rnd">
              <a:solidFill>
                <a:schemeClr val="accent2"/>
              </a:solidFill>
              <a:round/>
            </a:ln>
            <a:effectLst/>
          </c:spPr>
          <c:marker>
            <c:symbol val="none"/>
          </c:marker>
          <c:cat>
            <c:strRef>
              <c:f>'cagjcyl (24)'!$T$23:$T$28</c:f>
              <c:strCache>
                <c:ptCount val="6"/>
                <c:pt idx="0">
                  <c:v>sep</c:v>
                </c:pt>
                <c:pt idx="1">
                  <c:v>oct</c:v>
                </c:pt>
                <c:pt idx="2">
                  <c:v>nov</c:v>
                </c:pt>
                <c:pt idx="3">
                  <c:v>dic</c:v>
                </c:pt>
                <c:pt idx="4">
                  <c:v>ene</c:v>
                </c:pt>
                <c:pt idx="5">
                  <c:v>feb</c:v>
                </c:pt>
              </c:strCache>
            </c:strRef>
          </c:cat>
          <c:val>
            <c:numRef>
              <c:f>'cagjcyl (24)'!$V$23:$V$28</c:f>
              <c:numCache>
                <c:formatCode>General</c:formatCode>
                <c:ptCount val="6"/>
                <c:pt idx="0">
                  <c:v>111.25</c:v>
                </c:pt>
                <c:pt idx="1">
                  <c:v>141.38</c:v>
                </c:pt>
                <c:pt idx="2">
                  <c:v>142.78</c:v>
                </c:pt>
              </c:numCache>
            </c:numRef>
          </c:val>
          <c:smooth val="0"/>
          <c:extLst>
            <c:ext xmlns:c16="http://schemas.microsoft.com/office/drawing/2014/chart" uri="{C3380CC4-5D6E-409C-BE32-E72D297353CC}">
              <c16:uniqueId val="{00000001-D203-4DCC-B662-83AD69A13C9C}"/>
            </c:ext>
          </c:extLst>
        </c:ser>
        <c:dLbls>
          <c:showLegendKey val="0"/>
          <c:showVal val="0"/>
          <c:showCatName val="0"/>
          <c:showSerName val="0"/>
          <c:showPercent val="0"/>
          <c:showBubbleSize val="0"/>
        </c:dLbls>
        <c:smooth val="0"/>
        <c:axId val="757622927"/>
        <c:axId val="757623887"/>
      </c:lineChart>
      <c:catAx>
        <c:axId val="75762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757623887"/>
        <c:crosses val="autoZero"/>
        <c:auto val="1"/>
        <c:lblAlgn val="ctr"/>
        <c:lblOffset val="100"/>
        <c:noMultiLvlLbl val="0"/>
      </c:catAx>
      <c:valAx>
        <c:axId val="757623887"/>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800">
                    <a:latin typeface="Arial" panose="020B0604020202020204" pitchFamily="34" charset="0"/>
                    <a:cs typeface="Arial" panose="020B0604020202020204" pitchFamily="34" charset="0"/>
                  </a:rPr>
                  <a:t>€/100 Kg</a:t>
                </a:r>
              </a:p>
            </c:rich>
          </c:tx>
          <c:layout>
            <c:manualLayout>
              <c:xMode val="edge"/>
              <c:yMode val="edge"/>
              <c:x val="5.5766793409378963E-2"/>
              <c:y val="0.394037005704865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57622927"/>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00">
                <a:latin typeface="Arial" panose="020B0604020202020204" pitchFamily="34" charset="0"/>
                <a:cs typeface="Arial" panose="020B0604020202020204" pitchFamily="34" charset="0"/>
              </a:rPr>
              <a:t>Precio</a:t>
            </a:r>
            <a:r>
              <a:rPr lang="es-ES" sz="1000" baseline="0">
                <a:latin typeface="Arial" panose="020B0604020202020204" pitchFamily="34" charset="0"/>
                <a:cs typeface="Arial" panose="020B0604020202020204" pitchFamily="34" charset="0"/>
              </a:rPr>
              <a:t> lenteja Catilla y León</a:t>
            </a:r>
            <a:endParaRPr lang="es-ES" sz="1000">
              <a:latin typeface="Arial" panose="020B0604020202020204" pitchFamily="34" charset="0"/>
              <a:cs typeface="Arial" panose="020B0604020202020204" pitchFamily="34" charset="0"/>
            </a:endParaRPr>
          </a:p>
        </c:rich>
      </c:tx>
      <c:layout>
        <c:manualLayout>
          <c:xMode val="edge"/>
          <c:yMode val="edge"/>
          <c:x val="0.27632906573701188"/>
          <c:y val="3.75587283954650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'precio lenteja_24-25'!$K$6</c:f>
              <c:strCache>
                <c:ptCount val="1"/>
                <c:pt idx="0">
                  <c:v>2024</c:v>
                </c:pt>
              </c:strCache>
            </c:strRef>
          </c:tx>
          <c:spPr>
            <a:ln w="28575" cap="rnd">
              <a:solidFill>
                <a:schemeClr val="accent1"/>
              </a:solidFill>
              <a:round/>
            </a:ln>
            <a:effectLst/>
          </c:spPr>
          <c:marker>
            <c:symbol val="none"/>
          </c:marker>
          <c:cat>
            <c:strRef>
              <c:f>'precio lenteja_24-25'!$J$7:$J$11</c:f>
              <c:strCache>
                <c:ptCount val="5"/>
                <c:pt idx="0">
                  <c:v>jun</c:v>
                </c:pt>
                <c:pt idx="1">
                  <c:v>jul</c:v>
                </c:pt>
                <c:pt idx="2">
                  <c:v>agos</c:v>
                </c:pt>
                <c:pt idx="3">
                  <c:v>sep</c:v>
                </c:pt>
                <c:pt idx="4">
                  <c:v>oct</c:v>
                </c:pt>
              </c:strCache>
            </c:strRef>
          </c:cat>
          <c:val>
            <c:numRef>
              <c:f>'precio lenteja_24-25'!$K$7:$K$11</c:f>
              <c:numCache>
                <c:formatCode>General</c:formatCode>
                <c:ptCount val="5"/>
                <c:pt idx="0">
                  <c:v>70</c:v>
                </c:pt>
                <c:pt idx="1">
                  <c:v>79.069999999999993</c:v>
                </c:pt>
                <c:pt idx="2">
                  <c:v>200</c:v>
                </c:pt>
                <c:pt idx="3">
                  <c:v>151.62</c:v>
                </c:pt>
                <c:pt idx="4">
                  <c:v>169.54</c:v>
                </c:pt>
              </c:numCache>
            </c:numRef>
          </c:val>
          <c:smooth val="0"/>
          <c:extLst>
            <c:ext xmlns:c16="http://schemas.microsoft.com/office/drawing/2014/chart" uri="{C3380CC4-5D6E-409C-BE32-E72D297353CC}">
              <c16:uniqueId val="{00000000-AADA-42F9-9DC3-1EBD6806DA37}"/>
            </c:ext>
          </c:extLst>
        </c:ser>
        <c:ser>
          <c:idx val="1"/>
          <c:order val="1"/>
          <c:tx>
            <c:strRef>
              <c:f>'precio lenteja_24-25'!$L$6</c:f>
              <c:strCache>
                <c:ptCount val="1"/>
                <c:pt idx="0">
                  <c:v>2025</c:v>
                </c:pt>
              </c:strCache>
            </c:strRef>
          </c:tx>
          <c:spPr>
            <a:ln w="28575" cap="rnd">
              <a:solidFill>
                <a:schemeClr val="accent2"/>
              </a:solidFill>
              <a:round/>
            </a:ln>
            <a:effectLst/>
          </c:spPr>
          <c:marker>
            <c:symbol val="none"/>
          </c:marker>
          <c:cat>
            <c:strRef>
              <c:f>'precio lenteja_24-25'!$J$7:$J$11</c:f>
              <c:strCache>
                <c:ptCount val="5"/>
                <c:pt idx="0">
                  <c:v>jun</c:v>
                </c:pt>
                <c:pt idx="1">
                  <c:v>jul</c:v>
                </c:pt>
                <c:pt idx="2">
                  <c:v>agos</c:v>
                </c:pt>
                <c:pt idx="3">
                  <c:v>sep</c:v>
                </c:pt>
                <c:pt idx="4">
                  <c:v>oct</c:v>
                </c:pt>
              </c:strCache>
            </c:strRef>
          </c:cat>
          <c:val>
            <c:numRef>
              <c:f>'precio lenteja_24-25'!$L$7:$L$11</c:f>
              <c:numCache>
                <c:formatCode>General</c:formatCode>
                <c:ptCount val="5"/>
                <c:pt idx="0">
                  <c:v>71</c:v>
                </c:pt>
                <c:pt idx="1">
                  <c:v>75.05</c:v>
                </c:pt>
                <c:pt idx="2">
                  <c:v>100.22</c:v>
                </c:pt>
                <c:pt idx="3">
                  <c:v>92.65</c:v>
                </c:pt>
                <c:pt idx="4">
                  <c:v>91.81</c:v>
                </c:pt>
              </c:numCache>
            </c:numRef>
          </c:val>
          <c:smooth val="0"/>
          <c:extLst>
            <c:ext xmlns:c16="http://schemas.microsoft.com/office/drawing/2014/chart" uri="{C3380CC4-5D6E-409C-BE32-E72D297353CC}">
              <c16:uniqueId val="{00000001-AADA-42F9-9DC3-1EBD6806DA37}"/>
            </c:ext>
          </c:extLst>
        </c:ser>
        <c:dLbls>
          <c:showLegendKey val="0"/>
          <c:showVal val="0"/>
          <c:showCatName val="0"/>
          <c:showSerName val="0"/>
          <c:showPercent val="0"/>
          <c:showBubbleSize val="0"/>
        </c:dLbls>
        <c:smooth val="0"/>
        <c:axId val="252844928"/>
        <c:axId val="252833888"/>
      </c:lineChart>
      <c:catAx>
        <c:axId val="25284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52833888"/>
        <c:crosses val="autoZero"/>
        <c:auto val="1"/>
        <c:lblAlgn val="ctr"/>
        <c:lblOffset val="100"/>
        <c:noMultiLvlLbl val="0"/>
      </c:catAx>
      <c:valAx>
        <c:axId val="252833888"/>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800">
                    <a:latin typeface="Arial" panose="020B0604020202020204" pitchFamily="34" charset="0"/>
                    <a:cs typeface="Arial" panose="020B0604020202020204" pitchFamily="34" charset="0"/>
                  </a:rPr>
                  <a:t>€/100 Kg</a:t>
                </a:r>
              </a:p>
            </c:rich>
          </c:tx>
          <c:layout>
            <c:manualLayout>
              <c:xMode val="edge"/>
              <c:yMode val="edge"/>
              <c:x val="3.8231899712896901E-2"/>
              <c:y val="0.3752252752638284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52844928"/>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ES" sz="1000">
                <a:latin typeface="Arial" panose="020B0604020202020204" pitchFamily="34" charset="0"/>
                <a:cs typeface="Arial" panose="020B0604020202020204" pitchFamily="34" charset="0"/>
              </a:rPr>
              <a:t>Precio trigo blando Castilla y León</a:t>
            </a:r>
          </a:p>
        </c:rich>
      </c:tx>
      <c:layout>
        <c:manualLayout>
          <c:xMode val="edge"/>
          <c:yMode val="edge"/>
          <c:x val="0.21271635566102182"/>
          <c:y val="4.3716047122016724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Hoja1!$T$56</c:f>
              <c:strCache>
                <c:ptCount val="1"/>
                <c:pt idx="0">
                  <c:v>2024</c:v>
                </c:pt>
              </c:strCache>
            </c:strRef>
          </c:tx>
          <c:spPr>
            <a:ln w="22225" cap="rnd" cmpd="sng" algn="ctr">
              <a:solidFill>
                <a:schemeClr val="accent1"/>
              </a:solidFill>
              <a:round/>
            </a:ln>
            <a:effectLst/>
          </c:spPr>
          <c:marker>
            <c:symbol val="none"/>
          </c:marker>
          <c:cat>
            <c:strRef>
              <c:f>Hoja1!$S$57:$S$66</c:f>
              <c:strCache>
                <c:ptCount val="10"/>
                <c:pt idx="0">
                  <c:v>Ene</c:v>
                </c:pt>
                <c:pt idx="1">
                  <c:v>Feb</c:v>
                </c:pt>
                <c:pt idx="2">
                  <c:v>Mar</c:v>
                </c:pt>
                <c:pt idx="3">
                  <c:v>Abr</c:v>
                </c:pt>
                <c:pt idx="4">
                  <c:v>Jul</c:v>
                </c:pt>
                <c:pt idx="5">
                  <c:v>Ago</c:v>
                </c:pt>
                <c:pt idx="6">
                  <c:v>Sep</c:v>
                </c:pt>
                <c:pt idx="7">
                  <c:v>Oc</c:v>
                </c:pt>
                <c:pt idx="8">
                  <c:v>Nov</c:v>
                </c:pt>
                <c:pt idx="9">
                  <c:v>Dic</c:v>
                </c:pt>
              </c:strCache>
            </c:strRef>
          </c:cat>
          <c:val>
            <c:numRef>
              <c:f>Hoja1!$T$57:$T$66</c:f>
              <c:numCache>
                <c:formatCode>General</c:formatCode>
                <c:ptCount val="10"/>
                <c:pt idx="0">
                  <c:v>22.69</c:v>
                </c:pt>
                <c:pt idx="1">
                  <c:v>21.2</c:v>
                </c:pt>
                <c:pt idx="2">
                  <c:v>20.62</c:v>
                </c:pt>
                <c:pt idx="3">
                  <c:v>20.66</c:v>
                </c:pt>
                <c:pt idx="4">
                  <c:v>20.23</c:v>
                </c:pt>
                <c:pt idx="5">
                  <c:v>20.420000000000002</c:v>
                </c:pt>
                <c:pt idx="6">
                  <c:v>20.47</c:v>
                </c:pt>
                <c:pt idx="7">
                  <c:v>21.55</c:v>
                </c:pt>
                <c:pt idx="8">
                  <c:v>21.25</c:v>
                </c:pt>
                <c:pt idx="9">
                  <c:v>21.46</c:v>
                </c:pt>
              </c:numCache>
            </c:numRef>
          </c:val>
          <c:smooth val="0"/>
          <c:extLst>
            <c:ext xmlns:c16="http://schemas.microsoft.com/office/drawing/2014/chart" uri="{C3380CC4-5D6E-409C-BE32-E72D297353CC}">
              <c16:uniqueId val="{00000000-0938-4E60-86B7-F18E8D8EE6A7}"/>
            </c:ext>
          </c:extLst>
        </c:ser>
        <c:ser>
          <c:idx val="1"/>
          <c:order val="1"/>
          <c:tx>
            <c:strRef>
              <c:f>Hoja1!$U$56</c:f>
              <c:strCache>
                <c:ptCount val="1"/>
                <c:pt idx="0">
                  <c:v>2025</c:v>
                </c:pt>
              </c:strCache>
            </c:strRef>
          </c:tx>
          <c:spPr>
            <a:ln w="22225" cap="rnd" cmpd="sng" algn="ctr">
              <a:solidFill>
                <a:schemeClr val="accent2"/>
              </a:solidFill>
              <a:round/>
            </a:ln>
            <a:effectLst/>
          </c:spPr>
          <c:marker>
            <c:symbol val="none"/>
          </c:marker>
          <c:cat>
            <c:strRef>
              <c:f>Hoja1!$S$57:$S$66</c:f>
              <c:strCache>
                <c:ptCount val="10"/>
                <c:pt idx="0">
                  <c:v>Ene</c:v>
                </c:pt>
                <c:pt idx="1">
                  <c:v>Feb</c:v>
                </c:pt>
                <c:pt idx="2">
                  <c:v>Mar</c:v>
                </c:pt>
                <c:pt idx="3">
                  <c:v>Abr</c:v>
                </c:pt>
                <c:pt idx="4">
                  <c:v>Jul</c:v>
                </c:pt>
                <c:pt idx="5">
                  <c:v>Ago</c:v>
                </c:pt>
                <c:pt idx="6">
                  <c:v>Sep</c:v>
                </c:pt>
                <c:pt idx="7">
                  <c:v>Oc</c:v>
                </c:pt>
                <c:pt idx="8">
                  <c:v>Nov</c:v>
                </c:pt>
                <c:pt idx="9">
                  <c:v>Dic</c:v>
                </c:pt>
              </c:strCache>
            </c:strRef>
          </c:cat>
          <c:val>
            <c:numRef>
              <c:f>Hoja1!$U$57:$U$66</c:f>
              <c:numCache>
                <c:formatCode>General</c:formatCode>
                <c:ptCount val="10"/>
                <c:pt idx="0">
                  <c:v>22.6</c:v>
                </c:pt>
                <c:pt idx="1">
                  <c:v>22.64</c:v>
                </c:pt>
                <c:pt idx="2">
                  <c:v>21.81</c:v>
                </c:pt>
                <c:pt idx="3">
                  <c:v>20.74</c:v>
                </c:pt>
                <c:pt idx="4">
                  <c:v>19.45</c:v>
                </c:pt>
                <c:pt idx="5">
                  <c:v>19.440000000000001</c:v>
                </c:pt>
                <c:pt idx="6">
                  <c:v>19.239999999999998</c:v>
                </c:pt>
                <c:pt idx="7">
                  <c:v>19.23</c:v>
                </c:pt>
                <c:pt idx="8">
                  <c:v>19.5</c:v>
                </c:pt>
                <c:pt idx="9">
                  <c:v>19.13</c:v>
                </c:pt>
              </c:numCache>
            </c:numRef>
          </c:val>
          <c:smooth val="0"/>
          <c:extLst>
            <c:ext xmlns:c16="http://schemas.microsoft.com/office/drawing/2014/chart" uri="{C3380CC4-5D6E-409C-BE32-E72D297353CC}">
              <c16:uniqueId val="{00000001-0938-4E60-86B7-F18E8D8EE6A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184992975"/>
        <c:axId val="1184990575"/>
      </c:lineChart>
      <c:catAx>
        <c:axId val="1184992975"/>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184990575"/>
        <c:crosses val="autoZero"/>
        <c:auto val="1"/>
        <c:lblAlgn val="ctr"/>
        <c:lblOffset val="100"/>
        <c:noMultiLvlLbl val="0"/>
      </c:catAx>
      <c:valAx>
        <c:axId val="1184990575"/>
        <c:scaling>
          <c:orientation val="minMax"/>
          <c:max val="25"/>
          <c:min val="1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S"/>
                  <a:t>€/100 Kg</a:t>
                </a:r>
              </a:p>
            </c:rich>
          </c:tx>
          <c:layout>
            <c:manualLayout>
              <c:xMode val="edge"/>
              <c:yMode val="edge"/>
              <c:x val="3.4188034188034191E-2"/>
              <c:y val="0.4205561617259158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184992975"/>
        <c:crosses val="autoZero"/>
        <c:crossBetween val="between"/>
        <c:majorUnit val="5"/>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000">
                <a:latin typeface="Arial" panose="020B0604020202020204" pitchFamily="34" charset="0"/>
                <a:cs typeface="Arial" panose="020B0604020202020204" pitchFamily="34" charset="0"/>
              </a:rPr>
              <a:t>Precio garbanzo Castilla y León</a:t>
            </a:r>
          </a:p>
        </c:rich>
      </c:tx>
      <c:layout>
        <c:manualLayout>
          <c:xMode val="edge"/>
          <c:yMode val="edge"/>
          <c:x val="0.18598155467720684"/>
          <c:y val="4.577968526466380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lineChart>
        <c:grouping val="standard"/>
        <c:varyColors val="0"/>
        <c:ser>
          <c:idx val="0"/>
          <c:order val="0"/>
          <c:tx>
            <c:strRef>
              <c:f>'precio_garbanzo24-25'!$K$7</c:f>
              <c:strCache>
                <c:ptCount val="1"/>
                <c:pt idx="0">
                  <c:v>2024</c:v>
                </c:pt>
              </c:strCache>
            </c:strRef>
          </c:tx>
          <c:spPr>
            <a:ln w="28575" cap="rnd">
              <a:solidFill>
                <a:schemeClr val="accent1"/>
              </a:solidFill>
              <a:round/>
            </a:ln>
            <a:effectLst/>
          </c:spPr>
          <c:marker>
            <c:symbol val="none"/>
          </c:marker>
          <c:cat>
            <c:strRef>
              <c:f>'precio_garbanzo24-25'!$J$8:$J$13</c:f>
              <c:strCache>
                <c:ptCount val="6"/>
                <c:pt idx="0">
                  <c:v>jul</c:v>
                </c:pt>
                <c:pt idx="1">
                  <c:v>agos</c:v>
                </c:pt>
                <c:pt idx="2">
                  <c:v>sep</c:v>
                </c:pt>
                <c:pt idx="3">
                  <c:v>oct</c:v>
                </c:pt>
                <c:pt idx="4">
                  <c:v>nov</c:v>
                </c:pt>
                <c:pt idx="5">
                  <c:v>dic</c:v>
                </c:pt>
              </c:strCache>
            </c:strRef>
          </c:cat>
          <c:val>
            <c:numRef>
              <c:f>'precio_garbanzo24-25'!$K$8:$K$13</c:f>
              <c:numCache>
                <c:formatCode>General</c:formatCode>
                <c:ptCount val="6"/>
                <c:pt idx="0">
                  <c:v>56.54</c:v>
                </c:pt>
                <c:pt idx="1">
                  <c:v>55.33</c:v>
                </c:pt>
                <c:pt idx="2">
                  <c:v>56.28</c:v>
                </c:pt>
                <c:pt idx="3">
                  <c:v>53.6</c:v>
                </c:pt>
                <c:pt idx="4">
                  <c:v>54.41</c:v>
                </c:pt>
                <c:pt idx="5">
                  <c:v>55</c:v>
                </c:pt>
              </c:numCache>
            </c:numRef>
          </c:val>
          <c:smooth val="0"/>
          <c:extLst>
            <c:ext xmlns:c16="http://schemas.microsoft.com/office/drawing/2014/chart" uri="{C3380CC4-5D6E-409C-BE32-E72D297353CC}">
              <c16:uniqueId val="{00000000-7253-4523-980C-068FCF4D5ED5}"/>
            </c:ext>
          </c:extLst>
        </c:ser>
        <c:ser>
          <c:idx val="1"/>
          <c:order val="1"/>
          <c:tx>
            <c:strRef>
              <c:f>'precio_garbanzo24-25'!$L$7</c:f>
              <c:strCache>
                <c:ptCount val="1"/>
                <c:pt idx="0">
                  <c:v>2025</c:v>
                </c:pt>
              </c:strCache>
            </c:strRef>
          </c:tx>
          <c:spPr>
            <a:ln w="28575" cap="rnd">
              <a:solidFill>
                <a:schemeClr val="accent2"/>
              </a:solidFill>
              <a:round/>
            </a:ln>
            <a:effectLst/>
          </c:spPr>
          <c:marker>
            <c:symbol val="none"/>
          </c:marker>
          <c:cat>
            <c:strRef>
              <c:f>'precio_garbanzo24-25'!$J$8:$J$13</c:f>
              <c:strCache>
                <c:ptCount val="6"/>
                <c:pt idx="0">
                  <c:v>jul</c:v>
                </c:pt>
                <c:pt idx="1">
                  <c:v>agos</c:v>
                </c:pt>
                <c:pt idx="2">
                  <c:v>sep</c:v>
                </c:pt>
                <c:pt idx="3">
                  <c:v>oct</c:v>
                </c:pt>
                <c:pt idx="4">
                  <c:v>nov</c:v>
                </c:pt>
                <c:pt idx="5">
                  <c:v>dic</c:v>
                </c:pt>
              </c:strCache>
            </c:strRef>
          </c:cat>
          <c:val>
            <c:numRef>
              <c:f>'precio_garbanzo24-25'!$L$8:$L$13</c:f>
              <c:numCache>
                <c:formatCode>General</c:formatCode>
                <c:ptCount val="6"/>
                <c:pt idx="0">
                  <c:v>58.83</c:v>
                </c:pt>
                <c:pt idx="1">
                  <c:v>61.03</c:v>
                </c:pt>
                <c:pt idx="2">
                  <c:v>64.27</c:v>
                </c:pt>
                <c:pt idx="3">
                  <c:v>63.44</c:v>
                </c:pt>
              </c:numCache>
            </c:numRef>
          </c:val>
          <c:smooth val="0"/>
          <c:extLst>
            <c:ext xmlns:c16="http://schemas.microsoft.com/office/drawing/2014/chart" uri="{C3380CC4-5D6E-409C-BE32-E72D297353CC}">
              <c16:uniqueId val="{00000001-7253-4523-980C-068FCF4D5ED5}"/>
            </c:ext>
          </c:extLst>
        </c:ser>
        <c:dLbls>
          <c:showLegendKey val="0"/>
          <c:showVal val="0"/>
          <c:showCatName val="0"/>
          <c:showSerName val="0"/>
          <c:showPercent val="0"/>
          <c:showBubbleSize val="0"/>
        </c:dLbls>
        <c:smooth val="0"/>
        <c:axId val="42463"/>
        <c:axId val="31903"/>
      </c:lineChart>
      <c:catAx>
        <c:axId val="42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903"/>
        <c:crosses val="autoZero"/>
        <c:auto val="1"/>
        <c:lblAlgn val="ctr"/>
        <c:lblOffset val="100"/>
        <c:noMultiLvlLbl val="0"/>
      </c:catAx>
      <c:valAx>
        <c:axId val="31903"/>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800">
                    <a:latin typeface="Arial" panose="020B0604020202020204" pitchFamily="34" charset="0"/>
                    <a:cs typeface="Arial" panose="020B0604020202020204" pitchFamily="34" charset="0"/>
                  </a:rPr>
                  <a:t>€/100 Kg</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42463"/>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00">
                <a:latin typeface="Arial" panose="020B0604020202020204" pitchFamily="34" charset="0"/>
                <a:cs typeface="Arial" panose="020B0604020202020204" pitchFamily="34" charset="0"/>
              </a:rPr>
              <a:t>Precio</a:t>
            </a:r>
            <a:r>
              <a:rPr lang="es-ES" sz="1000" baseline="0">
                <a:latin typeface="Arial" panose="020B0604020202020204" pitchFamily="34" charset="0"/>
                <a:cs typeface="Arial" panose="020B0604020202020204" pitchFamily="34" charset="0"/>
              </a:rPr>
              <a:t> veza grano</a:t>
            </a:r>
            <a:endParaRPr lang="es-ES" sz="1000">
              <a:latin typeface="Arial" panose="020B0604020202020204" pitchFamily="34" charset="0"/>
              <a:cs typeface="Arial" panose="020B0604020202020204" pitchFamily="34" charset="0"/>
            </a:endParaRPr>
          </a:p>
        </c:rich>
      </c:tx>
      <c:layout>
        <c:manualLayout>
          <c:xMode val="edge"/>
          <c:yMode val="edge"/>
          <c:x val="0.35796363636363637"/>
          <c:y val="3.34728033472803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'cagjcyl (27)'!$I$8</c:f>
              <c:strCache>
                <c:ptCount val="1"/>
                <c:pt idx="0">
                  <c:v>2024</c:v>
                </c:pt>
              </c:strCache>
            </c:strRef>
          </c:tx>
          <c:spPr>
            <a:ln w="28575" cap="rnd">
              <a:solidFill>
                <a:schemeClr val="accent1"/>
              </a:solidFill>
              <a:round/>
            </a:ln>
            <a:effectLst/>
          </c:spPr>
          <c:marker>
            <c:symbol val="none"/>
          </c:marker>
          <c:cat>
            <c:strRef>
              <c:f>'cagjcyl (27)'!$H$9:$H$13</c:f>
              <c:strCache>
                <c:ptCount val="5"/>
                <c:pt idx="0">
                  <c:v>jul</c:v>
                </c:pt>
                <c:pt idx="1">
                  <c:v>agos</c:v>
                </c:pt>
                <c:pt idx="2">
                  <c:v>sep</c:v>
                </c:pt>
                <c:pt idx="3">
                  <c:v>oct</c:v>
                </c:pt>
                <c:pt idx="4">
                  <c:v>nov</c:v>
                </c:pt>
              </c:strCache>
            </c:strRef>
          </c:cat>
          <c:val>
            <c:numRef>
              <c:f>'cagjcyl (27)'!$I$9:$I$13</c:f>
              <c:numCache>
                <c:formatCode>General</c:formatCode>
                <c:ptCount val="5"/>
                <c:pt idx="0">
                  <c:v>55.49</c:v>
                </c:pt>
                <c:pt idx="1">
                  <c:v>52.07</c:v>
                </c:pt>
                <c:pt idx="2">
                  <c:v>51.48</c:v>
                </c:pt>
                <c:pt idx="3">
                  <c:v>50.16</c:v>
                </c:pt>
                <c:pt idx="4">
                  <c:v>48.5</c:v>
                </c:pt>
              </c:numCache>
            </c:numRef>
          </c:val>
          <c:smooth val="0"/>
          <c:extLst>
            <c:ext xmlns:c16="http://schemas.microsoft.com/office/drawing/2014/chart" uri="{C3380CC4-5D6E-409C-BE32-E72D297353CC}">
              <c16:uniqueId val="{00000000-264C-48B1-A16C-873057243E8C}"/>
            </c:ext>
          </c:extLst>
        </c:ser>
        <c:ser>
          <c:idx val="1"/>
          <c:order val="1"/>
          <c:tx>
            <c:strRef>
              <c:f>'cagjcyl (27)'!$J$8</c:f>
              <c:strCache>
                <c:ptCount val="1"/>
                <c:pt idx="0">
                  <c:v>2025</c:v>
                </c:pt>
              </c:strCache>
            </c:strRef>
          </c:tx>
          <c:spPr>
            <a:ln w="28575" cap="rnd">
              <a:solidFill>
                <a:schemeClr val="accent2"/>
              </a:solidFill>
              <a:round/>
            </a:ln>
            <a:effectLst/>
          </c:spPr>
          <c:marker>
            <c:symbol val="none"/>
          </c:marker>
          <c:cat>
            <c:strRef>
              <c:f>'cagjcyl (27)'!$H$9:$H$13</c:f>
              <c:strCache>
                <c:ptCount val="5"/>
                <c:pt idx="0">
                  <c:v>jul</c:v>
                </c:pt>
                <c:pt idx="1">
                  <c:v>agos</c:v>
                </c:pt>
                <c:pt idx="2">
                  <c:v>sep</c:v>
                </c:pt>
                <c:pt idx="3">
                  <c:v>oct</c:v>
                </c:pt>
                <c:pt idx="4">
                  <c:v>nov</c:v>
                </c:pt>
              </c:strCache>
            </c:strRef>
          </c:cat>
          <c:val>
            <c:numRef>
              <c:f>'cagjcyl (27)'!$J$9:$J$13</c:f>
              <c:numCache>
                <c:formatCode>General</c:formatCode>
                <c:ptCount val="5"/>
                <c:pt idx="0">
                  <c:v>36.9</c:v>
                </c:pt>
                <c:pt idx="1">
                  <c:v>35.93</c:v>
                </c:pt>
                <c:pt idx="2">
                  <c:v>36.340000000000003</c:v>
                </c:pt>
                <c:pt idx="3">
                  <c:v>38.68</c:v>
                </c:pt>
              </c:numCache>
            </c:numRef>
          </c:val>
          <c:smooth val="0"/>
          <c:extLst>
            <c:ext xmlns:c16="http://schemas.microsoft.com/office/drawing/2014/chart" uri="{C3380CC4-5D6E-409C-BE32-E72D297353CC}">
              <c16:uniqueId val="{00000001-264C-48B1-A16C-873057243E8C}"/>
            </c:ext>
          </c:extLst>
        </c:ser>
        <c:dLbls>
          <c:showLegendKey val="0"/>
          <c:showVal val="0"/>
          <c:showCatName val="0"/>
          <c:showSerName val="0"/>
          <c:showPercent val="0"/>
          <c:showBubbleSize val="0"/>
        </c:dLbls>
        <c:smooth val="0"/>
        <c:axId val="1432115632"/>
        <c:axId val="1432106992"/>
      </c:lineChart>
      <c:catAx>
        <c:axId val="143211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32106992"/>
        <c:crosses val="autoZero"/>
        <c:auto val="1"/>
        <c:lblAlgn val="ctr"/>
        <c:lblOffset val="100"/>
        <c:noMultiLvlLbl val="0"/>
      </c:catAx>
      <c:valAx>
        <c:axId val="143210699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800">
                    <a:latin typeface="Arial" panose="020B0604020202020204" pitchFamily="34" charset="0"/>
                    <a:cs typeface="Arial" panose="020B0604020202020204" pitchFamily="34" charset="0"/>
                  </a:rPr>
                  <a:t>€/100 Kg</a:t>
                </a:r>
              </a:p>
            </c:rich>
          </c:tx>
          <c:layout>
            <c:manualLayout>
              <c:xMode val="edge"/>
              <c:yMode val="edge"/>
              <c:x val="3.1331592689295036E-2"/>
              <c:y val="0.381827315827318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3211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a:latin typeface="Arial" panose="020B0604020202020204" pitchFamily="34" charset="0"/>
                <a:cs typeface="Arial" panose="020B0604020202020204" pitchFamily="34" charset="0"/>
              </a:rPr>
              <a:t>Precio</a:t>
            </a:r>
            <a:r>
              <a:rPr lang="es-ES" sz="1100" baseline="0">
                <a:latin typeface="Arial" panose="020B0604020202020204" pitchFamily="34" charset="0"/>
                <a:cs typeface="Arial" panose="020B0604020202020204" pitchFamily="34" charset="0"/>
              </a:rPr>
              <a:t> alfalfa Castilla y León</a:t>
            </a:r>
            <a:endParaRPr lang="es-ES"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'alfalfa heno_precio24-25'!$G$7</c:f>
              <c:strCache>
                <c:ptCount val="1"/>
                <c:pt idx="0">
                  <c:v>2024</c:v>
                </c:pt>
              </c:strCache>
            </c:strRef>
          </c:tx>
          <c:spPr>
            <a:ln w="28575" cap="rnd">
              <a:solidFill>
                <a:schemeClr val="accent1"/>
              </a:solidFill>
              <a:round/>
            </a:ln>
            <a:effectLst/>
          </c:spPr>
          <c:marker>
            <c:symbol val="none"/>
          </c:marker>
          <c:cat>
            <c:strRef>
              <c:f>'alfalfa heno_precio24-25'!$F$8:$F$15</c:f>
              <c:strCache>
                <c:ptCount val="8"/>
                <c:pt idx="0">
                  <c:v>may</c:v>
                </c:pt>
                <c:pt idx="1">
                  <c:v>jun</c:v>
                </c:pt>
                <c:pt idx="2">
                  <c:v>jul</c:v>
                </c:pt>
                <c:pt idx="3">
                  <c:v>ago</c:v>
                </c:pt>
                <c:pt idx="4">
                  <c:v>sep</c:v>
                </c:pt>
                <c:pt idx="5">
                  <c:v>oct</c:v>
                </c:pt>
                <c:pt idx="6">
                  <c:v>nov</c:v>
                </c:pt>
                <c:pt idx="7">
                  <c:v>dic</c:v>
                </c:pt>
              </c:strCache>
            </c:strRef>
          </c:cat>
          <c:val>
            <c:numRef>
              <c:f>'alfalfa heno_precio24-25'!$G$8:$G$15</c:f>
              <c:numCache>
                <c:formatCode>General</c:formatCode>
                <c:ptCount val="8"/>
                <c:pt idx="0">
                  <c:v>20.11</c:v>
                </c:pt>
                <c:pt idx="1">
                  <c:v>15.19</c:v>
                </c:pt>
                <c:pt idx="2">
                  <c:v>15.29</c:v>
                </c:pt>
                <c:pt idx="3">
                  <c:v>15.89</c:v>
                </c:pt>
                <c:pt idx="4">
                  <c:v>16.79</c:v>
                </c:pt>
                <c:pt idx="5">
                  <c:v>17.2</c:v>
                </c:pt>
                <c:pt idx="6">
                  <c:v>17.5</c:v>
                </c:pt>
                <c:pt idx="7">
                  <c:v>19.09</c:v>
                </c:pt>
              </c:numCache>
            </c:numRef>
          </c:val>
          <c:smooth val="0"/>
          <c:extLst>
            <c:ext xmlns:c16="http://schemas.microsoft.com/office/drawing/2014/chart" uri="{C3380CC4-5D6E-409C-BE32-E72D297353CC}">
              <c16:uniqueId val="{00000000-B402-4E9B-B0A0-26ADE9DD7E15}"/>
            </c:ext>
          </c:extLst>
        </c:ser>
        <c:ser>
          <c:idx val="1"/>
          <c:order val="1"/>
          <c:tx>
            <c:strRef>
              <c:f>'alfalfa heno_precio24-25'!$H$7</c:f>
              <c:strCache>
                <c:ptCount val="1"/>
                <c:pt idx="0">
                  <c:v>2025</c:v>
                </c:pt>
              </c:strCache>
            </c:strRef>
          </c:tx>
          <c:spPr>
            <a:ln w="28575" cap="rnd">
              <a:solidFill>
                <a:schemeClr val="accent2"/>
              </a:solidFill>
              <a:round/>
            </a:ln>
            <a:effectLst/>
          </c:spPr>
          <c:marker>
            <c:symbol val="none"/>
          </c:marker>
          <c:cat>
            <c:strRef>
              <c:f>'alfalfa heno_precio24-25'!$F$8:$F$15</c:f>
              <c:strCache>
                <c:ptCount val="8"/>
                <c:pt idx="0">
                  <c:v>may</c:v>
                </c:pt>
                <c:pt idx="1">
                  <c:v>jun</c:v>
                </c:pt>
                <c:pt idx="2">
                  <c:v>jul</c:v>
                </c:pt>
                <c:pt idx="3">
                  <c:v>ago</c:v>
                </c:pt>
                <c:pt idx="4">
                  <c:v>sep</c:v>
                </c:pt>
                <c:pt idx="5">
                  <c:v>oct</c:v>
                </c:pt>
                <c:pt idx="6">
                  <c:v>nov</c:v>
                </c:pt>
                <c:pt idx="7">
                  <c:v>dic</c:v>
                </c:pt>
              </c:strCache>
            </c:strRef>
          </c:cat>
          <c:val>
            <c:numRef>
              <c:f>'alfalfa heno_precio24-25'!$H$8:$H$15</c:f>
              <c:numCache>
                <c:formatCode>General</c:formatCode>
                <c:ptCount val="8"/>
                <c:pt idx="0">
                  <c:v>18.2</c:v>
                </c:pt>
                <c:pt idx="1">
                  <c:v>16.91</c:v>
                </c:pt>
                <c:pt idx="2">
                  <c:v>17.010000000000002</c:v>
                </c:pt>
                <c:pt idx="3">
                  <c:v>17.2</c:v>
                </c:pt>
                <c:pt idx="4">
                  <c:v>17.59</c:v>
                </c:pt>
                <c:pt idx="5">
                  <c:v>18.13</c:v>
                </c:pt>
                <c:pt idx="6">
                  <c:v>18.850000000000001</c:v>
                </c:pt>
              </c:numCache>
            </c:numRef>
          </c:val>
          <c:smooth val="0"/>
          <c:extLst>
            <c:ext xmlns:c16="http://schemas.microsoft.com/office/drawing/2014/chart" uri="{C3380CC4-5D6E-409C-BE32-E72D297353CC}">
              <c16:uniqueId val="{00000001-B402-4E9B-B0A0-26ADE9DD7E15}"/>
            </c:ext>
          </c:extLst>
        </c:ser>
        <c:dLbls>
          <c:showLegendKey val="0"/>
          <c:showVal val="0"/>
          <c:showCatName val="0"/>
          <c:showSerName val="0"/>
          <c:showPercent val="0"/>
          <c:showBubbleSize val="0"/>
        </c:dLbls>
        <c:smooth val="0"/>
        <c:axId val="1117592512"/>
        <c:axId val="1117593472"/>
      </c:lineChart>
      <c:catAx>
        <c:axId val="111759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117593472"/>
        <c:crosses val="autoZero"/>
        <c:auto val="1"/>
        <c:lblAlgn val="ctr"/>
        <c:lblOffset val="100"/>
        <c:noMultiLvlLbl val="0"/>
      </c:catAx>
      <c:valAx>
        <c:axId val="1117593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€/100 Kg</a:t>
                </a:r>
              </a:p>
            </c:rich>
          </c:tx>
          <c:layout>
            <c:manualLayout>
              <c:xMode val="edge"/>
              <c:yMode val="edge"/>
              <c:x val="3.2032032032032032E-2"/>
              <c:y val="0.331007652999161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111759251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a:t>Precio</a:t>
            </a:r>
            <a:r>
              <a:rPr lang="es-ES" sz="1100" baseline="0"/>
              <a:t> veza forraje Castilla y León</a:t>
            </a:r>
            <a:endParaRPr lang="es-E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'precio veza forraje24-25'!$I$5</c:f>
              <c:strCache>
                <c:ptCount val="1"/>
                <c:pt idx="0">
                  <c:v>2024</c:v>
                </c:pt>
              </c:strCache>
            </c:strRef>
          </c:tx>
          <c:spPr>
            <a:ln w="28575" cap="rnd">
              <a:solidFill>
                <a:schemeClr val="accent1"/>
              </a:solidFill>
              <a:round/>
            </a:ln>
            <a:effectLst/>
          </c:spPr>
          <c:marker>
            <c:symbol val="none"/>
          </c:marker>
          <c:cat>
            <c:strRef>
              <c:f>'precio veza forraje24-25'!$H$6:$H$13</c:f>
              <c:strCache>
                <c:ptCount val="8"/>
                <c:pt idx="0">
                  <c:v>may</c:v>
                </c:pt>
                <c:pt idx="1">
                  <c:v>jun</c:v>
                </c:pt>
                <c:pt idx="2">
                  <c:v>jul</c:v>
                </c:pt>
                <c:pt idx="3">
                  <c:v>agos</c:v>
                </c:pt>
                <c:pt idx="4">
                  <c:v>sep</c:v>
                </c:pt>
                <c:pt idx="5">
                  <c:v>oct</c:v>
                </c:pt>
                <c:pt idx="6">
                  <c:v>nov</c:v>
                </c:pt>
                <c:pt idx="7">
                  <c:v>dic</c:v>
                </c:pt>
              </c:strCache>
            </c:strRef>
          </c:cat>
          <c:val>
            <c:numRef>
              <c:f>'precio veza forraje24-25'!$I$6:$I$13</c:f>
              <c:numCache>
                <c:formatCode>General</c:formatCode>
                <c:ptCount val="8"/>
                <c:pt idx="0">
                  <c:v>12.03</c:v>
                </c:pt>
                <c:pt idx="1">
                  <c:v>12.11</c:v>
                </c:pt>
                <c:pt idx="2">
                  <c:v>12.6</c:v>
                </c:pt>
                <c:pt idx="3">
                  <c:v>13.05</c:v>
                </c:pt>
                <c:pt idx="4">
                  <c:v>12.58</c:v>
                </c:pt>
                <c:pt idx="5">
                  <c:v>13.4</c:v>
                </c:pt>
                <c:pt idx="6">
                  <c:v>15</c:v>
                </c:pt>
                <c:pt idx="7">
                  <c:v>15</c:v>
                </c:pt>
              </c:numCache>
            </c:numRef>
          </c:val>
          <c:smooth val="0"/>
          <c:extLst>
            <c:ext xmlns:c16="http://schemas.microsoft.com/office/drawing/2014/chart" uri="{C3380CC4-5D6E-409C-BE32-E72D297353CC}">
              <c16:uniqueId val="{00000000-45AF-4EE6-8693-0621620DB0D8}"/>
            </c:ext>
          </c:extLst>
        </c:ser>
        <c:ser>
          <c:idx val="1"/>
          <c:order val="1"/>
          <c:tx>
            <c:strRef>
              <c:f>'precio veza forraje24-25'!$J$5</c:f>
              <c:strCache>
                <c:ptCount val="1"/>
                <c:pt idx="0">
                  <c:v>2025</c:v>
                </c:pt>
              </c:strCache>
            </c:strRef>
          </c:tx>
          <c:spPr>
            <a:ln w="28575" cap="rnd">
              <a:solidFill>
                <a:schemeClr val="accent2"/>
              </a:solidFill>
              <a:round/>
            </a:ln>
            <a:effectLst/>
          </c:spPr>
          <c:marker>
            <c:symbol val="none"/>
          </c:marker>
          <c:cat>
            <c:strRef>
              <c:f>'precio veza forraje24-25'!$H$6:$H$13</c:f>
              <c:strCache>
                <c:ptCount val="8"/>
                <c:pt idx="0">
                  <c:v>may</c:v>
                </c:pt>
                <c:pt idx="1">
                  <c:v>jun</c:v>
                </c:pt>
                <c:pt idx="2">
                  <c:v>jul</c:v>
                </c:pt>
                <c:pt idx="3">
                  <c:v>agos</c:v>
                </c:pt>
                <c:pt idx="4">
                  <c:v>sep</c:v>
                </c:pt>
                <c:pt idx="5">
                  <c:v>oct</c:v>
                </c:pt>
                <c:pt idx="6">
                  <c:v>nov</c:v>
                </c:pt>
                <c:pt idx="7">
                  <c:v>dic</c:v>
                </c:pt>
              </c:strCache>
            </c:strRef>
          </c:cat>
          <c:val>
            <c:numRef>
              <c:f>'precio veza forraje24-25'!$J$6:$J$13</c:f>
              <c:numCache>
                <c:formatCode>General</c:formatCode>
                <c:ptCount val="8"/>
                <c:pt idx="0">
                  <c:v>10.95</c:v>
                </c:pt>
                <c:pt idx="1">
                  <c:v>11.05</c:v>
                </c:pt>
                <c:pt idx="2">
                  <c:v>12</c:v>
                </c:pt>
                <c:pt idx="3">
                  <c:v>12.06</c:v>
                </c:pt>
                <c:pt idx="4">
                  <c:v>13</c:v>
                </c:pt>
                <c:pt idx="5">
                  <c:v>13</c:v>
                </c:pt>
              </c:numCache>
            </c:numRef>
          </c:val>
          <c:smooth val="0"/>
          <c:extLst>
            <c:ext xmlns:c16="http://schemas.microsoft.com/office/drawing/2014/chart" uri="{C3380CC4-5D6E-409C-BE32-E72D297353CC}">
              <c16:uniqueId val="{00000001-45AF-4EE6-8693-0621620DB0D8}"/>
            </c:ext>
          </c:extLst>
        </c:ser>
        <c:dLbls>
          <c:showLegendKey val="0"/>
          <c:showVal val="0"/>
          <c:showCatName val="0"/>
          <c:showSerName val="0"/>
          <c:showPercent val="0"/>
          <c:showBubbleSize val="0"/>
        </c:dLbls>
        <c:smooth val="0"/>
        <c:axId val="472594415"/>
        <c:axId val="472604015"/>
      </c:lineChart>
      <c:catAx>
        <c:axId val="472594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72604015"/>
        <c:crosses val="autoZero"/>
        <c:auto val="1"/>
        <c:lblAlgn val="ctr"/>
        <c:lblOffset val="100"/>
        <c:noMultiLvlLbl val="0"/>
      </c:catAx>
      <c:valAx>
        <c:axId val="472604015"/>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€/100 Kg</a:t>
                </a:r>
              </a:p>
            </c:rich>
          </c:tx>
          <c:layout>
            <c:manualLayout>
              <c:xMode val="edge"/>
              <c:yMode val="edge"/>
              <c:x val="2.5827280064568199E-2"/>
              <c:y val="0.318044769368960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72594415"/>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ES" sz="1050">
                <a:latin typeface="Arial" panose="020B0604020202020204" pitchFamily="34" charset="0"/>
                <a:cs typeface="Arial" panose="020B0604020202020204" pitchFamily="34" charset="0"/>
              </a:rPr>
              <a:t>Precio bovino menor 12 meses destino matadero</a:t>
            </a:r>
          </a:p>
        </c:rich>
      </c:tx>
      <c:layout>
        <c:manualLayout>
          <c:xMode val="edge"/>
          <c:yMode val="edge"/>
          <c:x val="0.19148391173325557"/>
          <c:y val="4.8737061713439667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'precio bovino menor 12 meses 24'!$J$7</c:f>
              <c:strCache>
                <c:ptCount val="1"/>
                <c:pt idx="0">
                  <c:v>2024</c:v>
                </c:pt>
              </c:strCache>
            </c:strRef>
          </c:tx>
          <c:spPr>
            <a:ln w="22225" cap="rnd" cmpd="sng" algn="ctr">
              <a:solidFill>
                <a:schemeClr val="accent1"/>
              </a:solidFill>
              <a:round/>
            </a:ln>
            <a:effectLst/>
          </c:spPr>
          <c:marker>
            <c:symbol val="none"/>
          </c:marker>
          <c:cat>
            <c:strRef>
              <c:f>'precio bovino menor 12 meses 24'!$I$8:$I$19</c:f>
              <c:strCache>
                <c:ptCount val="12"/>
                <c:pt idx="0">
                  <c:v>ene</c:v>
                </c:pt>
                <c:pt idx="1">
                  <c:v>feb</c:v>
                </c:pt>
                <c:pt idx="2">
                  <c:v>mar</c:v>
                </c:pt>
                <c:pt idx="3">
                  <c:v>abr</c:v>
                </c:pt>
                <c:pt idx="4">
                  <c:v>may</c:v>
                </c:pt>
                <c:pt idx="5">
                  <c:v>jun</c:v>
                </c:pt>
                <c:pt idx="6">
                  <c:v>jul</c:v>
                </c:pt>
                <c:pt idx="7">
                  <c:v>ago</c:v>
                </c:pt>
                <c:pt idx="8">
                  <c:v>setp</c:v>
                </c:pt>
                <c:pt idx="9">
                  <c:v>oct</c:v>
                </c:pt>
                <c:pt idx="10">
                  <c:v>nov</c:v>
                </c:pt>
                <c:pt idx="11">
                  <c:v>dic</c:v>
                </c:pt>
              </c:strCache>
            </c:strRef>
          </c:cat>
          <c:val>
            <c:numRef>
              <c:f>'precio bovino menor 12 meses 24'!$J$8:$J$19</c:f>
              <c:numCache>
                <c:formatCode>General</c:formatCode>
                <c:ptCount val="12"/>
                <c:pt idx="0">
                  <c:v>311.38</c:v>
                </c:pt>
                <c:pt idx="1">
                  <c:v>311.82</c:v>
                </c:pt>
                <c:pt idx="2">
                  <c:v>313.17</c:v>
                </c:pt>
                <c:pt idx="3">
                  <c:v>314.37</c:v>
                </c:pt>
                <c:pt idx="4">
                  <c:v>314.35000000000002</c:v>
                </c:pt>
                <c:pt idx="5">
                  <c:v>313.72000000000003</c:v>
                </c:pt>
                <c:pt idx="6">
                  <c:v>312.99</c:v>
                </c:pt>
                <c:pt idx="7">
                  <c:v>314.95999999999998</c:v>
                </c:pt>
                <c:pt idx="8">
                  <c:v>323.12</c:v>
                </c:pt>
                <c:pt idx="9">
                  <c:v>336.77</c:v>
                </c:pt>
                <c:pt idx="10">
                  <c:v>344.39</c:v>
                </c:pt>
                <c:pt idx="11">
                  <c:v>355.8</c:v>
                </c:pt>
              </c:numCache>
            </c:numRef>
          </c:val>
          <c:smooth val="0"/>
          <c:extLst>
            <c:ext xmlns:c16="http://schemas.microsoft.com/office/drawing/2014/chart" uri="{C3380CC4-5D6E-409C-BE32-E72D297353CC}">
              <c16:uniqueId val="{00000000-0867-4F9E-91D0-FB402EC0FED2}"/>
            </c:ext>
          </c:extLst>
        </c:ser>
        <c:ser>
          <c:idx val="1"/>
          <c:order val="1"/>
          <c:tx>
            <c:strRef>
              <c:f>'precio bovino menor 12 meses 24'!$K$7</c:f>
              <c:strCache>
                <c:ptCount val="1"/>
                <c:pt idx="0">
                  <c:v>2025</c:v>
                </c:pt>
              </c:strCache>
            </c:strRef>
          </c:tx>
          <c:spPr>
            <a:ln w="22225" cap="rnd" cmpd="sng" algn="ctr">
              <a:solidFill>
                <a:schemeClr val="accent2"/>
              </a:solidFill>
              <a:round/>
            </a:ln>
            <a:effectLst/>
          </c:spPr>
          <c:marker>
            <c:symbol val="none"/>
          </c:marker>
          <c:cat>
            <c:strRef>
              <c:f>'precio bovino menor 12 meses 24'!$I$8:$I$19</c:f>
              <c:strCache>
                <c:ptCount val="12"/>
                <c:pt idx="0">
                  <c:v>ene</c:v>
                </c:pt>
                <c:pt idx="1">
                  <c:v>feb</c:v>
                </c:pt>
                <c:pt idx="2">
                  <c:v>mar</c:v>
                </c:pt>
                <c:pt idx="3">
                  <c:v>abr</c:v>
                </c:pt>
                <c:pt idx="4">
                  <c:v>may</c:v>
                </c:pt>
                <c:pt idx="5">
                  <c:v>jun</c:v>
                </c:pt>
                <c:pt idx="6">
                  <c:v>jul</c:v>
                </c:pt>
                <c:pt idx="7">
                  <c:v>ago</c:v>
                </c:pt>
                <c:pt idx="8">
                  <c:v>setp</c:v>
                </c:pt>
                <c:pt idx="9">
                  <c:v>oct</c:v>
                </c:pt>
                <c:pt idx="10">
                  <c:v>nov</c:v>
                </c:pt>
                <c:pt idx="11">
                  <c:v>dic</c:v>
                </c:pt>
              </c:strCache>
            </c:strRef>
          </c:cat>
          <c:val>
            <c:numRef>
              <c:f>'precio bovino menor 12 meses 24'!$K$8:$K$19</c:f>
              <c:numCache>
                <c:formatCode>General</c:formatCode>
                <c:ptCount val="12"/>
                <c:pt idx="0">
                  <c:v>367.22</c:v>
                </c:pt>
                <c:pt idx="1">
                  <c:v>382.95</c:v>
                </c:pt>
                <c:pt idx="2">
                  <c:v>393.27</c:v>
                </c:pt>
                <c:pt idx="3">
                  <c:v>393.88</c:v>
                </c:pt>
                <c:pt idx="4">
                  <c:v>396.54</c:v>
                </c:pt>
                <c:pt idx="5">
                  <c:v>400.6</c:v>
                </c:pt>
                <c:pt idx="6">
                  <c:v>403.55</c:v>
                </c:pt>
                <c:pt idx="7">
                  <c:v>406.81</c:v>
                </c:pt>
                <c:pt idx="8">
                  <c:v>420.29</c:v>
                </c:pt>
                <c:pt idx="9">
                  <c:v>433.43</c:v>
                </c:pt>
                <c:pt idx="10">
                  <c:v>435.19</c:v>
                </c:pt>
                <c:pt idx="11">
                  <c:v>441.79</c:v>
                </c:pt>
              </c:numCache>
            </c:numRef>
          </c:val>
          <c:smooth val="0"/>
          <c:extLst>
            <c:ext xmlns:c16="http://schemas.microsoft.com/office/drawing/2014/chart" uri="{C3380CC4-5D6E-409C-BE32-E72D297353CC}">
              <c16:uniqueId val="{00000001-0867-4F9E-91D0-FB402EC0FED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095987824"/>
        <c:axId val="2095988784"/>
      </c:lineChart>
      <c:catAx>
        <c:axId val="209598782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2095988784"/>
        <c:crosses val="autoZero"/>
        <c:auto val="1"/>
        <c:lblAlgn val="ctr"/>
        <c:lblOffset val="100"/>
        <c:noMultiLvlLbl val="0"/>
      </c:catAx>
      <c:valAx>
        <c:axId val="209598878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S" sz="700"/>
                  <a:t>€/100 Kg vivo</a:t>
                </a:r>
              </a:p>
            </c:rich>
          </c:tx>
          <c:layout>
            <c:manualLayout>
              <c:xMode val="edge"/>
              <c:yMode val="edge"/>
              <c:x val="2.3148148148148147E-2"/>
              <c:y val="0.2471751800255737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2095987824"/>
        <c:crosses val="autoZero"/>
        <c:crossBetween val="between"/>
        <c:majorUnit val="100"/>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ES" sz="1100">
                <a:latin typeface="Arial" panose="020B0604020202020204" pitchFamily="34" charset="0"/>
                <a:cs typeface="Arial" panose="020B0604020202020204" pitchFamily="34" charset="0"/>
              </a:rPr>
              <a:t>Ovino edad inferior a 1,5 meses, peso vivo 8-14 kg con destino matadero</a:t>
            </a:r>
          </a:p>
        </c:rich>
      </c:tx>
      <c:layout>
        <c:manualLayout>
          <c:xMode val="edge"/>
          <c:yMode val="edge"/>
          <c:x val="0.1455981784328241"/>
          <c:y val="3.2258064516129031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'ovino 8-15 kg'!$J$6</c:f>
              <c:strCache>
                <c:ptCount val="1"/>
                <c:pt idx="0">
                  <c:v>2024</c:v>
                </c:pt>
              </c:strCache>
            </c:strRef>
          </c:tx>
          <c:spPr>
            <a:ln w="22225" cap="rnd" cmpd="sng" algn="ctr">
              <a:solidFill>
                <a:schemeClr val="accent1"/>
              </a:solidFill>
              <a:round/>
            </a:ln>
            <a:effectLst/>
          </c:spPr>
          <c:marker>
            <c:symbol val="none"/>
          </c:marker>
          <c:cat>
            <c:strRef>
              <c:f>'ovino 8-15 kg'!$I$7:$I$18</c:f>
              <c:strCache>
                <c:ptCount val="12"/>
                <c:pt idx="0">
                  <c:v>ene</c:v>
                </c:pt>
                <c:pt idx="1">
                  <c:v>feb</c:v>
                </c:pt>
                <c:pt idx="2">
                  <c:v>mar</c:v>
                </c:pt>
                <c:pt idx="3">
                  <c:v>abr</c:v>
                </c:pt>
                <c:pt idx="4">
                  <c:v>may</c:v>
                </c:pt>
                <c:pt idx="5">
                  <c:v>jun</c:v>
                </c:pt>
                <c:pt idx="6">
                  <c:v>jul</c:v>
                </c:pt>
                <c:pt idx="7">
                  <c:v>ago</c:v>
                </c:pt>
                <c:pt idx="8">
                  <c:v>setp</c:v>
                </c:pt>
                <c:pt idx="9">
                  <c:v>oct</c:v>
                </c:pt>
                <c:pt idx="10">
                  <c:v>nov</c:v>
                </c:pt>
                <c:pt idx="11">
                  <c:v>dic</c:v>
                </c:pt>
              </c:strCache>
            </c:strRef>
          </c:cat>
          <c:val>
            <c:numRef>
              <c:f>'ovino 8-15 kg'!$J$7:$J$18</c:f>
              <c:numCache>
                <c:formatCode>General</c:formatCode>
                <c:ptCount val="12"/>
                <c:pt idx="0">
                  <c:v>533.87</c:v>
                </c:pt>
                <c:pt idx="1">
                  <c:v>541.1</c:v>
                </c:pt>
                <c:pt idx="2">
                  <c:v>542.82000000000005</c:v>
                </c:pt>
                <c:pt idx="3">
                  <c:v>543.34</c:v>
                </c:pt>
                <c:pt idx="4">
                  <c:v>564.71</c:v>
                </c:pt>
                <c:pt idx="5">
                  <c:v>596.20000000000005</c:v>
                </c:pt>
                <c:pt idx="6">
                  <c:v>608.54999999999995</c:v>
                </c:pt>
                <c:pt idx="7">
                  <c:v>655.54</c:v>
                </c:pt>
                <c:pt idx="8">
                  <c:v>703.82</c:v>
                </c:pt>
                <c:pt idx="9">
                  <c:v>709.3</c:v>
                </c:pt>
                <c:pt idx="10">
                  <c:v>704.04</c:v>
                </c:pt>
                <c:pt idx="11">
                  <c:v>727.51</c:v>
                </c:pt>
              </c:numCache>
            </c:numRef>
          </c:val>
          <c:smooth val="0"/>
          <c:extLst>
            <c:ext xmlns:c16="http://schemas.microsoft.com/office/drawing/2014/chart" uri="{C3380CC4-5D6E-409C-BE32-E72D297353CC}">
              <c16:uniqueId val="{00000000-DAF7-4B42-83A3-0874FAED3A36}"/>
            </c:ext>
          </c:extLst>
        </c:ser>
        <c:ser>
          <c:idx val="1"/>
          <c:order val="1"/>
          <c:tx>
            <c:strRef>
              <c:f>'ovino 8-15 kg'!$K$6</c:f>
              <c:strCache>
                <c:ptCount val="1"/>
                <c:pt idx="0">
                  <c:v>2025</c:v>
                </c:pt>
              </c:strCache>
            </c:strRef>
          </c:tx>
          <c:spPr>
            <a:ln w="22225" cap="rnd" cmpd="sng" algn="ctr">
              <a:solidFill>
                <a:schemeClr val="accent2"/>
              </a:solidFill>
              <a:round/>
            </a:ln>
            <a:effectLst/>
          </c:spPr>
          <c:marker>
            <c:symbol val="none"/>
          </c:marker>
          <c:cat>
            <c:strRef>
              <c:f>'ovino 8-15 kg'!$I$7:$I$18</c:f>
              <c:strCache>
                <c:ptCount val="12"/>
                <c:pt idx="0">
                  <c:v>ene</c:v>
                </c:pt>
                <c:pt idx="1">
                  <c:v>feb</c:v>
                </c:pt>
                <c:pt idx="2">
                  <c:v>mar</c:v>
                </c:pt>
                <c:pt idx="3">
                  <c:v>abr</c:v>
                </c:pt>
                <c:pt idx="4">
                  <c:v>may</c:v>
                </c:pt>
                <c:pt idx="5">
                  <c:v>jun</c:v>
                </c:pt>
                <c:pt idx="6">
                  <c:v>jul</c:v>
                </c:pt>
                <c:pt idx="7">
                  <c:v>ago</c:v>
                </c:pt>
                <c:pt idx="8">
                  <c:v>setp</c:v>
                </c:pt>
                <c:pt idx="9">
                  <c:v>oct</c:v>
                </c:pt>
                <c:pt idx="10">
                  <c:v>nov</c:v>
                </c:pt>
                <c:pt idx="11">
                  <c:v>dic</c:v>
                </c:pt>
              </c:strCache>
            </c:strRef>
          </c:cat>
          <c:val>
            <c:numRef>
              <c:f>'ovino 8-15 kg'!$K$7:$K$18</c:f>
              <c:numCache>
                <c:formatCode>General</c:formatCode>
                <c:ptCount val="12"/>
                <c:pt idx="0">
                  <c:v>658.88</c:v>
                </c:pt>
                <c:pt idx="1">
                  <c:v>635.75</c:v>
                </c:pt>
                <c:pt idx="2">
                  <c:v>625.01</c:v>
                </c:pt>
                <c:pt idx="3">
                  <c:v>630.95000000000005</c:v>
                </c:pt>
                <c:pt idx="4">
                  <c:v>658.68</c:v>
                </c:pt>
                <c:pt idx="5">
                  <c:v>679.89</c:v>
                </c:pt>
                <c:pt idx="6">
                  <c:v>715.15</c:v>
                </c:pt>
                <c:pt idx="7">
                  <c:v>742.09</c:v>
                </c:pt>
                <c:pt idx="8">
                  <c:v>768.85</c:v>
                </c:pt>
                <c:pt idx="9">
                  <c:v>775.5</c:v>
                </c:pt>
                <c:pt idx="10">
                  <c:v>776.33</c:v>
                </c:pt>
                <c:pt idx="11">
                  <c:v>798.27</c:v>
                </c:pt>
              </c:numCache>
            </c:numRef>
          </c:val>
          <c:smooth val="0"/>
          <c:extLst>
            <c:ext xmlns:c16="http://schemas.microsoft.com/office/drawing/2014/chart" uri="{C3380CC4-5D6E-409C-BE32-E72D297353CC}">
              <c16:uniqueId val="{00000001-DAF7-4B42-83A3-0874FAED3A3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78690464"/>
        <c:axId val="578692864"/>
      </c:lineChart>
      <c:catAx>
        <c:axId val="5786904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578692864"/>
        <c:crosses val="autoZero"/>
        <c:auto val="1"/>
        <c:lblAlgn val="ctr"/>
        <c:lblOffset val="100"/>
        <c:noMultiLvlLbl val="0"/>
      </c:catAx>
      <c:valAx>
        <c:axId val="578692864"/>
        <c:scaling>
          <c:orientation val="minMax"/>
          <c:max val="80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S" sz="700">
                    <a:latin typeface="Arial" panose="020B0604020202020204" pitchFamily="34" charset="0"/>
                    <a:cs typeface="Arial" panose="020B0604020202020204" pitchFamily="34" charset="0"/>
                  </a:rPr>
                  <a:t>€/ 100 Kg vivo</a:t>
                </a:r>
              </a:p>
            </c:rich>
          </c:tx>
          <c:layout>
            <c:manualLayout>
              <c:xMode val="edge"/>
              <c:yMode val="edge"/>
              <c:x val="2.2222222222222223E-2"/>
              <c:y val="0.29777733479517599"/>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578690464"/>
        <c:crosses val="autoZero"/>
        <c:crossBetween val="between"/>
        <c:majorUnit val="200"/>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r>
              <a:rPr lang="es-ES" sz="1050">
                <a:latin typeface="Arial" panose="020B0604020202020204" pitchFamily="34" charset="0"/>
                <a:cs typeface="Arial" panose="020B0604020202020204" pitchFamily="34" charset="0"/>
              </a:rPr>
              <a:t> Ovino de edad entre 1,5-3 meses, peso vivo entre 14-26 kg y con destino a matadero</a:t>
            </a:r>
          </a:p>
        </c:rich>
      </c:tx>
      <c:layout>
        <c:manualLayout>
          <c:xMode val="edge"/>
          <c:yMode val="edge"/>
          <c:x val="0.13066188760303268"/>
          <c:y val="3.3195020746887967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Arial" panose="020B0604020202020204" pitchFamily="34" charset="0"/>
              <a:ea typeface="+mn-ea"/>
              <a:cs typeface="Arial" panose="020B0604020202020204" pitchFamily="34" charset="0"/>
            </a:defRPr>
          </a:pPr>
          <a:endParaRPr lang="es-ES"/>
        </a:p>
      </c:txPr>
    </c:title>
    <c:autoTitleDeleted val="0"/>
    <c:plotArea>
      <c:layout/>
      <c:lineChart>
        <c:grouping val="standard"/>
        <c:varyColors val="0"/>
        <c:ser>
          <c:idx val="0"/>
          <c:order val="0"/>
          <c:tx>
            <c:strRef>
              <c:f>'precios cordero recental_cyl_24'!$K$8</c:f>
              <c:strCache>
                <c:ptCount val="1"/>
                <c:pt idx="0">
                  <c:v>2024</c:v>
                </c:pt>
              </c:strCache>
            </c:strRef>
          </c:tx>
          <c:spPr>
            <a:ln w="22225" cap="rnd" cmpd="sng" algn="ctr">
              <a:solidFill>
                <a:schemeClr val="accent1"/>
              </a:solidFill>
              <a:round/>
            </a:ln>
            <a:effectLst/>
          </c:spPr>
          <c:marker>
            <c:symbol val="none"/>
          </c:marker>
          <c:cat>
            <c:strRef>
              <c:f>'precios cordero recental_cyl_24'!$J$9:$J$20</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'precios cordero recental_cyl_24'!$K$9:$K$20</c:f>
              <c:numCache>
                <c:formatCode>General</c:formatCode>
                <c:ptCount val="12"/>
                <c:pt idx="0">
                  <c:v>464.57</c:v>
                </c:pt>
                <c:pt idx="1">
                  <c:v>465.58</c:v>
                </c:pt>
                <c:pt idx="2">
                  <c:v>467.45</c:v>
                </c:pt>
                <c:pt idx="3">
                  <c:v>467.38</c:v>
                </c:pt>
                <c:pt idx="4">
                  <c:v>474.75</c:v>
                </c:pt>
                <c:pt idx="5">
                  <c:v>495.41</c:v>
                </c:pt>
                <c:pt idx="6">
                  <c:v>498.83</c:v>
                </c:pt>
                <c:pt idx="7">
                  <c:v>505.27</c:v>
                </c:pt>
                <c:pt idx="8">
                  <c:v>521.92999999999995</c:v>
                </c:pt>
                <c:pt idx="9">
                  <c:v>529.64</c:v>
                </c:pt>
                <c:pt idx="10">
                  <c:v>529.66999999999996</c:v>
                </c:pt>
                <c:pt idx="11">
                  <c:v>543.89</c:v>
                </c:pt>
              </c:numCache>
            </c:numRef>
          </c:val>
          <c:smooth val="0"/>
          <c:extLst>
            <c:ext xmlns:c16="http://schemas.microsoft.com/office/drawing/2014/chart" uri="{C3380CC4-5D6E-409C-BE32-E72D297353CC}">
              <c16:uniqueId val="{00000000-4F3F-40F7-B6C5-27AA616F020E}"/>
            </c:ext>
          </c:extLst>
        </c:ser>
        <c:ser>
          <c:idx val="1"/>
          <c:order val="1"/>
          <c:tx>
            <c:strRef>
              <c:f>'precios cordero recental_cyl_24'!$L$8</c:f>
              <c:strCache>
                <c:ptCount val="1"/>
                <c:pt idx="0">
                  <c:v>2025</c:v>
                </c:pt>
              </c:strCache>
            </c:strRef>
          </c:tx>
          <c:spPr>
            <a:ln w="22225" cap="rnd" cmpd="sng" algn="ctr">
              <a:solidFill>
                <a:schemeClr val="accent2"/>
              </a:solidFill>
              <a:round/>
            </a:ln>
            <a:effectLst/>
          </c:spPr>
          <c:marker>
            <c:symbol val="none"/>
          </c:marker>
          <c:cat>
            <c:strRef>
              <c:f>'precios cordero recental_cyl_24'!$J$9:$J$20</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'precios cordero recental_cyl_24'!$L$9:$L$20</c:f>
              <c:numCache>
                <c:formatCode>General</c:formatCode>
                <c:ptCount val="12"/>
                <c:pt idx="0">
                  <c:v>514.72</c:v>
                </c:pt>
                <c:pt idx="1">
                  <c:v>499.27</c:v>
                </c:pt>
                <c:pt idx="2">
                  <c:v>489.9</c:v>
                </c:pt>
                <c:pt idx="3">
                  <c:v>488.1</c:v>
                </c:pt>
                <c:pt idx="4">
                  <c:v>515.66</c:v>
                </c:pt>
                <c:pt idx="5">
                  <c:v>523.46</c:v>
                </c:pt>
                <c:pt idx="6">
                  <c:v>519.69000000000005</c:v>
                </c:pt>
                <c:pt idx="7">
                  <c:v>514.42999999999995</c:v>
                </c:pt>
                <c:pt idx="8">
                  <c:v>534.76</c:v>
                </c:pt>
                <c:pt idx="9">
                  <c:v>552.13</c:v>
                </c:pt>
                <c:pt idx="10">
                  <c:v>576.22</c:v>
                </c:pt>
              </c:numCache>
            </c:numRef>
          </c:val>
          <c:smooth val="0"/>
          <c:extLst>
            <c:ext xmlns:c16="http://schemas.microsoft.com/office/drawing/2014/chart" uri="{C3380CC4-5D6E-409C-BE32-E72D297353CC}">
              <c16:uniqueId val="{00000001-4F3F-40F7-B6C5-27AA616F020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086625519"/>
        <c:axId val="2086630799"/>
      </c:lineChart>
      <c:catAx>
        <c:axId val="208662551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2086630799"/>
        <c:crosses val="autoZero"/>
        <c:auto val="1"/>
        <c:lblAlgn val="ctr"/>
        <c:lblOffset val="100"/>
        <c:noMultiLvlLbl val="0"/>
      </c:catAx>
      <c:valAx>
        <c:axId val="2086630799"/>
        <c:scaling>
          <c:orientation val="minMax"/>
          <c:max val="60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S" sz="700">
                    <a:latin typeface="Arial" panose="020B0604020202020204" pitchFamily="34" charset="0"/>
                    <a:cs typeface="Arial" panose="020B0604020202020204" pitchFamily="34" charset="0"/>
                  </a:rPr>
                  <a:t>€/ 100Kg vivo</a:t>
                </a:r>
              </a:p>
            </c:rich>
          </c:tx>
          <c:layout>
            <c:manualLayout>
              <c:xMode val="edge"/>
              <c:yMode val="edge"/>
              <c:x val="2.5827280064568199E-2"/>
              <c:y val="0.31927119068622639"/>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2086625519"/>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ES" sz="1100">
                <a:latin typeface="Arial" panose="020B0604020202020204" pitchFamily="34" charset="0"/>
                <a:cs typeface="Arial" panose="020B0604020202020204" pitchFamily="34" charset="0"/>
              </a:rPr>
              <a:t>Caprino de edad inferior a 1,5 meses con destino matadero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'precio cabrito inf 1,5 meses 24'!$J$7</c:f>
              <c:strCache>
                <c:ptCount val="1"/>
                <c:pt idx="0">
                  <c:v>2024</c:v>
                </c:pt>
              </c:strCache>
            </c:strRef>
          </c:tx>
          <c:spPr>
            <a:ln w="22225" cap="rnd" cmpd="sng" algn="ctr">
              <a:solidFill>
                <a:schemeClr val="accent1"/>
              </a:solidFill>
              <a:round/>
            </a:ln>
            <a:effectLst/>
          </c:spPr>
          <c:marker>
            <c:symbol val="none"/>
          </c:marker>
          <c:cat>
            <c:strRef>
              <c:f>'precio cabrito inf 1,5 meses 24'!$I$8:$I$19</c:f>
              <c:strCache>
                <c:ptCount val="12"/>
                <c:pt idx="0">
                  <c:v>ene</c:v>
                </c:pt>
                <c:pt idx="1">
                  <c:v>feb</c:v>
                </c:pt>
                <c:pt idx="2">
                  <c:v>mar</c:v>
                </c:pt>
                <c:pt idx="3">
                  <c:v>abr</c:v>
                </c:pt>
                <c:pt idx="4">
                  <c:v>may</c:v>
                </c:pt>
                <c:pt idx="5">
                  <c:v>jun</c:v>
                </c:pt>
                <c:pt idx="6">
                  <c:v>jul</c:v>
                </c:pt>
                <c:pt idx="7">
                  <c:v>ago</c:v>
                </c:pt>
                <c:pt idx="8">
                  <c:v>setp</c:v>
                </c:pt>
                <c:pt idx="9">
                  <c:v>oct</c:v>
                </c:pt>
                <c:pt idx="10">
                  <c:v>nov</c:v>
                </c:pt>
                <c:pt idx="11">
                  <c:v>dic</c:v>
                </c:pt>
              </c:strCache>
            </c:strRef>
          </c:cat>
          <c:val>
            <c:numRef>
              <c:f>'precio cabrito inf 1,5 meses 24'!$J$8:$J$19</c:f>
              <c:numCache>
                <c:formatCode>General</c:formatCode>
                <c:ptCount val="12"/>
                <c:pt idx="0">
                  <c:v>477.66</c:v>
                </c:pt>
                <c:pt idx="1">
                  <c:v>458.77</c:v>
                </c:pt>
                <c:pt idx="2">
                  <c:v>463.59</c:v>
                </c:pt>
                <c:pt idx="3">
                  <c:v>464.33</c:v>
                </c:pt>
                <c:pt idx="4">
                  <c:v>481.67</c:v>
                </c:pt>
                <c:pt idx="5">
                  <c:v>521.39</c:v>
                </c:pt>
                <c:pt idx="6">
                  <c:v>532.03</c:v>
                </c:pt>
                <c:pt idx="7">
                  <c:v>576.55999999999995</c:v>
                </c:pt>
                <c:pt idx="8">
                  <c:v>633.17999999999995</c:v>
                </c:pt>
                <c:pt idx="9">
                  <c:v>640.85</c:v>
                </c:pt>
                <c:pt idx="10">
                  <c:v>639.69000000000005</c:v>
                </c:pt>
                <c:pt idx="11">
                  <c:v>655.81</c:v>
                </c:pt>
              </c:numCache>
            </c:numRef>
          </c:val>
          <c:smooth val="0"/>
          <c:extLst>
            <c:ext xmlns:c16="http://schemas.microsoft.com/office/drawing/2014/chart" uri="{C3380CC4-5D6E-409C-BE32-E72D297353CC}">
              <c16:uniqueId val="{00000000-9EC0-4C71-B3E4-80C236AB7580}"/>
            </c:ext>
          </c:extLst>
        </c:ser>
        <c:ser>
          <c:idx val="1"/>
          <c:order val="1"/>
          <c:tx>
            <c:strRef>
              <c:f>'precio cabrito inf 1,5 meses 24'!$K$7</c:f>
              <c:strCache>
                <c:ptCount val="1"/>
                <c:pt idx="0">
                  <c:v>2025</c:v>
                </c:pt>
              </c:strCache>
            </c:strRef>
          </c:tx>
          <c:spPr>
            <a:ln w="22225" cap="rnd" cmpd="sng" algn="ctr">
              <a:solidFill>
                <a:schemeClr val="accent2"/>
              </a:solidFill>
              <a:round/>
            </a:ln>
            <a:effectLst/>
          </c:spPr>
          <c:marker>
            <c:symbol val="none"/>
          </c:marker>
          <c:cat>
            <c:strRef>
              <c:f>'precio cabrito inf 1,5 meses 24'!$I$8:$I$19</c:f>
              <c:strCache>
                <c:ptCount val="12"/>
                <c:pt idx="0">
                  <c:v>ene</c:v>
                </c:pt>
                <c:pt idx="1">
                  <c:v>feb</c:v>
                </c:pt>
                <c:pt idx="2">
                  <c:v>mar</c:v>
                </c:pt>
                <c:pt idx="3">
                  <c:v>abr</c:v>
                </c:pt>
                <c:pt idx="4">
                  <c:v>may</c:v>
                </c:pt>
                <c:pt idx="5">
                  <c:v>jun</c:v>
                </c:pt>
                <c:pt idx="6">
                  <c:v>jul</c:v>
                </c:pt>
                <c:pt idx="7">
                  <c:v>ago</c:v>
                </c:pt>
                <c:pt idx="8">
                  <c:v>setp</c:v>
                </c:pt>
                <c:pt idx="9">
                  <c:v>oct</c:v>
                </c:pt>
                <c:pt idx="10">
                  <c:v>nov</c:v>
                </c:pt>
                <c:pt idx="11">
                  <c:v>dic</c:v>
                </c:pt>
              </c:strCache>
            </c:strRef>
          </c:cat>
          <c:val>
            <c:numRef>
              <c:f>'precio cabrito inf 1,5 meses 24'!$K$8:$K$19</c:f>
              <c:numCache>
                <c:formatCode>General</c:formatCode>
                <c:ptCount val="12"/>
                <c:pt idx="0">
                  <c:v>592.51</c:v>
                </c:pt>
                <c:pt idx="1">
                  <c:v>560.27</c:v>
                </c:pt>
                <c:pt idx="2">
                  <c:v>552.94000000000005</c:v>
                </c:pt>
                <c:pt idx="3">
                  <c:v>554.80999999999995</c:v>
                </c:pt>
                <c:pt idx="4">
                  <c:v>579.41</c:v>
                </c:pt>
                <c:pt idx="5">
                  <c:v>588.14</c:v>
                </c:pt>
                <c:pt idx="6">
                  <c:v>607.41</c:v>
                </c:pt>
                <c:pt idx="7">
                  <c:v>652.57000000000005</c:v>
                </c:pt>
                <c:pt idx="8">
                  <c:v>710.13</c:v>
                </c:pt>
                <c:pt idx="9">
                  <c:v>725.14</c:v>
                </c:pt>
                <c:pt idx="10">
                  <c:v>712.79</c:v>
                </c:pt>
              </c:numCache>
            </c:numRef>
          </c:val>
          <c:smooth val="0"/>
          <c:extLst>
            <c:ext xmlns:c16="http://schemas.microsoft.com/office/drawing/2014/chart" uri="{C3380CC4-5D6E-409C-BE32-E72D297353CC}">
              <c16:uniqueId val="{00000001-9EC0-4C71-B3E4-80C236AB758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500249087"/>
        <c:axId val="1500244767"/>
      </c:lineChart>
      <c:catAx>
        <c:axId val="1500249087"/>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ES"/>
          </a:p>
        </c:txPr>
        <c:crossAx val="1500244767"/>
        <c:crosses val="autoZero"/>
        <c:auto val="1"/>
        <c:lblAlgn val="ctr"/>
        <c:lblOffset val="100"/>
        <c:noMultiLvlLbl val="0"/>
      </c:catAx>
      <c:valAx>
        <c:axId val="1500244767"/>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S" sz="700"/>
                  <a:t>€/100 Kg vivo</a:t>
                </a:r>
              </a:p>
            </c:rich>
          </c:tx>
          <c:layout>
            <c:manualLayout>
              <c:xMode val="edge"/>
              <c:yMode val="edge"/>
              <c:x val="2.3809477803004686E-2"/>
              <c:y val="0.2981482153440497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500249087"/>
        <c:crosses val="autoZero"/>
        <c:crossBetween val="between"/>
        <c:majorUnit val="200"/>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ES" sz="1100">
                <a:latin typeface="Arial" panose="020B0604020202020204" pitchFamily="34" charset="0"/>
                <a:cs typeface="Arial" panose="020B0604020202020204" pitchFamily="34" charset="0"/>
              </a:rPr>
              <a:t>Precio cerdo de cebo, peso vivo inferior a 120 kg con destino a matadero</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'precio cerdo inferior 120 Kg 24'!$M$8</c:f>
              <c:strCache>
                <c:ptCount val="1"/>
                <c:pt idx="0">
                  <c:v>2024</c:v>
                </c:pt>
              </c:strCache>
            </c:strRef>
          </c:tx>
          <c:spPr>
            <a:ln w="22225" cap="rnd" cmpd="sng" algn="ctr">
              <a:solidFill>
                <a:schemeClr val="accent1"/>
              </a:solidFill>
              <a:round/>
            </a:ln>
            <a:effectLst/>
          </c:spPr>
          <c:marker>
            <c:symbol val="none"/>
          </c:marker>
          <c:cat>
            <c:strRef>
              <c:f>'precio cerdo inferior 120 Kg 24'!$L$9:$L$20</c:f>
              <c:strCache>
                <c:ptCount val="12"/>
                <c:pt idx="0">
                  <c:v>ene</c:v>
                </c:pt>
                <c:pt idx="1">
                  <c:v>feb</c:v>
                </c:pt>
                <c:pt idx="2">
                  <c:v>mar</c:v>
                </c:pt>
                <c:pt idx="3">
                  <c:v>abr</c:v>
                </c:pt>
                <c:pt idx="4">
                  <c:v>may</c:v>
                </c:pt>
                <c:pt idx="5">
                  <c:v>jun</c:v>
                </c:pt>
                <c:pt idx="6">
                  <c:v>jul</c:v>
                </c:pt>
                <c:pt idx="7">
                  <c:v>ago</c:v>
                </c:pt>
                <c:pt idx="8">
                  <c:v>setp</c:v>
                </c:pt>
                <c:pt idx="9">
                  <c:v>oct</c:v>
                </c:pt>
                <c:pt idx="10">
                  <c:v>nov</c:v>
                </c:pt>
                <c:pt idx="11">
                  <c:v>dic</c:v>
                </c:pt>
              </c:strCache>
            </c:strRef>
          </c:cat>
          <c:val>
            <c:numRef>
              <c:f>'precio cerdo inferior 120 Kg 24'!$M$9:$M$20</c:f>
              <c:numCache>
                <c:formatCode>General</c:formatCode>
                <c:ptCount val="12"/>
                <c:pt idx="0">
                  <c:v>164.58</c:v>
                </c:pt>
                <c:pt idx="1">
                  <c:v>169.05</c:v>
                </c:pt>
                <c:pt idx="2">
                  <c:v>178.18</c:v>
                </c:pt>
                <c:pt idx="3">
                  <c:v>179.71</c:v>
                </c:pt>
                <c:pt idx="4">
                  <c:v>179.79</c:v>
                </c:pt>
                <c:pt idx="5">
                  <c:v>182.21</c:v>
                </c:pt>
                <c:pt idx="6">
                  <c:v>185.41</c:v>
                </c:pt>
                <c:pt idx="7">
                  <c:v>182.95</c:v>
                </c:pt>
                <c:pt idx="8">
                  <c:v>173.6</c:v>
                </c:pt>
                <c:pt idx="9">
                  <c:v>162.44</c:v>
                </c:pt>
                <c:pt idx="10">
                  <c:v>156.59</c:v>
                </c:pt>
                <c:pt idx="11">
                  <c:v>156.47999999999999</c:v>
                </c:pt>
              </c:numCache>
            </c:numRef>
          </c:val>
          <c:smooth val="0"/>
          <c:extLst>
            <c:ext xmlns:c16="http://schemas.microsoft.com/office/drawing/2014/chart" uri="{C3380CC4-5D6E-409C-BE32-E72D297353CC}">
              <c16:uniqueId val="{00000000-E72E-402C-A150-AEE5AECEF7D6}"/>
            </c:ext>
          </c:extLst>
        </c:ser>
        <c:ser>
          <c:idx val="1"/>
          <c:order val="1"/>
          <c:tx>
            <c:strRef>
              <c:f>'precio cerdo inferior 120 Kg 24'!$N$8</c:f>
              <c:strCache>
                <c:ptCount val="1"/>
                <c:pt idx="0">
                  <c:v>2025</c:v>
                </c:pt>
              </c:strCache>
            </c:strRef>
          </c:tx>
          <c:spPr>
            <a:ln w="22225" cap="rnd" cmpd="sng" algn="ctr">
              <a:solidFill>
                <a:schemeClr val="accent2"/>
              </a:solidFill>
              <a:round/>
            </a:ln>
            <a:effectLst/>
          </c:spPr>
          <c:marker>
            <c:symbol val="none"/>
          </c:marker>
          <c:cat>
            <c:strRef>
              <c:f>'precio cerdo inferior 120 Kg 24'!$L$9:$L$20</c:f>
              <c:strCache>
                <c:ptCount val="12"/>
                <c:pt idx="0">
                  <c:v>ene</c:v>
                </c:pt>
                <c:pt idx="1">
                  <c:v>feb</c:v>
                </c:pt>
                <c:pt idx="2">
                  <c:v>mar</c:v>
                </c:pt>
                <c:pt idx="3">
                  <c:v>abr</c:v>
                </c:pt>
                <c:pt idx="4">
                  <c:v>may</c:v>
                </c:pt>
                <c:pt idx="5">
                  <c:v>jun</c:v>
                </c:pt>
                <c:pt idx="6">
                  <c:v>jul</c:v>
                </c:pt>
                <c:pt idx="7">
                  <c:v>ago</c:v>
                </c:pt>
                <c:pt idx="8">
                  <c:v>setp</c:v>
                </c:pt>
                <c:pt idx="9">
                  <c:v>oct</c:v>
                </c:pt>
                <c:pt idx="10">
                  <c:v>nov</c:v>
                </c:pt>
                <c:pt idx="11">
                  <c:v>dic</c:v>
                </c:pt>
              </c:strCache>
            </c:strRef>
          </c:cat>
          <c:val>
            <c:numRef>
              <c:f>'precio cerdo inferior 120 Kg 24'!$N$9:$N$20</c:f>
              <c:numCache>
                <c:formatCode>General</c:formatCode>
                <c:ptCount val="12"/>
                <c:pt idx="0">
                  <c:v>155.46</c:v>
                </c:pt>
                <c:pt idx="1">
                  <c:v>157.13999999999999</c:v>
                </c:pt>
                <c:pt idx="2">
                  <c:v>167.98</c:v>
                </c:pt>
                <c:pt idx="3">
                  <c:v>176.46</c:v>
                </c:pt>
                <c:pt idx="4">
                  <c:v>178</c:v>
                </c:pt>
                <c:pt idx="5">
                  <c:v>180.24</c:v>
                </c:pt>
                <c:pt idx="6">
                  <c:v>179.36</c:v>
                </c:pt>
                <c:pt idx="7">
                  <c:v>170.91</c:v>
                </c:pt>
                <c:pt idx="8">
                  <c:v>159.32</c:v>
                </c:pt>
                <c:pt idx="9">
                  <c:v>144.46</c:v>
                </c:pt>
                <c:pt idx="10">
                  <c:v>134.41999999999999</c:v>
                </c:pt>
                <c:pt idx="11">
                  <c:v>108.4</c:v>
                </c:pt>
              </c:numCache>
            </c:numRef>
          </c:val>
          <c:smooth val="0"/>
          <c:extLst>
            <c:ext xmlns:c16="http://schemas.microsoft.com/office/drawing/2014/chart" uri="{C3380CC4-5D6E-409C-BE32-E72D297353CC}">
              <c16:uniqueId val="{00000001-E72E-402C-A150-AEE5AECEF7D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82879296"/>
        <c:axId val="1882878336"/>
      </c:lineChart>
      <c:catAx>
        <c:axId val="18828792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ES"/>
          </a:p>
        </c:txPr>
        <c:crossAx val="1882878336"/>
        <c:crosses val="autoZero"/>
        <c:auto val="1"/>
        <c:lblAlgn val="ctr"/>
        <c:lblOffset val="100"/>
        <c:noMultiLvlLbl val="0"/>
      </c:catAx>
      <c:valAx>
        <c:axId val="188287833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S" sz="800"/>
                  <a:t>€/100 kg vivo</a:t>
                </a:r>
              </a:p>
            </c:rich>
          </c:tx>
          <c:layout>
            <c:manualLayout>
              <c:xMode val="edge"/>
              <c:yMode val="edge"/>
              <c:x val="2.6607538802660754E-2"/>
              <c:y val="0.3463470305078261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88287929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ES" sz="1100">
                <a:latin typeface="Arial" panose="020B0604020202020204" pitchFamily="34" charset="0"/>
                <a:cs typeface="Arial" panose="020B0604020202020204" pitchFamily="34" charset="0"/>
              </a:rPr>
              <a:t>Precio cerdo cebo ibérico, peso vivo aprox. 150 kg con destino a matadero  </a:t>
            </a:r>
          </a:p>
        </c:rich>
      </c:tx>
      <c:layout>
        <c:manualLayout>
          <c:xMode val="edge"/>
          <c:yMode val="edge"/>
          <c:x val="0.18696318057856648"/>
          <c:y val="3.9051603905160388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'cagjcyl (30)'!$J$6</c:f>
              <c:strCache>
                <c:ptCount val="1"/>
                <c:pt idx="0">
                  <c:v>2024</c:v>
                </c:pt>
              </c:strCache>
            </c:strRef>
          </c:tx>
          <c:spPr>
            <a:ln w="22225" cap="rnd" cmpd="sng" algn="ctr">
              <a:solidFill>
                <a:schemeClr val="accent1"/>
              </a:solidFill>
              <a:round/>
            </a:ln>
            <a:effectLst/>
          </c:spPr>
          <c:marker>
            <c:symbol val="none"/>
          </c:marker>
          <c:cat>
            <c:strRef>
              <c:f>'cagjcyl (30)'!$I$7:$I$18</c:f>
              <c:strCache>
                <c:ptCount val="12"/>
                <c:pt idx="0">
                  <c:v>ene</c:v>
                </c:pt>
                <c:pt idx="1">
                  <c:v>feb</c:v>
                </c:pt>
                <c:pt idx="2">
                  <c:v>marz</c:v>
                </c:pt>
                <c:pt idx="3">
                  <c:v>abr</c:v>
                </c:pt>
                <c:pt idx="4">
                  <c:v>may</c:v>
                </c:pt>
                <c:pt idx="5">
                  <c:v>jun</c:v>
                </c:pt>
                <c:pt idx="6">
                  <c:v>jul</c:v>
                </c:pt>
                <c:pt idx="7">
                  <c:v>agost</c:v>
                </c:pt>
                <c:pt idx="8">
                  <c:v>sept</c:v>
                </c:pt>
                <c:pt idx="9">
                  <c:v>oct</c:v>
                </c:pt>
                <c:pt idx="10">
                  <c:v>nov</c:v>
                </c:pt>
                <c:pt idx="11">
                  <c:v>dic</c:v>
                </c:pt>
              </c:strCache>
            </c:strRef>
          </c:cat>
          <c:val>
            <c:numRef>
              <c:f>'cagjcyl (30)'!$J$7:$J$18</c:f>
              <c:numCache>
                <c:formatCode>General</c:formatCode>
                <c:ptCount val="12"/>
                <c:pt idx="0">
                  <c:v>216.79</c:v>
                </c:pt>
                <c:pt idx="1">
                  <c:v>216.47</c:v>
                </c:pt>
                <c:pt idx="2">
                  <c:v>218.55</c:v>
                </c:pt>
                <c:pt idx="3">
                  <c:v>222.84</c:v>
                </c:pt>
                <c:pt idx="4">
                  <c:v>227.98</c:v>
                </c:pt>
                <c:pt idx="5">
                  <c:v>236.42</c:v>
                </c:pt>
                <c:pt idx="6">
                  <c:v>244.6</c:v>
                </c:pt>
                <c:pt idx="7">
                  <c:v>249.67</c:v>
                </c:pt>
                <c:pt idx="8">
                  <c:v>252.77</c:v>
                </c:pt>
                <c:pt idx="9">
                  <c:v>257.89999999999998</c:v>
                </c:pt>
                <c:pt idx="10">
                  <c:v>260.89999999999998</c:v>
                </c:pt>
                <c:pt idx="11">
                  <c:v>262.61</c:v>
                </c:pt>
              </c:numCache>
            </c:numRef>
          </c:val>
          <c:smooth val="0"/>
          <c:extLst>
            <c:ext xmlns:c16="http://schemas.microsoft.com/office/drawing/2014/chart" uri="{C3380CC4-5D6E-409C-BE32-E72D297353CC}">
              <c16:uniqueId val="{00000000-17D0-4011-9B4B-55CAF0AB2A06}"/>
            </c:ext>
          </c:extLst>
        </c:ser>
        <c:ser>
          <c:idx val="1"/>
          <c:order val="1"/>
          <c:tx>
            <c:strRef>
              <c:f>'cagjcyl (30)'!$K$6</c:f>
              <c:strCache>
                <c:ptCount val="1"/>
                <c:pt idx="0">
                  <c:v>2025</c:v>
                </c:pt>
              </c:strCache>
            </c:strRef>
          </c:tx>
          <c:spPr>
            <a:ln w="22225" cap="rnd" cmpd="sng" algn="ctr">
              <a:solidFill>
                <a:schemeClr val="accent2"/>
              </a:solidFill>
              <a:round/>
            </a:ln>
            <a:effectLst/>
          </c:spPr>
          <c:marker>
            <c:symbol val="none"/>
          </c:marker>
          <c:cat>
            <c:strRef>
              <c:f>'cagjcyl (30)'!$I$7:$I$18</c:f>
              <c:strCache>
                <c:ptCount val="12"/>
                <c:pt idx="0">
                  <c:v>ene</c:v>
                </c:pt>
                <c:pt idx="1">
                  <c:v>feb</c:v>
                </c:pt>
                <c:pt idx="2">
                  <c:v>marz</c:v>
                </c:pt>
                <c:pt idx="3">
                  <c:v>abr</c:v>
                </c:pt>
                <c:pt idx="4">
                  <c:v>may</c:v>
                </c:pt>
                <c:pt idx="5">
                  <c:v>jun</c:v>
                </c:pt>
                <c:pt idx="6">
                  <c:v>jul</c:v>
                </c:pt>
                <c:pt idx="7">
                  <c:v>agost</c:v>
                </c:pt>
                <c:pt idx="8">
                  <c:v>sept</c:v>
                </c:pt>
                <c:pt idx="9">
                  <c:v>oct</c:v>
                </c:pt>
                <c:pt idx="10">
                  <c:v>nov</c:v>
                </c:pt>
                <c:pt idx="11">
                  <c:v>dic</c:v>
                </c:pt>
              </c:strCache>
            </c:strRef>
          </c:cat>
          <c:val>
            <c:numRef>
              <c:f>'cagjcyl (30)'!$K$7:$K$18</c:f>
              <c:numCache>
                <c:formatCode>General</c:formatCode>
                <c:ptCount val="12"/>
                <c:pt idx="0">
                  <c:v>262.98</c:v>
                </c:pt>
                <c:pt idx="1">
                  <c:v>263.06</c:v>
                </c:pt>
                <c:pt idx="2">
                  <c:v>264.47000000000003</c:v>
                </c:pt>
                <c:pt idx="3">
                  <c:v>270.33999999999997</c:v>
                </c:pt>
                <c:pt idx="4">
                  <c:v>277.17</c:v>
                </c:pt>
                <c:pt idx="5">
                  <c:v>282.87</c:v>
                </c:pt>
                <c:pt idx="6">
                  <c:v>289.49</c:v>
                </c:pt>
                <c:pt idx="7">
                  <c:v>294.75</c:v>
                </c:pt>
                <c:pt idx="8">
                  <c:v>299.2</c:v>
                </c:pt>
                <c:pt idx="9">
                  <c:v>301.97000000000003</c:v>
                </c:pt>
                <c:pt idx="10">
                  <c:v>302.43</c:v>
                </c:pt>
              </c:numCache>
            </c:numRef>
          </c:val>
          <c:smooth val="0"/>
          <c:extLst>
            <c:ext xmlns:c16="http://schemas.microsoft.com/office/drawing/2014/chart" uri="{C3380CC4-5D6E-409C-BE32-E72D297353CC}">
              <c16:uniqueId val="{00000001-17D0-4011-9B4B-55CAF0AB2A0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75352560"/>
        <c:axId val="1875352080"/>
      </c:lineChart>
      <c:catAx>
        <c:axId val="18753525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ES"/>
          </a:p>
        </c:txPr>
        <c:crossAx val="1875352080"/>
        <c:crosses val="autoZero"/>
        <c:auto val="1"/>
        <c:lblAlgn val="ctr"/>
        <c:lblOffset val="100"/>
        <c:noMultiLvlLbl val="0"/>
      </c:catAx>
      <c:valAx>
        <c:axId val="1875352080"/>
        <c:scaling>
          <c:orientation val="minMax"/>
          <c:max val="40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S" sz="700">
                    <a:latin typeface="Arial" panose="020B0604020202020204" pitchFamily="34" charset="0"/>
                    <a:cs typeface="Arial" panose="020B0604020202020204" pitchFamily="34" charset="0"/>
                  </a:rPr>
                  <a:t>€/100 Kg vivo</a:t>
                </a:r>
              </a:p>
            </c:rich>
          </c:tx>
          <c:layout>
            <c:manualLayout>
              <c:xMode val="edge"/>
              <c:yMode val="edge"/>
              <c:x val="2.2222222222222223E-2"/>
              <c:y val="0.355617162438028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ES"/>
          </a:p>
        </c:txPr>
        <c:crossAx val="1875352560"/>
        <c:crosses val="autoZero"/>
        <c:crossBetween val="between"/>
        <c:majorUnit val="100"/>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chemeClr val="dk1">
                    <a:lumMod val="50000"/>
                    <a:lumOff val="50000"/>
                  </a:schemeClr>
                </a:solidFill>
                <a:latin typeface="+mn-lt"/>
                <a:ea typeface="+mn-ea"/>
                <a:cs typeface="+mn-cs"/>
              </a:defRPr>
            </a:pPr>
            <a:r>
              <a:rPr lang="es-ES" sz="1000">
                <a:latin typeface="Arial" panose="020B0604020202020204" pitchFamily="34" charset="0"/>
                <a:cs typeface="Arial" panose="020B0604020202020204" pitchFamily="34" charset="0"/>
              </a:rPr>
              <a:t>Precio cebada Castilla y León</a:t>
            </a:r>
          </a:p>
        </c:rich>
      </c:tx>
      <c:layout>
        <c:manualLayout>
          <c:xMode val="edge"/>
          <c:yMode val="edge"/>
          <c:x val="0.27446481861000255"/>
          <c:y val="4.9270390496962531E-2"/>
        </c:manualLayout>
      </c:layout>
      <c:overlay val="0"/>
      <c:spPr>
        <a:noFill/>
        <a:ln>
          <a:noFill/>
        </a:ln>
        <a:effectLst/>
      </c:spPr>
      <c:txPr>
        <a:bodyPr rot="0" spcFirstLastPara="1" vertOverflow="ellipsis" vert="horz" wrap="square" anchor="ctr" anchorCtr="1"/>
        <a:lstStyle/>
        <a:p>
          <a:pPr>
            <a:defRPr sz="10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Hoja1!$L$38</c:f>
              <c:strCache>
                <c:ptCount val="1"/>
                <c:pt idx="0">
                  <c:v>2024</c:v>
                </c:pt>
              </c:strCache>
            </c:strRef>
          </c:tx>
          <c:spPr>
            <a:ln w="22225" cap="rnd" cmpd="sng" algn="ctr">
              <a:solidFill>
                <a:schemeClr val="accent1"/>
              </a:solidFill>
              <a:round/>
            </a:ln>
            <a:effectLst/>
          </c:spPr>
          <c:marker>
            <c:symbol val="none"/>
          </c:marker>
          <c:cat>
            <c:strRef>
              <c:f>Hoja1!$K$39:$K$48</c:f>
              <c:strCache>
                <c:ptCount val="10"/>
                <c:pt idx="0">
                  <c:v>Ene</c:v>
                </c:pt>
                <c:pt idx="1">
                  <c:v>Feb</c:v>
                </c:pt>
                <c:pt idx="2">
                  <c:v>Mar</c:v>
                </c:pt>
                <c:pt idx="3">
                  <c:v>Abr</c:v>
                </c:pt>
                <c:pt idx="4">
                  <c:v>Jul</c:v>
                </c:pt>
                <c:pt idx="5">
                  <c:v>Ago</c:v>
                </c:pt>
                <c:pt idx="6">
                  <c:v>Sep</c:v>
                </c:pt>
                <c:pt idx="7">
                  <c:v>Oc</c:v>
                </c:pt>
                <c:pt idx="8">
                  <c:v>Nov</c:v>
                </c:pt>
                <c:pt idx="9">
                  <c:v>Dic</c:v>
                </c:pt>
              </c:strCache>
            </c:strRef>
          </c:cat>
          <c:val>
            <c:numRef>
              <c:f>Hoja1!$L$39:$L$48</c:f>
              <c:numCache>
                <c:formatCode>General</c:formatCode>
                <c:ptCount val="10"/>
                <c:pt idx="0">
                  <c:v>21.19</c:v>
                </c:pt>
                <c:pt idx="1">
                  <c:v>20.11</c:v>
                </c:pt>
                <c:pt idx="2">
                  <c:v>19.489999999999998</c:v>
                </c:pt>
                <c:pt idx="3">
                  <c:v>19.7</c:v>
                </c:pt>
                <c:pt idx="4">
                  <c:v>18.61</c:v>
                </c:pt>
                <c:pt idx="5">
                  <c:v>18.63</c:v>
                </c:pt>
                <c:pt idx="6">
                  <c:v>18.68</c:v>
                </c:pt>
                <c:pt idx="7">
                  <c:v>19.75</c:v>
                </c:pt>
                <c:pt idx="8">
                  <c:v>19.45</c:v>
                </c:pt>
                <c:pt idx="9">
                  <c:v>19.63</c:v>
                </c:pt>
              </c:numCache>
            </c:numRef>
          </c:val>
          <c:smooth val="0"/>
          <c:extLst>
            <c:ext xmlns:c16="http://schemas.microsoft.com/office/drawing/2014/chart" uri="{C3380CC4-5D6E-409C-BE32-E72D297353CC}">
              <c16:uniqueId val="{00000000-2B07-4E2F-995C-FC2D0374114A}"/>
            </c:ext>
          </c:extLst>
        </c:ser>
        <c:ser>
          <c:idx val="1"/>
          <c:order val="1"/>
          <c:tx>
            <c:strRef>
              <c:f>Hoja1!$M$38</c:f>
              <c:strCache>
                <c:ptCount val="1"/>
                <c:pt idx="0">
                  <c:v>2025</c:v>
                </c:pt>
              </c:strCache>
            </c:strRef>
          </c:tx>
          <c:spPr>
            <a:ln w="22225" cap="rnd" cmpd="sng" algn="ctr">
              <a:solidFill>
                <a:schemeClr val="accent2"/>
              </a:solidFill>
              <a:round/>
            </a:ln>
            <a:effectLst/>
          </c:spPr>
          <c:marker>
            <c:symbol val="none"/>
          </c:marker>
          <c:cat>
            <c:strRef>
              <c:f>Hoja1!$K$39:$K$48</c:f>
              <c:strCache>
                <c:ptCount val="10"/>
                <c:pt idx="0">
                  <c:v>Ene</c:v>
                </c:pt>
                <c:pt idx="1">
                  <c:v>Feb</c:v>
                </c:pt>
                <c:pt idx="2">
                  <c:v>Mar</c:v>
                </c:pt>
                <c:pt idx="3">
                  <c:v>Abr</c:v>
                </c:pt>
                <c:pt idx="4">
                  <c:v>Jul</c:v>
                </c:pt>
                <c:pt idx="5">
                  <c:v>Ago</c:v>
                </c:pt>
                <c:pt idx="6">
                  <c:v>Sep</c:v>
                </c:pt>
                <c:pt idx="7">
                  <c:v>Oc</c:v>
                </c:pt>
                <c:pt idx="8">
                  <c:v>Nov</c:v>
                </c:pt>
                <c:pt idx="9">
                  <c:v>Dic</c:v>
                </c:pt>
              </c:strCache>
            </c:strRef>
          </c:cat>
          <c:val>
            <c:numRef>
              <c:f>Hoja1!$M$39:$M$48</c:f>
              <c:numCache>
                <c:formatCode>General</c:formatCode>
                <c:ptCount val="10"/>
                <c:pt idx="0">
                  <c:v>20.94</c:v>
                </c:pt>
                <c:pt idx="1">
                  <c:v>21.13</c:v>
                </c:pt>
                <c:pt idx="2">
                  <c:v>20.45</c:v>
                </c:pt>
                <c:pt idx="3">
                  <c:v>19.48</c:v>
                </c:pt>
                <c:pt idx="4">
                  <c:v>17.72</c:v>
                </c:pt>
                <c:pt idx="5">
                  <c:v>17.670000000000002</c:v>
                </c:pt>
                <c:pt idx="6">
                  <c:v>17.600000000000001</c:v>
                </c:pt>
                <c:pt idx="7">
                  <c:v>17.84</c:v>
                </c:pt>
                <c:pt idx="8">
                  <c:v>18.73</c:v>
                </c:pt>
                <c:pt idx="9">
                  <c:v>18.32</c:v>
                </c:pt>
              </c:numCache>
            </c:numRef>
          </c:val>
          <c:smooth val="0"/>
          <c:extLst>
            <c:ext xmlns:c16="http://schemas.microsoft.com/office/drawing/2014/chart" uri="{C3380CC4-5D6E-409C-BE32-E72D297353CC}">
              <c16:uniqueId val="{00000001-2B07-4E2F-995C-FC2D0374114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08987199"/>
        <c:axId val="1308987679"/>
      </c:lineChart>
      <c:catAx>
        <c:axId val="130898719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308987679"/>
        <c:crosses val="autoZero"/>
        <c:auto val="1"/>
        <c:lblAlgn val="ctr"/>
        <c:lblOffset val="100"/>
        <c:noMultiLvlLbl val="0"/>
      </c:catAx>
      <c:valAx>
        <c:axId val="1308987679"/>
        <c:scaling>
          <c:orientation val="minMax"/>
          <c:min val="1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S"/>
                  <a:t>€/100 Kg</a:t>
                </a:r>
              </a:p>
            </c:rich>
          </c:tx>
          <c:layout>
            <c:manualLayout>
              <c:xMode val="edge"/>
              <c:yMode val="edge"/>
              <c:x val="1.6666666666666666E-2"/>
              <c:y val="0.3844943861184018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308987199"/>
        <c:crosses val="autoZero"/>
        <c:crossBetween val="between"/>
        <c:majorUnit val="5"/>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ES" sz="1100">
                <a:latin typeface="Arial" panose="020B0604020202020204" pitchFamily="34" charset="0"/>
                <a:cs typeface="Arial" panose="020B0604020202020204" pitchFamily="34" charset="0"/>
              </a:rPr>
              <a:t>Precio carne pollo</a:t>
            </a:r>
          </a:p>
        </c:rich>
      </c:tx>
      <c:layout>
        <c:manualLayout>
          <c:xMode val="edge"/>
          <c:yMode val="edge"/>
          <c:x val="0.41625263157894737"/>
          <c:y val="3.6199095022624438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'[pollo y conejo_Precios_Medios_Nacionales_2025 s50.xlsx]precio pollo 2025'!$AM$19</c:f>
              <c:strCache>
                <c:ptCount val="1"/>
                <c:pt idx="0">
                  <c:v>2024</c:v>
                </c:pt>
              </c:strCache>
            </c:strRef>
          </c:tx>
          <c:spPr>
            <a:ln w="22225" cap="rnd" cmpd="sng" algn="ctr">
              <a:solidFill>
                <a:schemeClr val="accent1"/>
              </a:solidFill>
              <a:round/>
            </a:ln>
            <a:effectLst/>
          </c:spPr>
          <c:marker>
            <c:symbol val="none"/>
          </c:marker>
          <c:cat>
            <c:strRef>
              <c:f>'[pollo y conejo_Precios_Medios_Nacionales_2025 s50.xlsx]precio pollo 2025'!$AL$20:$AL$31</c:f>
              <c:strCache>
                <c:ptCount val="12"/>
                <c:pt idx="0">
                  <c:v>en</c:v>
                </c:pt>
                <c:pt idx="1">
                  <c:v>feb</c:v>
                </c:pt>
                <c:pt idx="2">
                  <c:v>mar</c:v>
                </c:pt>
                <c:pt idx="3">
                  <c:v>abr</c:v>
                </c:pt>
                <c:pt idx="4">
                  <c:v>may</c:v>
                </c:pt>
                <c:pt idx="5">
                  <c:v>jun</c:v>
                </c:pt>
                <c:pt idx="6">
                  <c:v>jul</c:v>
                </c:pt>
                <c:pt idx="7">
                  <c:v>agos</c:v>
                </c:pt>
                <c:pt idx="8">
                  <c:v>sep</c:v>
                </c:pt>
                <c:pt idx="9">
                  <c:v>oct</c:v>
                </c:pt>
                <c:pt idx="10">
                  <c:v>nov</c:v>
                </c:pt>
                <c:pt idx="11">
                  <c:v>dic</c:v>
                </c:pt>
              </c:strCache>
            </c:strRef>
          </c:cat>
          <c:val>
            <c:numRef>
              <c:f>'[pollo y conejo_Precios_Medios_Nacionales_2025 s50.xlsx]precio pollo 2025'!$AM$20:$AM$31</c:f>
              <c:numCache>
                <c:formatCode>General</c:formatCode>
                <c:ptCount val="12"/>
                <c:pt idx="0">
                  <c:v>234.59799999999996</c:v>
                </c:pt>
                <c:pt idx="1">
                  <c:v>218.44500000000002</c:v>
                </c:pt>
                <c:pt idx="2">
                  <c:v>213.61999999999998</c:v>
                </c:pt>
                <c:pt idx="3">
                  <c:v>216.47000000000003</c:v>
                </c:pt>
                <c:pt idx="4">
                  <c:v>219.58250000000001</c:v>
                </c:pt>
                <c:pt idx="5">
                  <c:v>222.994</c:v>
                </c:pt>
                <c:pt idx="6">
                  <c:v>168.42</c:v>
                </c:pt>
                <c:pt idx="7">
                  <c:v>225.28749999999999</c:v>
                </c:pt>
                <c:pt idx="8">
                  <c:v>227.20499999999998</c:v>
                </c:pt>
                <c:pt idx="9">
                  <c:v>227.02249999999998</c:v>
                </c:pt>
                <c:pt idx="10">
                  <c:v>225.92</c:v>
                </c:pt>
                <c:pt idx="11">
                  <c:v>168.3775</c:v>
                </c:pt>
              </c:numCache>
            </c:numRef>
          </c:val>
          <c:smooth val="0"/>
          <c:extLst>
            <c:ext xmlns:c16="http://schemas.microsoft.com/office/drawing/2014/chart" uri="{C3380CC4-5D6E-409C-BE32-E72D297353CC}">
              <c16:uniqueId val="{00000000-C9D7-48B3-97AD-9B31BE0210BA}"/>
            </c:ext>
          </c:extLst>
        </c:ser>
        <c:ser>
          <c:idx val="1"/>
          <c:order val="1"/>
          <c:tx>
            <c:strRef>
              <c:f>'[pollo y conejo_Precios_Medios_Nacionales_2025 s50.xlsx]precio pollo 2025'!$AN$19</c:f>
              <c:strCache>
                <c:ptCount val="1"/>
                <c:pt idx="0">
                  <c:v>2025</c:v>
                </c:pt>
              </c:strCache>
            </c:strRef>
          </c:tx>
          <c:spPr>
            <a:ln w="22225" cap="rnd" cmpd="sng" algn="ctr">
              <a:solidFill>
                <a:schemeClr val="accent2"/>
              </a:solidFill>
              <a:round/>
            </a:ln>
            <a:effectLst/>
          </c:spPr>
          <c:marker>
            <c:symbol val="none"/>
          </c:marker>
          <c:cat>
            <c:strRef>
              <c:f>'[pollo y conejo_Precios_Medios_Nacionales_2025 s50.xlsx]precio pollo 2025'!$AL$20:$AL$31</c:f>
              <c:strCache>
                <c:ptCount val="12"/>
                <c:pt idx="0">
                  <c:v>en</c:v>
                </c:pt>
                <c:pt idx="1">
                  <c:v>feb</c:v>
                </c:pt>
                <c:pt idx="2">
                  <c:v>mar</c:v>
                </c:pt>
                <c:pt idx="3">
                  <c:v>abr</c:v>
                </c:pt>
                <c:pt idx="4">
                  <c:v>may</c:v>
                </c:pt>
                <c:pt idx="5">
                  <c:v>jun</c:v>
                </c:pt>
                <c:pt idx="6">
                  <c:v>jul</c:v>
                </c:pt>
                <c:pt idx="7">
                  <c:v>agos</c:v>
                </c:pt>
                <c:pt idx="8">
                  <c:v>sep</c:v>
                </c:pt>
                <c:pt idx="9">
                  <c:v>oct</c:v>
                </c:pt>
                <c:pt idx="10">
                  <c:v>nov</c:v>
                </c:pt>
                <c:pt idx="11">
                  <c:v>dic</c:v>
                </c:pt>
              </c:strCache>
            </c:strRef>
          </c:cat>
          <c:val>
            <c:numRef>
              <c:f>'[pollo y conejo_Precios_Medios_Nacionales_2025 s50.xlsx]precio pollo 2025'!$AN$20:$AN$31</c:f>
              <c:numCache>
                <c:formatCode>General</c:formatCode>
                <c:ptCount val="12"/>
                <c:pt idx="0" formatCode="0.00">
                  <c:v>219.84800000000001</c:v>
                </c:pt>
                <c:pt idx="1">
                  <c:v>217.28</c:v>
                </c:pt>
                <c:pt idx="2">
                  <c:v>223.82</c:v>
                </c:pt>
                <c:pt idx="3">
                  <c:v>231.72</c:v>
                </c:pt>
                <c:pt idx="4">
                  <c:v>234.15</c:v>
                </c:pt>
                <c:pt idx="5">
                  <c:v>236.15</c:v>
                </c:pt>
                <c:pt idx="6">
                  <c:v>235.92999999999998</c:v>
                </c:pt>
                <c:pt idx="7">
                  <c:v>236.13</c:v>
                </c:pt>
                <c:pt idx="8">
                  <c:v>235.71</c:v>
                </c:pt>
                <c:pt idx="9">
                  <c:v>235.96</c:v>
                </c:pt>
                <c:pt idx="10">
                  <c:v>234.25</c:v>
                </c:pt>
                <c:pt idx="11">
                  <c:v>228.64999999999998</c:v>
                </c:pt>
              </c:numCache>
            </c:numRef>
          </c:val>
          <c:smooth val="0"/>
          <c:extLst>
            <c:ext xmlns:c16="http://schemas.microsoft.com/office/drawing/2014/chart" uri="{C3380CC4-5D6E-409C-BE32-E72D297353CC}">
              <c16:uniqueId val="{00000001-C9D7-48B3-97AD-9B31BE0210B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719270303"/>
        <c:axId val="1719270783"/>
      </c:lineChart>
      <c:catAx>
        <c:axId val="1719270303"/>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719270783"/>
        <c:crosses val="autoZero"/>
        <c:auto val="1"/>
        <c:lblAlgn val="ctr"/>
        <c:lblOffset val="100"/>
        <c:noMultiLvlLbl val="0"/>
      </c:catAx>
      <c:valAx>
        <c:axId val="1719270783"/>
        <c:scaling>
          <c:orientation val="minMax"/>
          <c:min val="15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S" sz="800"/>
                  <a:t>€/100 Kg canal</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719270303"/>
        <c:crosses val="autoZero"/>
        <c:crossBetween val="between"/>
        <c:majorUnit val="20"/>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ES" sz="1100">
                <a:latin typeface="Arial" panose="020B0604020202020204" pitchFamily="34" charset="0"/>
                <a:cs typeface="Arial" panose="020B0604020202020204" pitchFamily="34" charset="0"/>
              </a:rPr>
              <a:t>Precio conejo 1,8 a 2,2 kg vivo </a:t>
            </a:r>
          </a:p>
        </c:rich>
      </c:tx>
      <c:layout>
        <c:manualLayout>
          <c:xMode val="edge"/>
          <c:yMode val="edge"/>
          <c:x val="0.26767850447265518"/>
          <c:y val="5.306799336650083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'precio conejo'!$I$16</c:f>
              <c:strCache>
                <c:ptCount val="1"/>
                <c:pt idx="0">
                  <c:v>2024</c:v>
                </c:pt>
              </c:strCache>
            </c:strRef>
          </c:tx>
          <c:spPr>
            <a:ln w="22225" cap="rnd" cmpd="sng" algn="ctr">
              <a:solidFill>
                <a:schemeClr val="accent1"/>
              </a:solidFill>
              <a:round/>
            </a:ln>
            <a:effectLst/>
          </c:spPr>
          <c:marker>
            <c:symbol val="none"/>
          </c:marker>
          <c:cat>
            <c:strRef>
              <c:f>'precio conejo'!$H$17:$H$28</c:f>
              <c:strCache>
                <c:ptCount val="12"/>
                <c:pt idx="0">
                  <c:v>en</c:v>
                </c:pt>
                <c:pt idx="1">
                  <c:v>feb</c:v>
                </c:pt>
                <c:pt idx="2">
                  <c:v>mar</c:v>
                </c:pt>
                <c:pt idx="3">
                  <c:v>abr</c:v>
                </c:pt>
                <c:pt idx="4">
                  <c:v>may</c:v>
                </c:pt>
                <c:pt idx="5">
                  <c:v>jun</c:v>
                </c:pt>
                <c:pt idx="6">
                  <c:v>jul</c:v>
                </c:pt>
                <c:pt idx="7">
                  <c:v>agos</c:v>
                </c:pt>
                <c:pt idx="8">
                  <c:v>sep</c:v>
                </c:pt>
                <c:pt idx="9">
                  <c:v>oct</c:v>
                </c:pt>
                <c:pt idx="10">
                  <c:v>nov</c:v>
                </c:pt>
                <c:pt idx="11">
                  <c:v>dic</c:v>
                </c:pt>
              </c:strCache>
            </c:strRef>
          </c:cat>
          <c:val>
            <c:numRef>
              <c:f>'precio conejo'!$I$17:$I$28</c:f>
              <c:numCache>
                <c:formatCode>General</c:formatCode>
                <c:ptCount val="12"/>
                <c:pt idx="0">
                  <c:v>244.63599999999997</c:v>
                </c:pt>
                <c:pt idx="1">
                  <c:v>237.01</c:v>
                </c:pt>
                <c:pt idx="2">
                  <c:v>236.57200000000003</c:v>
                </c:pt>
                <c:pt idx="3">
                  <c:v>232.5025</c:v>
                </c:pt>
                <c:pt idx="4">
                  <c:v>225.70500000000001</c:v>
                </c:pt>
                <c:pt idx="5">
                  <c:v>221.99799999999996</c:v>
                </c:pt>
                <c:pt idx="6">
                  <c:v>220.90500000000003</c:v>
                </c:pt>
                <c:pt idx="7">
                  <c:v>229.22799999999998</c:v>
                </c:pt>
                <c:pt idx="8">
                  <c:v>250.55500000000001</c:v>
                </c:pt>
                <c:pt idx="9">
                  <c:v>190.60999999999999</c:v>
                </c:pt>
                <c:pt idx="10">
                  <c:v>255.72749999999999</c:v>
                </c:pt>
                <c:pt idx="11">
                  <c:v>190.60999999999999</c:v>
                </c:pt>
              </c:numCache>
            </c:numRef>
          </c:val>
          <c:smooth val="0"/>
          <c:extLst>
            <c:ext xmlns:c16="http://schemas.microsoft.com/office/drawing/2014/chart" uri="{C3380CC4-5D6E-409C-BE32-E72D297353CC}">
              <c16:uniqueId val="{00000000-F5DF-49B3-966D-10961B26D1A5}"/>
            </c:ext>
          </c:extLst>
        </c:ser>
        <c:ser>
          <c:idx val="1"/>
          <c:order val="1"/>
          <c:tx>
            <c:strRef>
              <c:f>'precio conejo'!$J$16</c:f>
              <c:strCache>
                <c:ptCount val="1"/>
                <c:pt idx="0">
                  <c:v>2025</c:v>
                </c:pt>
              </c:strCache>
            </c:strRef>
          </c:tx>
          <c:spPr>
            <a:ln w="22225" cap="rnd" cmpd="sng" algn="ctr">
              <a:solidFill>
                <a:schemeClr val="accent2"/>
              </a:solidFill>
              <a:round/>
            </a:ln>
            <a:effectLst/>
          </c:spPr>
          <c:marker>
            <c:symbol val="none"/>
          </c:marker>
          <c:cat>
            <c:strRef>
              <c:f>'precio conejo'!$H$17:$H$28</c:f>
              <c:strCache>
                <c:ptCount val="12"/>
                <c:pt idx="0">
                  <c:v>en</c:v>
                </c:pt>
                <c:pt idx="1">
                  <c:v>feb</c:v>
                </c:pt>
                <c:pt idx="2">
                  <c:v>mar</c:v>
                </c:pt>
                <c:pt idx="3">
                  <c:v>abr</c:v>
                </c:pt>
                <c:pt idx="4">
                  <c:v>may</c:v>
                </c:pt>
                <c:pt idx="5">
                  <c:v>jun</c:v>
                </c:pt>
                <c:pt idx="6">
                  <c:v>jul</c:v>
                </c:pt>
                <c:pt idx="7">
                  <c:v>agos</c:v>
                </c:pt>
                <c:pt idx="8">
                  <c:v>sep</c:v>
                </c:pt>
                <c:pt idx="9">
                  <c:v>oct</c:v>
                </c:pt>
                <c:pt idx="10">
                  <c:v>nov</c:v>
                </c:pt>
                <c:pt idx="11">
                  <c:v>dic</c:v>
                </c:pt>
              </c:strCache>
            </c:strRef>
          </c:cat>
          <c:val>
            <c:numRef>
              <c:f>'precio conejo'!$J$17:$J$28</c:f>
              <c:numCache>
                <c:formatCode>General</c:formatCode>
                <c:ptCount val="12"/>
                <c:pt idx="0">
                  <c:v>237.142</c:v>
                </c:pt>
                <c:pt idx="1">
                  <c:v>238.83249999999998</c:v>
                </c:pt>
                <c:pt idx="2">
                  <c:v>247.66400000000004</c:v>
                </c:pt>
                <c:pt idx="3">
                  <c:v>251.435</c:v>
                </c:pt>
                <c:pt idx="4">
                  <c:v>245.04999999999998</c:v>
                </c:pt>
                <c:pt idx="5">
                  <c:v>241.43400000000003</c:v>
                </c:pt>
                <c:pt idx="6">
                  <c:v>234.19500000000002</c:v>
                </c:pt>
                <c:pt idx="7">
                  <c:v>261.47400000000005</c:v>
                </c:pt>
                <c:pt idx="8">
                  <c:v>268.5575</c:v>
                </c:pt>
                <c:pt idx="9">
                  <c:v>273.07500000000005</c:v>
                </c:pt>
                <c:pt idx="10">
                  <c:v>272.66750000000002</c:v>
                </c:pt>
                <c:pt idx="11">
                  <c:v>273.07500000000005</c:v>
                </c:pt>
              </c:numCache>
            </c:numRef>
          </c:val>
          <c:smooth val="0"/>
          <c:extLst>
            <c:ext xmlns:c16="http://schemas.microsoft.com/office/drawing/2014/chart" uri="{C3380CC4-5D6E-409C-BE32-E72D297353CC}">
              <c16:uniqueId val="{00000001-F5DF-49B3-966D-10961B26D1A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755407215"/>
        <c:axId val="1755404335"/>
      </c:lineChart>
      <c:catAx>
        <c:axId val="1755407215"/>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755404335"/>
        <c:crosses val="autoZero"/>
        <c:auto val="1"/>
        <c:lblAlgn val="ctr"/>
        <c:lblOffset val="100"/>
        <c:noMultiLvlLbl val="0"/>
      </c:catAx>
      <c:valAx>
        <c:axId val="1755404335"/>
        <c:scaling>
          <c:orientation val="minMax"/>
          <c:min val="15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S" sz="800"/>
                  <a:t>€/100 Kg vivo</a:t>
                </a:r>
              </a:p>
            </c:rich>
          </c:tx>
          <c:layout>
            <c:manualLayout>
              <c:xMode val="edge"/>
              <c:yMode val="edge"/>
              <c:x val="1.9444533718999412E-2"/>
              <c:y val="0.2984515741502461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755407215"/>
        <c:crosses val="autoZero"/>
        <c:crossBetween val="between"/>
        <c:majorUnit val="50"/>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sz="1100" b="0">
                <a:latin typeface="Arial" panose="020B0604020202020204" pitchFamily="34" charset="0"/>
                <a:cs typeface="Arial" panose="020B0604020202020204" pitchFamily="34" charset="0"/>
              </a:rPr>
              <a:t>Producción leche de vaca en Castilla y León </a:t>
            </a:r>
          </a:p>
        </c:rich>
      </c:tx>
      <c:layout>
        <c:manualLayout>
          <c:xMode val="edge"/>
          <c:yMode val="edge"/>
          <c:x val="0.21662904828362539"/>
          <c:y val="4.866739218573287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'producción leche vaca'!$C$27</c:f>
              <c:strCache>
                <c:ptCount val="1"/>
                <c:pt idx="0">
                  <c:v>2023</c:v>
                </c:pt>
              </c:strCache>
            </c:strRef>
          </c:tx>
          <c:spPr>
            <a:solidFill>
              <a:schemeClr val="tx2">
                <a:lumMod val="60000"/>
                <a:lumOff val="4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'producción leche vaca'!$B$28:$B$39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'producción leche vaca'!$C$28:$C$39</c:f>
              <c:numCache>
                <c:formatCode>General</c:formatCode>
                <c:ptCount val="12"/>
                <c:pt idx="0">
                  <c:v>77880</c:v>
                </c:pt>
                <c:pt idx="1">
                  <c:v>71107</c:v>
                </c:pt>
                <c:pt idx="2">
                  <c:v>79904</c:v>
                </c:pt>
                <c:pt idx="3">
                  <c:v>78313</c:v>
                </c:pt>
                <c:pt idx="4">
                  <c:v>81417</c:v>
                </c:pt>
                <c:pt idx="5">
                  <c:v>76803</c:v>
                </c:pt>
                <c:pt idx="6">
                  <c:v>78718</c:v>
                </c:pt>
                <c:pt idx="7">
                  <c:v>76605</c:v>
                </c:pt>
                <c:pt idx="8">
                  <c:v>73802</c:v>
                </c:pt>
                <c:pt idx="9">
                  <c:v>74708</c:v>
                </c:pt>
                <c:pt idx="10">
                  <c:v>71499</c:v>
                </c:pt>
                <c:pt idx="11">
                  <c:v>75304</c:v>
                </c:pt>
              </c:numCache>
            </c:numRef>
          </c:val>
          <c:extLst>
            <c:ext xmlns:c16="http://schemas.microsoft.com/office/drawing/2014/chart" uri="{C3380CC4-5D6E-409C-BE32-E72D297353CC}">
              <c16:uniqueId val="{00000000-1FAE-4F33-B0B0-8B01805E731A}"/>
            </c:ext>
          </c:extLst>
        </c:ser>
        <c:ser>
          <c:idx val="1"/>
          <c:order val="1"/>
          <c:tx>
            <c:strRef>
              <c:f>'producción leche vaca'!$D$27</c:f>
              <c:strCache>
                <c:ptCount val="1"/>
                <c:pt idx="0">
                  <c:v>2024</c:v>
                </c:pt>
              </c:strCache>
            </c:strRef>
          </c:tx>
          <c:spPr>
            <a:solidFill>
              <a:srgbClr val="FFC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'producción leche vaca'!$B$28:$B$39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'producción leche vaca'!$D$28:$D$39</c:f>
              <c:numCache>
                <c:formatCode>General</c:formatCode>
                <c:ptCount val="12"/>
                <c:pt idx="0">
                  <c:v>77798</c:v>
                </c:pt>
                <c:pt idx="1">
                  <c:v>74722</c:v>
                </c:pt>
                <c:pt idx="2">
                  <c:v>80375</c:v>
                </c:pt>
                <c:pt idx="3">
                  <c:v>78968</c:v>
                </c:pt>
                <c:pt idx="4">
                  <c:v>81713</c:v>
                </c:pt>
                <c:pt idx="5">
                  <c:v>77453</c:v>
                </c:pt>
                <c:pt idx="6">
                  <c:v>77543</c:v>
                </c:pt>
                <c:pt idx="7">
                  <c:v>75456</c:v>
                </c:pt>
                <c:pt idx="8">
                  <c:v>73230</c:v>
                </c:pt>
                <c:pt idx="9">
                  <c:v>74506</c:v>
                </c:pt>
                <c:pt idx="10">
                  <c:v>72021</c:v>
                </c:pt>
                <c:pt idx="11">
                  <c:v>75208</c:v>
                </c:pt>
              </c:numCache>
            </c:numRef>
          </c:val>
          <c:extLst>
            <c:ext xmlns:c16="http://schemas.microsoft.com/office/drawing/2014/chart" uri="{C3380CC4-5D6E-409C-BE32-E72D297353CC}">
              <c16:uniqueId val="{00000001-1FAE-4F33-B0B0-8B01805E731A}"/>
            </c:ext>
          </c:extLst>
        </c:ser>
        <c:ser>
          <c:idx val="2"/>
          <c:order val="2"/>
          <c:tx>
            <c:strRef>
              <c:f>'producción leche vaca'!$E$27</c:f>
              <c:strCache>
                <c:ptCount val="1"/>
                <c:pt idx="0">
                  <c:v>2025</c:v>
                </c:pt>
              </c:strCache>
            </c:strRef>
          </c:tx>
          <c:spPr>
            <a:solidFill>
              <a:srgbClr val="92D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'producción leche vaca'!$B$28:$B$39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'producción leche vaca'!$E$28:$E$39</c:f>
              <c:numCache>
                <c:formatCode>General</c:formatCode>
                <c:ptCount val="12"/>
                <c:pt idx="0">
                  <c:v>76051</c:v>
                </c:pt>
                <c:pt idx="1">
                  <c:v>70377</c:v>
                </c:pt>
                <c:pt idx="2">
                  <c:v>78084</c:v>
                </c:pt>
                <c:pt idx="3">
                  <c:v>77741</c:v>
                </c:pt>
                <c:pt idx="4">
                  <c:v>80360</c:v>
                </c:pt>
                <c:pt idx="5">
                  <c:v>76384</c:v>
                </c:pt>
                <c:pt idx="6">
                  <c:v>77998</c:v>
                </c:pt>
                <c:pt idx="7">
                  <c:v>75913</c:v>
                </c:pt>
                <c:pt idx="8">
                  <c:v>73853</c:v>
                </c:pt>
                <c:pt idx="9">
                  <c:v>75987</c:v>
                </c:pt>
              </c:numCache>
            </c:numRef>
          </c:val>
          <c:extLst>
            <c:ext xmlns:c16="http://schemas.microsoft.com/office/drawing/2014/chart" uri="{C3380CC4-5D6E-409C-BE32-E72D297353CC}">
              <c16:uniqueId val="{00000002-1FAE-4F33-B0B0-8B01805E731A}"/>
            </c:ext>
          </c:extLst>
        </c:ser>
        <c:dLbls>
          <c:showLegendKey val="0"/>
          <c:showVal val="0"/>
          <c:showCatName val="0"/>
          <c:showSerName val="0"/>
          <c:showPercent val="0"/>
          <c:showBubbleSize val="0"/>
        </c:dLbls>
        <c:gapWidth val="150"/>
        <c:shape val="box"/>
        <c:axId val="2071095375"/>
        <c:axId val="2071095855"/>
        <c:axId val="0"/>
      </c:bar3DChart>
      <c:catAx>
        <c:axId val="2071095375"/>
        <c:scaling>
          <c:orientation val="minMax"/>
        </c:scaling>
        <c:delete val="0"/>
        <c:axPos val="b"/>
        <c:title>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71095855"/>
        <c:crosses val="autoZero"/>
        <c:auto val="1"/>
        <c:lblAlgn val="ctr"/>
        <c:lblOffset val="100"/>
        <c:noMultiLvlLbl val="0"/>
      </c:catAx>
      <c:valAx>
        <c:axId val="2071095855"/>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ES" sz="1000">
                    <a:latin typeface="Arial" panose="020B0604020202020204" pitchFamily="34" charset="0"/>
                    <a:cs typeface="Arial" panose="020B0604020202020204" pitchFamily="34" charset="0"/>
                  </a:rPr>
                  <a:t>Toneladas</a:t>
                </a:r>
              </a:p>
            </c:rich>
          </c:tx>
          <c:layout>
            <c:manualLayout>
              <c:xMode val="edge"/>
              <c:yMode val="edge"/>
              <c:x val="3.8707786526684163E-2"/>
              <c:y val="0.3604888451443569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71095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ES" sz="1100">
                <a:latin typeface="Arial" panose="020B0604020202020204" pitchFamily="34" charset="0"/>
                <a:cs typeface="Arial" panose="020B0604020202020204" pitchFamily="34" charset="0"/>
              </a:rPr>
              <a:t>Precio medio de la leche de vaca en Castilla y León</a:t>
            </a:r>
          </a:p>
        </c:rich>
      </c:tx>
      <c:layout>
        <c:manualLayout>
          <c:xMode val="edge"/>
          <c:yMode val="edge"/>
          <c:x val="0.20093044619422573"/>
          <c:y val="2.7777777777777776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'precios leche vaca cyl_24-25'!$N$37</c:f>
              <c:strCache>
                <c:ptCount val="1"/>
                <c:pt idx="0">
                  <c:v>2024</c:v>
                </c:pt>
              </c:strCache>
            </c:strRef>
          </c:tx>
          <c:spPr>
            <a:ln w="22225" cap="rnd" cmpd="sng" algn="ctr">
              <a:solidFill>
                <a:schemeClr val="accent1"/>
              </a:solidFill>
              <a:round/>
            </a:ln>
            <a:effectLst/>
          </c:spPr>
          <c:marker>
            <c:symbol val="none"/>
          </c:marker>
          <c:cat>
            <c:strRef>
              <c:f>'precios leche vaca cyl_24-25'!$M$38:$M$49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'precios leche vaca cyl_24-25'!$N$38:$N$49</c:f>
              <c:numCache>
                <c:formatCode>0.000</c:formatCode>
                <c:ptCount val="12"/>
                <c:pt idx="0" formatCode="General">
                  <c:v>0.53</c:v>
                </c:pt>
                <c:pt idx="1">
                  <c:v>0.52569999999999995</c:v>
                </c:pt>
                <c:pt idx="2">
                  <c:v>0.5282</c:v>
                </c:pt>
                <c:pt idx="3">
                  <c:v>0.50129999999999997</c:v>
                </c:pt>
                <c:pt idx="4">
                  <c:v>0.49530000000000002</c:v>
                </c:pt>
                <c:pt idx="5">
                  <c:v>0.49149999999999999</c:v>
                </c:pt>
                <c:pt idx="6">
                  <c:v>0.4849</c:v>
                </c:pt>
                <c:pt idx="7">
                  <c:v>0.48459999999999998</c:v>
                </c:pt>
                <c:pt idx="8">
                  <c:v>0.495</c:v>
                </c:pt>
                <c:pt idx="9">
                  <c:v>0.50090000000000001</c:v>
                </c:pt>
                <c:pt idx="10">
                  <c:v>0.50529999999999997</c:v>
                </c:pt>
                <c:pt idx="11">
                  <c:v>0.50870000000000004</c:v>
                </c:pt>
              </c:numCache>
            </c:numRef>
          </c:val>
          <c:smooth val="0"/>
          <c:extLst>
            <c:ext xmlns:c16="http://schemas.microsoft.com/office/drawing/2014/chart" uri="{C3380CC4-5D6E-409C-BE32-E72D297353CC}">
              <c16:uniqueId val="{00000000-356B-4E9E-B92C-03040BCA8CCA}"/>
            </c:ext>
          </c:extLst>
        </c:ser>
        <c:ser>
          <c:idx val="1"/>
          <c:order val="1"/>
          <c:tx>
            <c:strRef>
              <c:f>'precios leche vaca cyl_24-25'!$O$37</c:f>
              <c:strCache>
                <c:ptCount val="1"/>
                <c:pt idx="0">
                  <c:v>2025</c:v>
                </c:pt>
              </c:strCache>
            </c:strRef>
          </c:tx>
          <c:spPr>
            <a:ln w="22225" cap="rnd" cmpd="sng" algn="ctr">
              <a:solidFill>
                <a:schemeClr val="accent2"/>
              </a:solidFill>
              <a:round/>
            </a:ln>
            <a:effectLst/>
          </c:spPr>
          <c:marker>
            <c:symbol val="none"/>
          </c:marker>
          <c:cat>
            <c:strRef>
              <c:f>'precios leche vaca cyl_24-25'!$M$38:$M$49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'precios leche vaca cyl_24-25'!$O$38:$O$49</c:f>
              <c:numCache>
                <c:formatCode>0.000</c:formatCode>
                <c:ptCount val="12"/>
                <c:pt idx="0">
                  <c:v>0.50629999999999997</c:v>
                </c:pt>
                <c:pt idx="1">
                  <c:v>0.50360000000000005</c:v>
                </c:pt>
                <c:pt idx="2">
                  <c:v>0.51359999999999995</c:v>
                </c:pt>
                <c:pt idx="3">
                  <c:v>0.51139999999999997</c:v>
                </c:pt>
                <c:pt idx="4">
                  <c:v>0.51090000000000002</c:v>
                </c:pt>
                <c:pt idx="5">
                  <c:v>0.50490000000000002</c:v>
                </c:pt>
                <c:pt idx="6">
                  <c:v>0.52390000000000003</c:v>
                </c:pt>
                <c:pt idx="7">
                  <c:v>0.53200000000000003</c:v>
                </c:pt>
                <c:pt idx="8">
                  <c:v>0.54469999999999996</c:v>
                </c:pt>
                <c:pt idx="9">
                  <c:v>0.55130000000000001</c:v>
                </c:pt>
                <c:pt idx="10">
                  <c:v>0.55530000000000002</c:v>
                </c:pt>
              </c:numCache>
            </c:numRef>
          </c:val>
          <c:smooth val="0"/>
          <c:extLst>
            <c:ext xmlns:c16="http://schemas.microsoft.com/office/drawing/2014/chart" uri="{C3380CC4-5D6E-409C-BE32-E72D297353CC}">
              <c16:uniqueId val="{00000001-356B-4E9E-B92C-03040BCA8CC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519893759"/>
        <c:axId val="1519895199"/>
      </c:lineChart>
      <c:catAx>
        <c:axId val="15198937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519895199"/>
        <c:crosses val="autoZero"/>
        <c:auto val="1"/>
        <c:lblAlgn val="ctr"/>
        <c:lblOffset val="100"/>
        <c:noMultiLvlLbl val="0"/>
      </c:catAx>
      <c:valAx>
        <c:axId val="1519895199"/>
        <c:scaling>
          <c:orientation val="minMax"/>
          <c:min val="0.2"/>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S"/>
                  <a:t> </a:t>
                </a:r>
                <a:r>
                  <a:rPr lang="es-ES" sz="700"/>
                  <a:t>€/litro</a:t>
                </a:r>
              </a:p>
            </c:rich>
          </c:tx>
          <c:layout>
            <c:manualLayout>
              <c:xMode val="edge"/>
              <c:yMode val="edge"/>
              <c:x val="2.8197410575476627E-2"/>
              <c:y val="0.4091021180491973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519893759"/>
        <c:crosses val="autoZero"/>
        <c:crossBetween val="between"/>
        <c:majorUnit val="0.1"/>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a:latin typeface="Arial" panose="020B0604020202020204" pitchFamily="34" charset="0"/>
                <a:cs typeface="Arial" panose="020B0604020202020204" pitchFamily="34" charset="0"/>
              </a:rPr>
              <a:t>Producción</a:t>
            </a:r>
            <a:r>
              <a:rPr lang="es-ES" sz="1200" baseline="0">
                <a:latin typeface="Arial" panose="020B0604020202020204" pitchFamily="34" charset="0"/>
                <a:cs typeface="Arial" panose="020B0604020202020204" pitchFamily="34" charset="0"/>
              </a:rPr>
              <a:t> leche de oveja en Castilla y León </a:t>
            </a:r>
            <a:endParaRPr lang="es-ES" sz="1200">
              <a:latin typeface="Arial" panose="020B0604020202020204" pitchFamily="34" charset="0"/>
              <a:cs typeface="Arial" panose="020B0604020202020204" pitchFamily="34" charset="0"/>
            </a:endParaRPr>
          </a:p>
        </c:rich>
      </c:tx>
      <c:layout>
        <c:manualLayout>
          <c:xMode val="edge"/>
          <c:yMode val="edge"/>
          <c:x val="0.23401377952755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ovino_producción!$G$6</c:f>
              <c:strCache>
                <c:ptCount val="1"/>
                <c:pt idx="0">
                  <c:v>2024</c:v>
                </c:pt>
              </c:strCache>
            </c:strRef>
          </c:tx>
          <c:spPr>
            <a:solidFill>
              <a:schemeClr val="accent5">
                <a:lumMod val="75000"/>
              </a:schemeClr>
            </a:solidFill>
            <a:ln>
              <a:noFill/>
            </a:ln>
            <a:effectLst/>
            <a:sp3d/>
          </c:spPr>
          <c:invertIfNegative val="0"/>
          <c:cat>
            <c:strRef>
              <c:f>ovino_producción!$F$7:$F$16</c:f>
              <c:strCache>
                <c:ptCount val="10"/>
                <c:pt idx="0">
                  <c:v>ene</c:v>
                </c:pt>
                <c:pt idx="1">
                  <c:v>feb</c:v>
                </c:pt>
                <c:pt idx="2">
                  <c:v>mar</c:v>
                </c:pt>
                <c:pt idx="3">
                  <c:v>abr</c:v>
                </c:pt>
                <c:pt idx="4">
                  <c:v>may</c:v>
                </c:pt>
                <c:pt idx="5">
                  <c:v>jun</c:v>
                </c:pt>
                <c:pt idx="6">
                  <c:v>jul</c:v>
                </c:pt>
                <c:pt idx="7">
                  <c:v>agos</c:v>
                </c:pt>
                <c:pt idx="8">
                  <c:v>sept</c:v>
                </c:pt>
                <c:pt idx="9">
                  <c:v>oct</c:v>
                </c:pt>
              </c:strCache>
            </c:strRef>
          </c:cat>
          <c:val>
            <c:numRef>
              <c:f>ovino_producción!$G$7:$G$16</c:f>
              <c:numCache>
                <c:formatCode>#,##0.00</c:formatCode>
                <c:ptCount val="10"/>
                <c:pt idx="0">
                  <c:v>14713</c:v>
                </c:pt>
                <c:pt idx="1">
                  <c:v>17595.599999999999</c:v>
                </c:pt>
                <c:pt idx="2">
                  <c:v>25258.400000000001</c:v>
                </c:pt>
                <c:pt idx="3">
                  <c:v>28622.2</c:v>
                </c:pt>
                <c:pt idx="4">
                  <c:v>31595.599999999999</c:v>
                </c:pt>
                <c:pt idx="5">
                  <c:v>29658.400000000001</c:v>
                </c:pt>
                <c:pt idx="6">
                  <c:v>27390.7</c:v>
                </c:pt>
                <c:pt idx="7">
                  <c:v>23128.1</c:v>
                </c:pt>
                <c:pt idx="8">
                  <c:v>18303.599999999999</c:v>
                </c:pt>
                <c:pt idx="9">
                  <c:v>14939</c:v>
                </c:pt>
              </c:numCache>
            </c:numRef>
          </c:val>
          <c:extLst>
            <c:ext xmlns:c16="http://schemas.microsoft.com/office/drawing/2014/chart" uri="{C3380CC4-5D6E-409C-BE32-E72D297353CC}">
              <c16:uniqueId val="{00000000-7866-4539-9E86-C48A15C3B6E5}"/>
            </c:ext>
          </c:extLst>
        </c:ser>
        <c:ser>
          <c:idx val="1"/>
          <c:order val="1"/>
          <c:tx>
            <c:strRef>
              <c:f>ovino_producción!$H$6</c:f>
              <c:strCache>
                <c:ptCount val="1"/>
                <c:pt idx="0">
                  <c:v>2025</c:v>
                </c:pt>
              </c:strCache>
            </c:strRef>
          </c:tx>
          <c:spPr>
            <a:solidFill>
              <a:schemeClr val="accent6">
                <a:lumMod val="60000"/>
                <a:lumOff val="40000"/>
              </a:schemeClr>
            </a:solidFill>
            <a:ln>
              <a:noFill/>
            </a:ln>
            <a:effectLst/>
            <a:sp3d/>
          </c:spPr>
          <c:invertIfNegative val="0"/>
          <c:cat>
            <c:strRef>
              <c:f>ovino_producción!$F$7:$F$16</c:f>
              <c:strCache>
                <c:ptCount val="10"/>
                <c:pt idx="0">
                  <c:v>ene</c:v>
                </c:pt>
                <c:pt idx="1">
                  <c:v>feb</c:v>
                </c:pt>
                <c:pt idx="2">
                  <c:v>mar</c:v>
                </c:pt>
                <c:pt idx="3">
                  <c:v>abr</c:v>
                </c:pt>
                <c:pt idx="4">
                  <c:v>may</c:v>
                </c:pt>
                <c:pt idx="5">
                  <c:v>jun</c:v>
                </c:pt>
                <c:pt idx="6">
                  <c:v>jul</c:v>
                </c:pt>
                <c:pt idx="7">
                  <c:v>agos</c:v>
                </c:pt>
                <c:pt idx="8">
                  <c:v>sept</c:v>
                </c:pt>
                <c:pt idx="9">
                  <c:v>oct</c:v>
                </c:pt>
              </c:strCache>
            </c:strRef>
          </c:cat>
          <c:val>
            <c:numRef>
              <c:f>ovino_producción!$H$7:$H$16</c:f>
              <c:numCache>
                <c:formatCode>#,##0.00</c:formatCode>
                <c:ptCount val="10"/>
                <c:pt idx="0">
                  <c:v>12638.4</c:v>
                </c:pt>
                <c:pt idx="1">
                  <c:v>16401.099999999999</c:v>
                </c:pt>
                <c:pt idx="2">
                  <c:v>24468.5</c:v>
                </c:pt>
                <c:pt idx="3">
                  <c:v>27663</c:v>
                </c:pt>
                <c:pt idx="4">
                  <c:v>30066.400000000001</c:v>
                </c:pt>
                <c:pt idx="5">
                  <c:v>28020.1</c:v>
                </c:pt>
                <c:pt idx="6">
                  <c:v>26070.3</c:v>
                </c:pt>
                <c:pt idx="7">
                  <c:v>22261.1</c:v>
                </c:pt>
                <c:pt idx="8">
                  <c:v>17824.5</c:v>
                </c:pt>
                <c:pt idx="9">
                  <c:v>14619.2</c:v>
                </c:pt>
              </c:numCache>
            </c:numRef>
          </c:val>
          <c:extLst>
            <c:ext xmlns:c16="http://schemas.microsoft.com/office/drawing/2014/chart" uri="{C3380CC4-5D6E-409C-BE32-E72D297353CC}">
              <c16:uniqueId val="{00000001-7866-4539-9E86-C48A15C3B6E5}"/>
            </c:ext>
          </c:extLst>
        </c:ser>
        <c:dLbls>
          <c:showLegendKey val="0"/>
          <c:showVal val="0"/>
          <c:showCatName val="0"/>
          <c:showSerName val="0"/>
          <c:showPercent val="0"/>
          <c:showBubbleSize val="0"/>
        </c:dLbls>
        <c:gapWidth val="150"/>
        <c:shape val="box"/>
        <c:axId val="1510054367"/>
        <c:axId val="1510057727"/>
        <c:axId val="0"/>
      </c:bar3DChart>
      <c:catAx>
        <c:axId val="15100543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10057727"/>
        <c:crosses val="autoZero"/>
        <c:auto val="1"/>
        <c:lblAlgn val="ctr"/>
        <c:lblOffset val="100"/>
        <c:noMultiLvlLbl val="0"/>
      </c:catAx>
      <c:valAx>
        <c:axId val="1510057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700">
                    <a:latin typeface="Arial" panose="020B0604020202020204" pitchFamily="34" charset="0"/>
                    <a:cs typeface="Arial" panose="020B0604020202020204" pitchFamily="34" charset="0"/>
                  </a:rPr>
                  <a:t>Miles de litros</a:t>
                </a:r>
              </a:p>
            </c:rich>
          </c:tx>
          <c:layout>
            <c:manualLayout>
              <c:xMode val="edge"/>
              <c:yMode val="edge"/>
              <c:x val="3.5801399825021882E-2"/>
              <c:y val="0.302424176144648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510054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ES" sz="1100">
                <a:latin typeface="Arial" panose="020B0604020202020204" pitchFamily="34" charset="0"/>
                <a:cs typeface="Arial" panose="020B0604020202020204" pitchFamily="34" charset="0"/>
              </a:rPr>
              <a:t>Precio medio leche de oveja en Castilla y León</a:t>
            </a:r>
          </a:p>
        </c:rich>
      </c:tx>
      <c:layout>
        <c:manualLayout>
          <c:xMode val="edge"/>
          <c:yMode val="edge"/>
          <c:x val="0.1812430940779084"/>
          <c:y val="4.3123261277733541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'precio leche oveja'!$P$31</c:f>
              <c:strCache>
                <c:ptCount val="1"/>
                <c:pt idx="0">
                  <c:v>2024</c:v>
                </c:pt>
              </c:strCache>
            </c:strRef>
          </c:tx>
          <c:spPr>
            <a:ln w="22225" cap="rnd" cmpd="sng" algn="ctr">
              <a:solidFill>
                <a:schemeClr val="accent1"/>
              </a:solidFill>
              <a:round/>
            </a:ln>
            <a:effectLst/>
          </c:spPr>
          <c:marker>
            <c:symbol val="none"/>
          </c:marker>
          <c:cat>
            <c:strRef>
              <c:f>'precio leche oveja'!$O$32:$O$43</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'precio leche oveja'!$P$32:$P$43</c:f>
              <c:numCache>
                <c:formatCode>General</c:formatCode>
                <c:ptCount val="12"/>
                <c:pt idx="0">
                  <c:v>1.4683000000000002</c:v>
                </c:pt>
                <c:pt idx="1">
                  <c:v>1.4347000000000001</c:v>
                </c:pt>
                <c:pt idx="2">
                  <c:v>1.3748</c:v>
                </c:pt>
                <c:pt idx="3">
                  <c:v>1.3169</c:v>
                </c:pt>
                <c:pt idx="4">
                  <c:v>1.3171999999999999</c:v>
                </c:pt>
                <c:pt idx="5">
                  <c:v>1.3184</c:v>
                </c:pt>
                <c:pt idx="6">
                  <c:v>1.2237</c:v>
                </c:pt>
                <c:pt idx="7">
                  <c:v>1.2472000000000001</c:v>
                </c:pt>
                <c:pt idx="8">
                  <c:v>1.3992</c:v>
                </c:pt>
                <c:pt idx="9">
                  <c:v>1.4097</c:v>
                </c:pt>
                <c:pt idx="10">
                  <c:v>1.4197</c:v>
                </c:pt>
                <c:pt idx="11">
                  <c:v>1.3285</c:v>
                </c:pt>
              </c:numCache>
            </c:numRef>
          </c:val>
          <c:smooth val="0"/>
          <c:extLst>
            <c:ext xmlns:c16="http://schemas.microsoft.com/office/drawing/2014/chart" uri="{C3380CC4-5D6E-409C-BE32-E72D297353CC}">
              <c16:uniqueId val="{00000000-7760-4615-9A09-ECA2EDB96F41}"/>
            </c:ext>
          </c:extLst>
        </c:ser>
        <c:ser>
          <c:idx val="1"/>
          <c:order val="1"/>
          <c:tx>
            <c:strRef>
              <c:f>'precio leche oveja'!$Q$31</c:f>
              <c:strCache>
                <c:ptCount val="1"/>
                <c:pt idx="0">
                  <c:v>2025</c:v>
                </c:pt>
              </c:strCache>
            </c:strRef>
          </c:tx>
          <c:spPr>
            <a:ln w="22225" cap="rnd" cmpd="sng" algn="ctr">
              <a:solidFill>
                <a:schemeClr val="accent2"/>
              </a:solidFill>
              <a:round/>
            </a:ln>
            <a:effectLst/>
          </c:spPr>
          <c:marker>
            <c:symbol val="none"/>
          </c:marker>
          <c:cat>
            <c:strRef>
              <c:f>'precio leche oveja'!$O$32:$O$43</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'precio leche oveja'!$Q$32:$Q$43</c:f>
              <c:numCache>
                <c:formatCode>General</c:formatCode>
                <c:ptCount val="12"/>
                <c:pt idx="0">
                  <c:v>1.2749999999999999</c:v>
                </c:pt>
                <c:pt idx="1">
                  <c:v>1.2313000000000001</c:v>
                </c:pt>
                <c:pt idx="2">
                  <c:v>1.1835</c:v>
                </c:pt>
                <c:pt idx="3">
                  <c:v>1.1124000000000001</c:v>
                </c:pt>
                <c:pt idx="4">
                  <c:v>1.1073999999999999</c:v>
                </c:pt>
                <c:pt idx="5">
                  <c:v>1.0964</c:v>
                </c:pt>
                <c:pt idx="6">
                  <c:v>1.1537999999999999</c:v>
                </c:pt>
                <c:pt idx="7">
                  <c:v>1.1878</c:v>
                </c:pt>
                <c:pt idx="8">
                  <c:v>1.2867</c:v>
                </c:pt>
                <c:pt idx="9">
                  <c:v>1.4129</c:v>
                </c:pt>
                <c:pt idx="10">
                  <c:v>1.4353</c:v>
                </c:pt>
              </c:numCache>
            </c:numRef>
          </c:val>
          <c:smooth val="0"/>
          <c:extLst>
            <c:ext xmlns:c16="http://schemas.microsoft.com/office/drawing/2014/chart" uri="{C3380CC4-5D6E-409C-BE32-E72D297353CC}">
              <c16:uniqueId val="{00000001-7760-4615-9A09-ECA2EDB96F4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48237231"/>
        <c:axId val="1348225231"/>
      </c:lineChart>
      <c:catAx>
        <c:axId val="1348237231"/>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348225231"/>
        <c:crosses val="autoZero"/>
        <c:auto val="1"/>
        <c:lblAlgn val="ctr"/>
        <c:lblOffset val="100"/>
        <c:noMultiLvlLbl val="0"/>
      </c:catAx>
      <c:valAx>
        <c:axId val="1348225231"/>
        <c:scaling>
          <c:orientation val="minMax"/>
          <c:max val="2"/>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S" sz="700"/>
                  <a:t>€/litro</a:t>
                </a:r>
              </a:p>
            </c:rich>
          </c:tx>
          <c:layout>
            <c:manualLayout>
              <c:xMode val="edge"/>
              <c:yMode val="edge"/>
              <c:x val="2.2222222222222223E-2"/>
              <c:y val="0.3838925342665500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348237231"/>
        <c:crosses val="autoZero"/>
        <c:crossBetween val="between"/>
        <c:majorUnit val="0.4"/>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Afiliados</a:t>
            </a:r>
            <a:r>
              <a:rPr lang="es-ES" baseline="0"/>
              <a:t> SS  CyL</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'Resumen Año 2025'!$B$4</c:f>
              <c:strCache>
                <c:ptCount val="1"/>
                <c:pt idx="0">
                  <c:v>Régimen General (actividad agricultura, ganadería, sivicultura y pesca)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'Resumen Año 2025'!$A$5:$A$28</c:f>
              <c:numCache>
                <c:formatCode>mmm\-yy</c:formatCode>
                <c:ptCount val="2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45413</c:v>
                </c:pt>
                <c:pt idx="17">
                  <c:v>45809</c:v>
                </c:pt>
                <c:pt idx="18">
                  <c:v>45839</c:v>
                </c:pt>
                <c:pt idx="19">
                  <c:v>45870</c:v>
                </c:pt>
                <c:pt idx="20">
                  <c:v>45901</c:v>
                </c:pt>
                <c:pt idx="21">
                  <c:v>45931</c:v>
                </c:pt>
                <c:pt idx="22">
                  <c:v>45962</c:v>
                </c:pt>
                <c:pt idx="23">
                  <c:v>45992</c:v>
                </c:pt>
              </c:numCache>
            </c:numRef>
          </c:cat>
          <c:val>
            <c:numRef>
              <c:f>'Resumen Año 2025'!$B$5:$B$28</c:f>
            </c:numRef>
          </c:val>
          <c:smooth val="0"/>
          <c:extLst>
            <c:ext xmlns:c16="http://schemas.microsoft.com/office/drawing/2014/chart" uri="{C3380CC4-5D6E-409C-BE32-E72D297353CC}">
              <c16:uniqueId val="{00000000-EC86-4C02-BF93-BE2F1FCF4FE9}"/>
            </c:ext>
          </c:extLst>
        </c:ser>
        <c:ser>
          <c:idx val="1"/>
          <c:order val="1"/>
          <c:tx>
            <c:strRef>
              <c:f>'Resumen Año 2025'!$C$4</c:f>
              <c:strCache>
                <c:ptCount val="1"/>
                <c:pt idx="0">
                  <c:v>Sistema Especial Agrario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'Resumen Año 2025'!$A$5:$A$28</c:f>
              <c:numCache>
                <c:formatCode>mmm\-yy</c:formatCode>
                <c:ptCount val="2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45413</c:v>
                </c:pt>
                <c:pt idx="17">
                  <c:v>45809</c:v>
                </c:pt>
                <c:pt idx="18">
                  <c:v>45839</c:v>
                </c:pt>
                <c:pt idx="19">
                  <c:v>45870</c:v>
                </c:pt>
                <c:pt idx="20">
                  <c:v>45901</c:v>
                </c:pt>
                <c:pt idx="21">
                  <c:v>45931</c:v>
                </c:pt>
                <c:pt idx="22">
                  <c:v>45962</c:v>
                </c:pt>
                <c:pt idx="23">
                  <c:v>45992</c:v>
                </c:pt>
              </c:numCache>
            </c:numRef>
          </c:cat>
          <c:val>
            <c:numRef>
              <c:f>'Resumen Año 2025'!$C$5:$C$28</c:f>
            </c:numRef>
          </c:val>
          <c:smooth val="0"/>
          <c:extLst>
            <c:ext xmlns:c16="http://schemas.microsoft.com/office/drawing/2014/chart" uri="{C3380CC4-5D6E-409C-BE32-E72D297353CC}">
              <c16:uniqueId val="{00000001-EC86-4C02-BF93-BE2F1FCF4FE9}"/>
            </c:ext>
          </c:extLst>
        </c:ser>
        <c:ser>
          <c:idx val="2"/>
          <c:order val="2"/>
          <c:tx>
            <c:strRef>
              <c:f>'Resumen Año 2025'!$D$4</c:f>
              <c:strCache>
                <c:ptCount val="1"/>
                <c:pt idx="0">
                  <c:v>Total Asalariados</c:v>
                </c:pt>
              </c:strCache>
            </c:strRef>
          </c:tx>
          <c:spPr>
            <a:ln w="28575" cap="rnd">
              <a:solidFill>
                <a:schemeClr val="accent3"/>
              </a:solidFill>
              <a:round/>
            </a:ln>
            <a:effectLst/>
          </c:spPr>
          <c:marker>
            <c:symbol val="none"/>
          </c:marker>
          <c:cat>
            <c:numRef>
              <c:f>'Resumen Año 2025'!$A$5:$A$28</c:f>
              <c:numCache>
                <c:formatCode>mmm\-yy</c:formatCode>
                <c:ptCount val="2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45413</c:v>
                </c:pt>
                <c:pt idx="17">
                  <c:v>45809</c:v>
                </c:pt>
                <c:pt idx="18">
                  <c:v>45839</c:v>
                </c:pt>
                <c:pt idx="19">
                  <c:v>45870</c:v>
                </c:pt>
                <c:pt idx="20">
                  <c:v>45901</c:v>
                </c:pt>
                <c:pt idx="21">
                  <c:v>45931</c:v>
                </c:pt>
                <c:pt idx="22">
                  <c:v>45962</c:v>
                </c:pt>
                <c:pt idx="23">
                  <c:v>45992</c:v>
                </c:pt>
              </c:numCache>
            </c:numRef>
          </c:cat>
          <c:val>
            <c:numRef>
              <c:f>'Resumen Año 2025'!$D$5:$D$28</c:f>
              <c:numCache>
                <c:formatCode>#,##0</c:formatCode>
                <c:ptCount val="24"/>
                <c:pt idx="0">
                  <c:v>21799</c:v>
                </c:pt>
                <c:pt idx="1">
                  <c:v>22807</c:v>
                </c:pt>
                <c:pt idx="2">
                  <c:v>22957</c:v>
                </c:pt>
                <c:pt idx="3">
                  <c:v>23133</c:v>
                </c:pt>
                <c:pt idx="4">
                  <c:v>24704</c:v>
                </c:pt>
                <c:pt idx="5">
                  <c:v>27372</c:v>
                </c:pt>
                <c:pt idx="6">
                  <c:v>29123</c:v>
                </c:pt>
                <c:pt idx="7">
                  <c:v>28395</c:v>
                </c:pt>
                <c:pt idx="8">
                  <c:v>30070</c:v>
                </c:pt>
                <c:pt idx="9">
                  <c:v>30195</c:v>
                </c:pt>
                <c:pt idx="10">
                  <c:v>23609</c:v>
                </c:pt>
                <c:pt idx="11">
                  <c:v>22985</c:v>
                </c:pt>
                <c:pt idx="12">
                  <c:v>22134</c:v>
                </c:pt>
                <c:pt idx="13">
                  <c:v>23109</c:v>
                </c:pt>
                <c:pt idx="14">
                  <c:v>23315</c:v>
                </c:pt>
                <c:pt idx="15">
                  <c:v>23558</c:v>
                </c:pt>
                <c:pt idx="16">
                  <c:v>25370</c:v>
                </c:pt>
                <c:pt idx="17">
                  <c:v>28671</c:v>
                </c:pt>
                <c:pt idx="18">
                  <c:v>30242</c:v>
                </c:pt>
                <c:pt idx="19">
                  <c:v>29397</c:v>
                </c:pt>
                <c:pt idx="20">
                  <c:v>31763</c:v>
                </c:pt>
                <c:pt idx="21">
                  <c:v>31094</c:v>
                </c:pt>
                <c:pt idx="22">
                  <c:v>24593</c:v>
                </c:pt>
                <c:pt idx="23">
                  <c:v>23722</c:v>
                </c:pt>
              </c:numCache>
            </c:numRef>
          </c:val>
          <c:smooth val="0"/>
          <c:extLst>
            <c:ext xmlns:c16="http://schemas.microsoft.com/office/drawing/2014/chart" uri="{C3380CC4-5D6E-409C-BE32-E72D297353CC}">
              <c16:uniqueId val="{00000002-EC86-4C02-BF93-BE2F1FCF4FE9}"/>
            </c:ext>
          </c:extLst>
        </c:ser>
        <c:ser>
          <c:idx val="3"/>
          <c:order val="3"/>
          <c:tx>
            <c:strRef>
              <c:f>'Resumen Año 2025'!$E$4</c:f>
              <c:strCache>
                <c:ptCount val="1"/>
                <c:pt idx="0">
                  <c:v>Régimen Especial de Trabajadores Autónomos (actividad agricultura, ganadería, sivicultura y pesca)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'Resumen Año 2025'!$A$5:$A$28</c:f>
              <c:numCache>
                <c:formatCode>mmm\-yy</c:formatCode>
                <c:ptCount val="2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45413</c:v>
                </c:pt>
                <c:pt idx="17">
                  <c:v>45809</c:v>
                </c:pt>
                <c:pt idx="18">
                  <c:v>45839</c:v>
                </c:pt>
                <c:pt idx="19">
                  <c:v>45870</c:v>
                </c:pt>
                <c:pt idx="20">
                  <c:v>45901</c:v>
                </c:pt>
                <c:pt idx="21">
                  <c:v>45931</c:v>
                </c:pt>
                <c:pt idx="22">
                  <c:v>45962</c:v>
                </c:pt>
                <c:pt idx="23">
                  <c:v>45992</c:v>
                </c:pt>
              </c:numCache>
            </c:numRef>
          </c:cat>
          <c:val>
            <c:numRef>
              <c:f>'Resumen Año 2025'!$E$5:$E$28</c:f>
            </c:numRef>
          </c:val>
          <c:smooth val="0"/>
          <c:extLst>
            <c:ext xmlns:c16="http://schemas.microsoft.com/office/drawing/2014/chart" uri="{C3380CC4-5D6E-409C-BE32-E72D297353CC}">
              <c16:uniqueId val="{00000003-EC86-4C02-BF93-BE2F1FCF4FE9}"/>
            </c:ext>
          </c:extLst>
        </c:ser>
        <c:ser>
          <c:idx val="4"/>
          <c:order val="4"/>
          <c:tx>
            <c:strRef>
              <c:f>'Resumen Año 2025'!$F$4</c:f>
              <c:strCache>
                <c:ptCount val="1"/>
                <c:pt idx="0">
                  <c:v>Sistema Especial de Trabajadores por cuenta propia agrarios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'Resumen Año 2025'!$A$5:$A$28</c:f>
              <c:numCache>
                <c:formatCode>mmm\-yy</c:formatCode>
                <c:ptCount val="2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45413</c:v>
                </c:pt>
                <c:pt idx="17">
                  <c:v>45809</c:v>
                </c:pt>
                <c:pt idx="18">
                  <c:v>45839</c:v>
                </c:pt>
                <c:pt idx="19">
                  <c:v>45870</c:v>
                </c:pt>
                <c:pt idx="20">
                  <c:v>45901</c:v>
                </c:pt>
                <c:pt idx="21">
                  <c:v>45931</c:v>
                </c:pt>
                <c:pt idx="22">
                  <c:v>45962</c:v>
                </c:pt>
                <c:pt idx="23">
                  <c:v>45992</c:v>
                </c:pt>
              </c:numCache>
            </c:numRef>
          </c:cat>
          <c:val>
            <c:numRef>
              <c:f>'Resumen Año 2025'!$F$5:$F$28</c:f>
            </c:numRef>
          </c:val>
          <c:smooth val="0"/>
          <c:extLst>
            <c:ext xmlns:c16="http://schemas.microsoft.com/office/drawing/2014/chart" uri="{C3380CC4-5D6E-409C-BE32-E72D297353CC}">
              <c16:uniqueId val="{00000004-EC86-4C02-BF93-BE2F1FCF4FE9}"/>
            </c:ext>
          </c:extLst>
        </c:ser>
        <c:ser>
          <c:idx val="5"/>
          <c:order val="5"/>
          <c:tx>
            <c:strRef>
              <c:f>'Resumen Año 2025'!$G$4</c:f>
              <c:strCache>
                <c:ptCount val="1"/>
                <c:pt idx="0">
                  <c:v>Total Autónomos</c:v>
                </c:pt>
              </c:strCache>
            </c:strRef>
          </c:tx>
          <c:spPr>
            <a:ln w="28575" cap="rnd">
              <a:solidFill>
                <a:schemeClr val="accent6"/>
              </a:solidFill>
              <a:round/>
            </a:ln>
            <a:effectLst/>
          </c:spPr>
          <c:marker>
            <c:symbol val="none"/>
          </c:marker>
          <c:cat>
            <c:numRef>
              <c:f>'Resumen Año 2025'!$A$5:$A$28</c:f>
              <c:numCache>
                <c:formatCode>mmm\-yy</c:formatCode>
                <c:ptCount val="2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45413</c:v>
                </c:pt>
                <c:pt idx="17">
                  <c:v>45809</c:v>
                </c:pt>
                <c:pt idx="18">
                  <c:v>45839</c:v>
                </c:pt>
                <c:pt idx="19">
                  <c:v>45870</c:v>
                </c:pt>
                <c:pt idx="20">
                  <c:v>45901</c:v>
                </c:pt>
                <c:pt idx="21">
                  <c:v>45931</c:v>
                </c:pt>
                <c:pt idx="22">
                  <c:v>45962</c:v>
                </c:pt>
                <c:pt idx="23">
                  <c:v>45992</c:v>
                </c:pt>
              </c:numCache>
            </c:numRef>
          </c:cat>
          <c:val>
            <c:numRef>
              <c:f>'Resumen Año 2025'!$G$5:$G$28</c:f>
              <c:numCache>
                <c:formatCode>#,##0</c:formatCode>
                <c:ptCount val="24"/>
                <c:pt idx="0">
                  <c:v>37336</c:v>
                </c:pt>
                <c:pt idx="1">
                  <c:v>37306</c:v>
                </c:pt>
                <c:pt idx="2">
                  <c:v>37325</c:v>
                </c:pt>
                <c:pt idx="3">
                  <c:v>37357</c:v>
                </c:pt>
                <c:pt idx="4">
                  <c:v>37356</c:v>
                </c:pt>
                <c:pt idx="5">
                  <c:v>37342</c:v>
                </c:pt>
                <c:pt idx="6">
                  <c:v>37289</c:v>
                </c:pt>
                <c:pt idx="7">
                  <c:v>37197</c:v>
                </c:pt>
                <c:pt idx="8">
                  <c:v>37106</c:v>
                </c:pt>
                <c:pt idx="9">
                  <c:v>36998</c:v>
                </c:pt>
                <c:pt idx="10">
                  <c:v>36859</c:v>
                </c:pt>
                <c:pt idx="11">
                  <c:v>36692</c:v>
                </c:pt>
                <c:pt idx="12">
                  <c:v>36509</c:v>
                </c:pt>
                <c:pt idx="13">
                  <c:v>36474</c:v>
                </c:pt>
                <c:pt idx="14">
                  <c:v>36510</c:v>
                </c:pt>
                <c:pt idx="15">
                  <c:v>36557</c:v>
                </c:pt>
                <c:pt idx="16">
                  <c:v>36591</c:v>
                </c:pt>
                <c:pt idx="17">
                  <c:v>36546</c:v>
                </c:pt>
                <c:pt idx="18">
                  <c:v>36526</c:v>
                </c:pt>
                <c:pt idx="19">
                  <c:v>36390</c:v>
                </c:pt>
                <c:pt idx="20">
                  <c:v>36296</c:v>
                </c:pt>
                <c:pt idx="21">
                  <c:v>36190</c:v>
                </c:pt>
                <c:pt idx="22">
                  <c:v>36086</c:v>
                </c:pt>
                <c:pt idx="23">
                  <c:v>35938</c:v>
                </c:pt>
              </c:numCache>
            </c:numRef>
          </c:val>
          <c:smooth val="0"/>
          <c:extLst>
            <c:ext xmlns:c16="http://schemas.microsoft.com/office/drawing/2014/chart" uri="{C3380CC4-5D6E-409C-BE32-E72D297353CC}">
              <c16:uniqueId val="{00000005-EC86-4C02-BF93-BE2F1FCF4FE9}"/>
            </c:ext>
          </c:extLst>
        </c:ser>
        <c:dLbls>
          <c:showLegendKey val="0"/>
          <c:showVal val="0"/>
          <c:showCatName val="0"/>
          <c:showSerName val="0"/>
          <c:showPercent val="0"/>
          <c:showBubbleSize val="0"/>
        </c:dLbls>
        <c:smooth val="0"/>
        <c:axId val="2111004992"/>
        <c:axId val="1599899632"/>
      </c:lineChart>
      <c:dateAx>
        <c:axId val="211100499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99899632"/>
        <c:crosses val="autoZero"/>
        <c:auto val="1"/>
        <c:lblOffset val="100"/>
        <c:baseTimeUnit val="days"/>
      </c:dateAx>
      <c:valAx>
        <c:axId val="1599899632"/>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1100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Asalariados CyL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'Resumen Año 2025'!$U$11</c:f>
              <c:strCache>
                <c:ptCount val="1"/>
                <c:pt idx="0">
                  <c:v>2024</c:v>
                </c:pt>
              </c:strCache>
            </c:strRef>
          </c:tx>
          <c:spPr>
            <a:ln w="28575" cap="rnd">
              <a:solidFill>
                <a:schemeClr val="accent1"/>
              </a:solidFill>
              <a:round/>
            </a:ln>
            <a:effectLst/>
          </c:spPr>
          <c:marker>
            <c:symbol val="none"/>
          </c:marker>
          <c:cat>
            <c:strRef>
              <c:f>'Resumen Año 2025'!$T$12:$T$23</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'Resumen Año 2025'!$U$12:$U$23</c:f>
              <c:numCache>
                <c:formatCode>General</c:formatCode>
                <c:ptCount val="12"/>
                <c:pt idx="0">
                  <c:v>21799</c:v>
                </c:pt>
                <c:pt idx="1">
                  <c:v>22807</c:v>
                </c:pt>
                <c:pt idx="2">
                  <c:v>22957</c:v>
                </c:pt>
                <c:pt idx="3">
                  <c:v>23133</c:v>
                </c:pt>
                <c:pt idx="4">
                  <c:v>24704</c:v>
                </c:pt>
                <c:pt idx="5">
                  <c:v>27372</c:v>
                </c:pt>
                <c:pt idx="6">
                  <c:v>29123</c:v>
                </c:pt>
                <c:pt idx="7">
                  <c:v>28395</c:v>
                </c:pt>
                <c:pt idx="8">
                  <c:v>30070</c:v>
                </c:pt>
                <c:pt idx="9">
                  <c:v>30195</c:v>
                </c:pt>
                <c:pt idx="10">
                  <c:v>23609</c:v>
                </c:pt>
                <c:pt idx="11">
                  <c:v>22985</c:v>
                </c:pt>
              </c:numCache>
            </c:numRef>
          </c:val>
          <c:smooth val="0"/>
          <c:extLst>
            <c:ext xmlns:c16="http://schemas.microsoft.com/office/drawing/2014/chart" uri="{C3380CC4-5D6E-409C-BE32-E72D297353CC}">
              <c16:uniqueId val="{00000000-82BA-4E2F-A2D9-5DE772098F74}"/>
            </c:ext>
          </c:extLst>
        </c:ser>
        <c:ser>
          <c:idx val="1"/>
          <c:order val="1"/>
          <c:tx>
            <c:strRef>
              <c:f>'Resumen Año 2025'!$V$11</c:f>
              <c:strCache>
                <c:ptCount val="1"/>
                <c:pt idx="0">
                  <c:v>2025</c:v>
                </c:pt>
              </c:strCache>
            </c:strRef>
          </c:tx>
          <c:spPr>
            <a:ln w="28575" cap="rnd">
              <a:solidFill>
                <a:schemeClr val="accent2"/>
              </a:solidFill>
              <a:round/>
            </a:ln>
            <a:effectLst/>
          </c:spPr>
          <c:marker>
            <c:symbol val="none"/>
          </c:marker>
          <c:cat>
            <c:strRef>
              <c:f>'Resumen Año 2025'!$T$12:$T$23</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'Resumen Año 2025'!$V$12:$V$23</c:f>
              <c:numCache>
                <c:formatCode>General</c:formatCode>
                <c:ptCount val="12"/>
                <c:pt idx="0">
                  <c:v>22134</c:v>
                </c:pt>
                <c:pt idx="1">
                  <c:v>23109</c:v>
                </c:pt>
                <c:pt idx="2">
                  <c:v>23315</c:v>
                </c:pt>
                <c:pt idx="3">
                  <c:v>23558</c:v>
                </c:pt>
                <c:pt idx="4">
                  <c:v>25370</c:v>
                </c:pt>
                <c:pt idx="5">
                  <c:v>28671</c:v>
                </c:pt>
                <c:pt idx="6">
                  <c:v>30242</c:v>
                </c:pt>
                <c:pt idx="7">
                  <c:v>29397</c:v>
                </c:pt>
                <c:pt idx="8">
                  <c:v>31763</c:v>
                </c:pt>
                <c:pt idx="9">
                  <c:v>31094</c:v>
                </c:pt>
                <c:pt idx="10">
                  <c:v>24593</c:v>
                </c:pt>
                <c:pt idx="11">
                  <c:v>23722</c:v>
                </c:pt>
              </c:numCache>
            </c:numRef>
          </c:val>
          <c:smooth val="0"/>
          <c:extLst>
            <c:ext xmlns:c16="http://schemas.microsoft.com/office/drawing/2014/chart" uri="{C3380CC4-5D6E-409C-BE32-E72D297353CC}">
              <c16:uniqueId val="{00000001-82BA-4E2F-A2D9-5DE772098F74}"/>
            </c:ext>
          </c:extLst>
        </c:ser>
        <c:dLbls>
          <c:showLegendKey val="0"/>
          <c:showVal val="0"/>
          <c:showCatName val="0"/>
          <c:showSerName val="0"/>
          <c:showPercent val="0"/>
          <c:showBubbleSize val="0"/>
        </c:dLbls>
        <c:smooth val="0"/>
        <c:axId val="1505891664"/>
        <c:axId val="1505889264"/>
      </c:lineChart>
      <c:catAx>
        <c:axId val="150589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05889264"/>
        <c:crosses val="autoZero"/>
        <c:auto val="1"/>
        <c:lblAlgn val="ctr"/>
        <c:lblOffset val="100"/>
        <c:noMultiLvlLbl val="0"/>
      </c:catAx>
      <c:valAx>
        <c:axId val="1505889264"/>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05891664"/>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Autónomos CyL</a:t>
            </a:r>
          </a:p>
        </c:rich>
      </c:tx>
      <c:layout>
        <c:manualLayout>
          <c:xMode val="edge"/>
          <c:yMode val="edge"/>
          <c:x val="0.34594061185282071"/>
          <c:y val="3.6105730901428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'Resumen Año 2025'!$U$27</c:f>
              <c:strCache>
                <c:ptCount val="1"/>
                <c:pt idx="0">
                  <c:v>2024</c:v>
                </c:pt>
              </c:strCache>
            </c:strRef>
          </c:tx>
          <c:spPr>
            <a:ln w="28575" cap="rnd">
              <a:solidFill>
                <a:schemeClr val="accent1"/>
              </a:solidFill>
              <a:round/>
            </a:ln>
            <a:effectLst/>
          </c:spPr>
          <c:marker>
            <c:symbol val="none"/>
          </c:marker>
          <c:cat>
            <c:strRef>
              <c:f>'Resumen Año 2025'!$T$28:$T$39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'Resumen Año 2025'!$U$28:$U$39</c:f>
              <c:numCache>
                <c:formatCode>General</c:formatCode>
                <c:ptCount val="12"/>
                <c:pt idx="0">
                  <c:v>37336</c:v>
                </c:pt>
                <c:pt idx="1">
                  <c:v>37306</c:v>
                </c:pt>
                <c:pt idx="2">
                  <c:v>37325</c:v>
                </c:pt>
                <c:pt idx="3">
                  <c:v>37357</c:v>
                </c:pt>
                <c:pt idx="4">
                  <c:v>37356</c:v>
                </c:pt>
                <c:pt idx="5">
                  <c:v>37342</c:v>
                </c:pt>
                <c:pt idx="6">
                  <c:v>37289</c:v>
                </c:pt>
                <c:pt idx="7">
                  <c:v>37197</c:v>
                </c:pt>
                <c:pt idx="8">
                  <c:v>37106</c:v>
                </c:pt>
                <c:pt idx="9">
                  <c:v>36998</c:v>
                </c:pt>
                <c:pt idx="10">
                  <c:v>36859</c:v>
                </c:pt>
                <c:pt idx="11">
                  <c:v>36692</c:v>
                </c:pt>
              </c:numCache>
            </c:numRef>
          </c:val>
          <c:smooth val="0"/>
          <c:extLst>
            <c:ext xmlns:c16="http://schemas.microsoft.com/office/drawing/2014/chart" uri="{C3380CC4-5D6E-409C-BE32-E72D297353CC}">
              <c16:uniqueId val="{00000000-21B9-4E61-8D86-29973FD599CA}"/>
            </c:ext>
          </c:extLst>
        </c:ser>
        <c:ser>
          <c:idx val="1"/>
          <c:order val="1"/>
          <c:tx>
            <c:strRef>
              <c:f>'Resumen Año 2025'!$V$27</c:f>
              <c:strCache>
                <c:ptCount val="1"/>
                <c:pt idx="0">
                  <c:v>2025</c:v>
                </c:pt>
              </c:strCache>
            </c:strRef>
          </c:tx>
          <c:spPr>
            <a:ln w="28575" cap="rnd">
              <a:solidFill>
                <a:schemeClr val="accent2"/>
              </a:solidFill>
              <a:round/>
            </a:ln>
            <a:effectLst/>
          </c:spPr>
          <c:marker>
            <c:symbol val="none"/>
          </c:marker>
          <c:cat>
            <c:strRef>
              <c:f>'Resumen Año 2025'!$T$28:$T$39</c:f>
              <c:strCache>
                <c:ptCount val="12"/>
                <c:pt idx="0">
                  <c:v>ene</c:v>
                </c:pt>
                <c:pt idx="1">
                  <c:v>feb</c:v>
                </c:pt>
                <c:pt idx="2">
                  <c:v>mar</c:v>
                </c:pt>
                <c:pt idx="3">
                  <c:v>abr</c:v>
                </c:pt>
                <c:pt idx="4">
                  <c:v>may</c:v>
                </c:pt>
                <c:pt idx="5">
                  <c:v>jun</c:v>
                </c:pt>
                <c:pt idx="6">
                  <c:v>jul</c:v>
                </c:pt>
                <c:pt idx="7">
                  <c:v>ago</c:v>
                </c:pt>
                <c:pt idx="8">
                  <c:v>sept</c:v>
                </c:pt>
                <c:pt idx="9">
                  <c:v>oct</c:v>
                </c:pt>
                <c:pt idx="10">
                  <c:v>nov</c:v>
                </c:pt>
                <c:pt idx="11">
                  <c:v>dic</c:v>
                </c:pt>
              </c:strCache>
            </c:strRef>
          </c:cat>
          <c:val>
            <c:numRef>
              <c:f>'Resumen Año 2025'!$V$28:$V$39</c:f>
              <c:numCache>
                <c:formatCode>General</c:formatCode>
                <c:ptCount val="12"/>
                <c:pt idx="0">
                  <c:v>36509</c:v>
                </c:pt>
                <c:pt idx="1">
                  <c:v>36474</c:v>
                </c:pt>
                <c:pt idx="2">
                  <c:v>36510</c:v>
                </c:pt>
                <c:pt idx="3">
                  <c:v>36557</c:v>
                </c:pt>
                <c:pt idx="4">
                  <c:v>36591</c:v>
                </c:pt>
                <c:pt idx="5">
                  <c:v>36546</c:v>
                </c:pt>
                <c:pt idx="6">
                  <c:v>36526</c:v>
                </c:pt>
                <c:pt idx="7">
                  <c:v>36390</c:v>
                </c:pt>
                <c:pt idx="8">
                  <c:v>36296</c:v>
                </c:pt>
                <c:pt idx="9">
                  <c:v>36190</c:v>
                </c:pt>
                <c:pt idx="10">
                  <c:v>36086</c:v>
                </c:pt>
                <c:pt idx="11">
                  <c:v>35938</c:v>
                </c:pt>
              </c:numCache>
            </c:numRef>
          </c:val>
          <c:smooth val="0"/>
          <c:extLst>
            <c:ext xmlns:c16="http://schemas.microsoft.com/office/drawing/2014/chart" uri="{C3380CC4-5D6E-409C-BE32-E72D297353CC}">
              <c16:uniqueId val="{00000001-21B9-4E61-8D86-29973FD599CA}"/>
            </c:ext>
          </c:extLst>
        </c:ser>
        <c:dLbls>
          <c:showLegendKey val="0"/>
          <c:showVal val="0"/>
          <c:showCatName val="0"/>
          <c:showSerName val="0"/>
          <c:showPercent val="0"/>
          <c:showBubbleSize val="0"/>
        </c:dLbls>
        <c:smooth val="0"/>
        <c:axId val="1599621088"/>
        <c:axId val="1599625888"/>
      </c:lineChart>
      <c:catAx>
        <c:axId val="159962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99625888"/>
        <c:crosses val="autoZero"/>
        <c:auto val="1"/>
        <c:lblAlgn val="ctr"/>
        <c:lblOffset val="100"/>
        <c:noMultiLvlLbl val="0"/>
      </c:catAx>
      <c:valAx>
        <c:axId val="1599625888"/>
        <c:scaling>
          <c:orientation val="minMax"/>
          <c:max val="40000"/>
          <c:min val="3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9962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00">
                <a:latin typeface="Arial" panose="020B0604020202020204" pitchFamily="34" charset="0"/>
                <a:cs typeface="Arial" panose="020B0604020202020204" pitchFamily="34" charset="0"/>
              </a:rPr>
              <a:t>Precio avena Castilla y León</a:t>
            </a:r>
          </a:p>
        </c:rich>
      </c:tx>
      <c:layout>
        <c:manualLayout>
          <c:xMode val="edge"/>
          <c:yMode val="edge"/>
          <c:x val="0.25860047770845251"/>
          <c:y val="4.12981044036162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Hoja1!$I$37</c:f>
              <c:strCache>
                <c:ptCount val="1"/>
                <c:pt idx="0">
                  <c:v>2024</c:v>
                </c:pt>
              </c:strCache>
            </c:strRef>
          </c:tx>
          <c:spPr>
            <a:ln w="28575" cap="rnd">
              <a:solidFill>
                <a:schemeClr val="accent1"/>
              </a:solidFill>
              <a:round/>
            </a:ln>
            <a:effectLst/>
          </c:spPr>
          <c:marker>
            <c:symbol val="none"/>
          </c:marker>
          <c:cat>
            <c:strRef>
              <c:f>Hoja1!$H$38:$H$47</c:f>
              <c:strCache>
                <c:ptCount val="10"/>
                <c:pt idx="0">
                  <c:v>Ene</c:v>
                </c:pt>
                <c:pt idx="1">
                  <c:v>Feb</c:v>
                </c:pt>
                <c:pt idx="2">
                  <c:v>Mar</c:v>
                </c:pt>
                <c:pt idx="3">
                  <c:v>Abr</c:v>
                </c:pt>
                <c:pt idx="4">
                  <c:v>Jul</c:v>
                </c:pt>
                <c:pt idx="5">
                  <c:v>Ago</c:v>
                </c:pt>
                <c:pt idx="6">
                  <c:v>Sep</c:v>
                </c:pt>
                <c:pt idx="7">
                  <c:v>Oc</c:v>
                </c:pt>
                <c:pt idx="8">
                  <c:v>Nov</c:v>
                </c:pt>
                <c:pt idx="9">
                  <c:v>Dic</c:v>
                </c:pt>
              </c:strCache>
            </c:strRef>
          </c:cat>
          <c:val>
            <c:numRef>
              <c:f>Hoja1!$I$38:$I$47</c:f>
              <c:numCache>
                <c:formatCode>General</c:formatCode>
                <c:ptCount val="10"/>
                <c:pt idx="0">
                  <c:v>25.93</c:v>
                </c:pt>
                <c:pt idx="1">
                  <c:v>25.58</c:v>
                </c:pt>
                <c:pt idx="2">
                  <c:v>25.43</c:v>
                </c:pt>
                <c:pt idx="3">
                  <c:v>25.9</c:v>
                </c:pt>
                <c:pt idx="4">
                  <c:v>20.11</c:v>
                </c:pt>
                <c:pt idx="5">
                  <c:v>18.46</c:v>
                </c:pt>
                <c:pt idx="6">
                  <c:v>17.989999999999998</c:v>
                </c:pt>
                <c:pt idx="7">
                  <c:v>18.45</c:v>
                </c:pt>
                <c:pt idx="8">
                  <c:v>18.48</c:v>
                </c:pt>
                <c:pt idx="9">
                  <c:v>18.399999999999999</c:v>
                </c:pt>
              </c:numCache>
            </c:numRef>
          </c:val>
          <c:smooth val="0"/>
          <c:extLst>
            <c:ext xmlns:c16="http://schemas.microsoft.com/office/drawing/2014/chart" uri="{C3380CC4-5D6E-409C-BE32-E72D297353CC}">
              <c16:uniqueId val="{00000000-2B1A-469A-90C4-8901E73ECB9C}"/>
            </c:ext>
          </c:extLst>
        </c:ser>
        <c:ser>
          <c:idx val="1"/>
          <c:order val="1"/>
          <c:tx>
            <c:strRef>
              <c:f>Hoja1!$J$37</c:f>
              <c:strCache>
                <c:ptCount val="1"/>
                <c:pt idx="0">
                  <c:v>2025</c:v>
                </c:pt>
              </c:strCache>
            </c:strRef>
          </c:tx>
          <c:spPr>
            <a:ln w="28575" cap="rnd">
              <a:solidFill>
                <a:schemeClr val="accent2"/>
              </a:solidFill>
              <a:round/>
            </a:ln>
            <a:effectLst/>
          </c:spPr>
          <c:marker>
            <c:symbol val="none"/>
          </c:marker>
          <c:cat>
            <c:strRef>
              <c:f>Hoja1!$H$38:$H$47</c:f>
              <c:strCache>
                <c:ptCount val="10"/>
                <c:pt idx="0">
                  <c:v>Ene</c:v>
                </c:pt>
                <c:pt idx="1">
                  <c:v>Feb</c:v>
                </c:pt>
                <c:pt idx="2">
                  <c:v>Mar</c:v>
                </c:pt>
                <c:pt idx="3">
                  <c:v>Abr</c:v>
                </c:pt>
                <c:pt idx="4">
                  <c:v>Jul</c:v>
                </c:pt>
                <c:pt idx="5">
                  <c:v>Ago</c:v>
                </c:pt>
                <c:pt idx="6">
                  <c:v>Sep</c:v>
                </c:pt>
                <c:pt idx="7">
                  <c:v>Oc</c:v>
                </c:pt>
                <c:pt idx="8">
                  <c:v>Nov</c:v>
                </c:pt>
                <c:pt idx="9">
                  <c:v>Dic</c:v>
                </c:pt>
              </c:strCache>
            </c:strRef>
          </c:cat>
          <c:val>
            <c:numRef>
              <c:f>Hoja1!$J$38:$J$47</c:f>
              <c:numCache>
                <c:formatCode>General</c:formatCode>
                <c:ptCount val="10"/>
                <c:pt idx="0">
                  <c:v>18.77</c:v>
                </c:pt>
                <c:pt idx="1">
                  <c:v>18.89</c:v>
                </c:pt>
                <c:pt idx="2">
                  <c:v>18.43</c:v>
                </c:pt>
                <c:pt idx="3">
                  <c:v>17.54</c:v>
                </c:pt>
                <c:pt idx="4">
                  <c:v>14.91</c:v>
                </c:pt>
                <c:pt idx="5">
                  <c:v>13.97</c:v>
                </c:pt>
                <c:pt idx="6">
                  <c:v>13.8</c:v>
                </c:pt>
                <c:pt idx="7">
                  <c:v>13.8</c:v>
                </c:pt>
                <c:pt idx="8">
                  <c:v>13.73</c:v>
                </c:pt>
                <c:pt idx="9">
                  <c:v>14.05</c:v>
                </c:pt>
              </c:numCache>
            </c:numRef>
          </c:val>
          <c:smooth val="0"/>
          <c:extLst>
            <c:ext xmlns:c16="http://schemas.microsoft.com/office/drawing/2014/chart" uri="{C3380CC4-5D6E-409C-BE32-E72D297353CC}">
              <c16:uniqueId val="{00000001-2B1A-469A-90C4-8901E73ECB9C}"/>
            </c:ext>
          </c:extLst>
        </c:ser>
        <c:dLbls>
          <c:showLegendKey val="0"/>
          <c:showVal val="0"/>
          <c:showCatName val="0"/>
          <c:showSerName val="0"/>
          <c:showPercent val="0"/>
          <c:showBubbleSize val="0"/>
        </c:dLbls>
        <c:smooth val="0"/>
        <c:axId val="1308895519"/>
        <c:axId val="1308895999"/>
      </c:lineChart>
      <c:catAx>
        <c:axId val="1308895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08895999"/>
        <c:crosses val="autoZero"/>
        <c:auto val="1"/>
        <c:lblAlgn val="ctr"/>
        <c:lblOffset val="100"/>
        <c:noMultiLvlLbl val="0"/>
      </c:catAx>
      <c:valAx>
        <c:axId val="1308895999"/>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€/100 Kg</a:t>
                </a:r>
              </a:p>
            </c:rich>
          </c:tx>
          <c:layout>
            <c:manualLayout>
              <c:xMode val="edge"/>
              <c:yMode val="edge"/>
              <c:x val="2.2222222222222223E-2"/>
              <c:y val="0.374216608340624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08895519"/>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chemeClr val="dk1">
                    <a:lumMod val="50000"/>
                    <a:lumOff val="50000"/>
                  </a:schemeClr>
                </a:solidFill>
                <a:latin typeface="+mn-lt"/>
                <a:ea typeface="+mn-ea"/>
                <a:cs typeface="+mn-cs"/>
              </a:defRPr>
            </a:pPr>
            <a:r>
              <a:rPr lang="es-ES" sz="1000">
                <a:latin typeface="Arial" panose="020B0604020202020204" pitchFamily="34" charset="0"/>
                <a:cs typeface="Arial" panose="020B0604020202020204" pitchFamily="34" charset="0"/>
              </a:rPr>
              <a:t>Precio centeno Castilla y León </a:t>
            </a:r>
          </a:p>
        </c:rich>
      </c:tx>
      <c:layout>
        <c:manualLayout>
          <c:xMode val="edge"/>
          <c:yMode val="edge"/>
          <c:x val="0.27197226626535165"/>
          <c:y val="5.3097229512977545E-2"/>
        </c:manualLayout>
      </c:layout>
      <c:overlay val="0"/>
      <c:spPr>
        <a:noFill/>
        <a:ln>
          <a:noFill/>
        </a:ln>
        <a:effectLst/>
      </c:spPr>
      <c:txPr>
        <a:bodyPr rot="0" spcFirstLastPara="1" vertOverflow="ellipsis" vert="horz" wrap="square" anchor="ctr" anchorCtr="1"/>
        <a:lstStyle/>
        <a:p>
          <a:pPr>
            <a:defRPr sz="10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Hoja1!$M$41</c:f>
              <c:strCache>
                <c:ptCount val="1"/>
                <c:pt idx="0">
                  <c:v>2024</c:v>
                </c:pt>
              </c:strCache>
            </c:strRef>
          </c:tx>
          <c:spPr>
            <a:ln w="22225" cap="rnd" cmpd="sng" algn="ctr">
              <a:solidFill>
                <a:schemeClr val="accent1"/>
              </a:solidFill>
              <a:round/>
            </a:ln>
            <a:effectLst/>
          </c:spPr>
          <c:marker>
            <c:symbol val="none"/>
          </c:marker>
          <c:cat>
            <c:strRef>
              <c:f>Hoja1!$L$42:$L$51</c:f>
              <c:strCache>
                <c:ptCount val="10"/>
                <c:pt idx="0">
                  <c:v>Ene</c:v>
                </c:pt>
                <c:pt idx="1">
                  <c:v>Feb</c:v>
                </c:pt>
                <c:pt idx="2">
                  <c:v>Mar</c:v>
                </c:pt>
                <c:pt idx="3">
                  <c:v>Abr</c:v>
                </c:pt>
                <c:pt idx="4">
                  <c:v>Jul</c:v>
                </c:pt>
                <c:pt idx="5">
                  <c:v>Ago</c:v>
                </c:pt>
                <c:pt idx="6">
                  <c:v>Sep</c:v>
                </c:pt>
                <c:pt idx="7">
                  <c:v>Oc</c:v>
                </c:pt>
                <c:pt idx="8">
                  <c:v>Nov</c:v>
                </c:pt>
                <c:pt idx="9">
                  <c:v>Dic</c:v>
                </c:pt>
              </c:strCache>
            </c:strRef>
          </c:cat>
          <c:val>
            <c:numRef>
              <c:f>Hoja1!$M$42:$M$51</c:f>
              <c:numCache>
                <c:formatCode>General</c:formatCode>
                <c:ptCount val="10"/>
                <c:pt idx="0">
                  <c:v>20.13</c:v>
                </c:pt>
                <c:pt idx="1">
                  <c:v>19.579999999999998</c:v>
                </c:pt>
                <c:pt idx="2">
                  <c:v>18.649999999999999</c:v>
                </c:pt>
                <c:pt idx="3">
                  <c:v>18.8</c:v>
                </c:pt>
                <c:pt idx="4">
                  <c:v>17.41</c:v>
                </c:pt>
                <c:pt idx="5">
                  <c:v>17.510000000000002</c:v>
                </c:pt>
                <c:pt idx="6">
                  <c:v>17.3</c:v>
                </c:pt>
                <c:pt idx="7">
                  <c:v>17.809999999999999</c:v>
                </c:pt>
                <c:pt idx="8">
                  <c:v>17.64</c:v>
                </c:pt>
                <c:pt idx="9">
                  <c:v>17.739999999999998</c:v>
                </c:pt>
              </c:numCache>
            </c:numRef>
          </c:val>
          <c:smooth val="0"/>
          <c:extLst>
            <c:ext xmlns:c16="http://schemas.microsoft.com/office/drawing/2014/chart" uri="{C3380CC4-5D6E-409C-BE32-E72D297353CC}">
              <c16:uniqueId val="{00000000-9A25-4361-AEA9-05D3D0175EE8}"/>
            </c:ext>
          </c:extLst>
        </c:ser>
        <c:ser>
          <c:idx val="1"/>
          <c:order val="1"/>
          <c:tx>
            <c:strRef>
              <c:f>Hoja1!$N$41</c:f>
              <c:strCache>
                <c:ptCount val="1"/>
                <c:pt idx="0">
                  <c:v>2025</c:v>
                </c:pt>
              </c:strCache>
            </c:strRef>
          </c:tx>
          <c:spPr>
            <a:ln w="22225" cap="rnd" cmpd="sng" algn="ctr">
              <a:solidFill>
                <a:schemeClr val="accent2"/>
              </a:solidFill>
              <a:round/>
            </a:ln>
            <a:effectLst/>
          </c:spPr>
          <c:marker>
            <c:symbol val="none"/>
          </c:marker>
          <c:cat>
            <c:strRef>
              <c:f>Hoja1!$L$42:$L$51</c:f>
              <c:strCache>
                <c:ptCount val="10"/>
                <c:pt idx="0">
                  <c:v>Ene</c:v>
                </c:pt>
                <c:pt idx="1">
                  <c:v>Feb</c:v>
                </c:pt>
                <c:pt idx="2">
                  <c:v>Mar</c:v>
                </c:pt>
                <c:pt idx="3">
                  <c:v>Abr</c:v>
                </c:pt>
                <c:pt idx="4">
                  <c:v>Jul</c:v>
                </c:pt>
                <c:pt idx="5">
                  <c:v>Ago</c:v>
                </c:pt>
                <c:pt idx="6">
                  <c:v>Sep</c:v>
                </c:pt>
                <c:pt idx="7">
                  <c:v>Oc</c:v>
                </c:pt>
                <c:pt idx="8">
                  <c:v>Nov</c:v>
                </c:pt>
                <c:pt idx="9">
                  <c:v>Dic</c:v>
                </c:pt>
              </c:strCache>
            </c:strRef>
          </c:cat>
          <c:val>
            <c:numRef>
              <c:f>Hoja1!$N$42:$N$51</c:f>
              <c:numCache>
                <c:formatCode>General</c:formatCode>
                <c:ptCount val="10"/>
                <c:pt idx="0">
                  <c:v>17.89</c:v>
                </c:pt>
                <c:pt idx="1">
                  <c:v>18.2</c:v>
                </c:pt>
                <c:pt idx="2">
                  <c:v>18.079999999999998</c:v>
                </c:pt>
                <c:pt idx="3">
                  <c:v>17.3</c:v>
                </c:pt>
                <c:pt idx="4">
                  <c:v>16.190000000000001</c:v>
                </c:pt>
                <c:pt idx="5">
                  <c:v>16.37</c:v>
                </c:pt>
                <c:pt idx="6">
                  <c:v>16.260000000000002</c:v>
                </c:pt>
                <c:pt idx="7">
                  <c:v>16.39</c:v>
                </c:pt>
                <c:pt idx="8">
                  <c:v>16.73</c:v>
                </c:pt>
                <c:pt idx="9">
                  <c:v>16.45</c:v>
                </c:pt>
              </c:numCache>
            </c:numRef>
          </c:val>
          <c:smooth val="0"/>
          <c:extLst>
            <c:ext xmlns:c16="http://schemas.microsoft.com/office/drawing/2014/chart" uri="{C3380CC4-5D6E-409C-BE32-E72D297353CC}">
              <c16:uniqueId val="{00000001-9A25-4361-AEA9-05D3D0175EE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185049135"/>
        <c:axId val="1185050095"/>
      </c:lineChart>
      <c:catAx>
        <c:axId val="1185049135"/>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185050095"/>
        <c:crosses val="autoZero"/>
        <c:auto val="1"/>
        <c:lblAlgn val="ctr"/>
        <c:lblOffset val="100"/>
        <c:noMultiLvlLbl val="0"/>
      </c:catAx>
      <c:valAx>
        <c:axId val="1185050095"/>
        <c:scaling>
          <c:orientation val="minMax"/>
          <c:min val="1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ES"/>
                  <a:t>€/100 Kg</a:t>
                </a:r>
              </a:p>
            </c:rich>
          </c:tx>
          <c:layout>
            <c:manualLayout>
              <c:xMode val="edge"/>
              <c:yMode val="edge"/>
              <c:x val="3.8652011501975225E-2"/>
              <c:y val="0.3548649752114319"/>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1185049135"/>
        <c:crosses val="autoZero"/>
        <c:crossBetween val="between"/>
        <c:majorUnit val="5"/>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a:latin typeface="Arial" panose="020B0604020202020204" pitchFamily="34" charset="0"/>
                <a:cs typeface="Arial" panose="020B0604020202020204" pitchFamily="34" charset="0"/>
              </a:rPr>
              <a:t>Superficie</a:t>
            </a:r>
            <a:r>
              <a:rPr lang="es-ES" sz="1050" baseline="0">
                <a:latin typeface="Arial" panose="020B0604020202020204" pitchFamily="34" charset="0"/>
                <a:cs typeface="Arial" panose="020B0604020202020204" pitchFamily="34" charset="0"/>
              </a:rPr>
              <a:t> maíz Castilla y Léon </a:t>
            </a:r>
            <a:endParaRPr lang="es-ES" sz="1050"/>
          </a:p>
        </c:rich>
      </c:tx>
      <c:layout>
        <c:manualLayout>
          <c:xMode val="edge"/>
          <c:yMode val="edge"/>
          <c:x val="0.2264168618266979"/>
          <c:y val="3.92156862745098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superficie!$C$10</c:f>
              <c:strCache>
                <c:ptCount val="1"/>
                <c:pt idx="0">
                  <c:v>superficie (Ha)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superficie!$D$9:$F$9</c:f>
              <c:numCache>
                <c:formatCode>General</c:formatCode>
                <c:ptCount val="3"/>
                <c:pt idx="0">
                  <c:v>2023</c:v>
                </c:pt>
                <c:pt idx="1">
                  <c:v>2024</c:v>
                </c:pt>
                <c:pt idx="2">
                  <c:v>2025</c:v>
                </c:pt>
              </c:numCache>
            </c:numRef>
          </c:cat>
          <c:val>
            <c:numRef>
              <c:f>superficie!$D$10:$F$10</c:f>
              <c:numCache>
                <c:formatCode>#,##0</c:formatCode>
                <c:ptCount val="3"/>
                <c:pt idx="0">
                  <c:v>101929</c:v>
                </c:pt>
                <c:pt idx="1">
                  <c:v>105530</c:v>
                </c:pt>
                <c:pt idx="2">
                  <c:v>111696</c:v>
                </c:pt>
              </c:numCache>
            </c:numRef>
          </c:val>
          <c:extLst>
            <c:ext xmlns:c16="http://schemas.microsoft.com/office/drawing/2014/chart" uri="{C3380CC4-5D6E-409C-BE32-E72D297353CC}">
              <c16:uniqueId val="{00000000-9D12-4361-8595-C37BD788B7E2}"/>
            </c:ext>
          </c:extLst>
        </c:ser>
        <c:dLbls>
          <c:showLegendKey val="0"/>
          <c:showVal val="0"/>
          <c:showCatName val="0"/>
          <c:showSerName val="0"/>
          <c:showPercent val="0"/>
          <c:showBubbleSize val="0"/>
        </c:dLbls>
        <c:gapWidth val="219"/>
        <c:overlap val="-27"/>
        <c:axId val="1184660543"/>
        <c:axId val="1184661023"/>
      </c:barChart>
      <c:catAx>
        <c:axId val="1184660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84661023"/>
        <c:crosses val="autoZero"/>
        <c:auto val="1"/>
        <c:lblAlgn val="ctr"/>
        <c:lblOffset val="100"/>
        <c:noMultiLvlLbl val="0"/>
      </c:catAx>
      <c:valAx>
        <c:axId val="1184661023"/>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84660543"/>
        <c:crosses val="autoZero"/>
        <c:crossBetween val="between"/>
        <c:majorUnit val="500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050">
                <a:latin typeface="Arial" panose="020B0604020202020204" pitchFamily="34" charset="0"/>
                <a:cs typeface="Arial" panose="020B0604020202020204" pitchFamily="34" charset="0"/>
              </a:rPr>
              <a:t>Precio maíz Castilla</a:t>
            </a:r>
            <a:r>
              <a:rPr lang="es-ES" sz="1050" baseline="0">
                <a:latin typeface="Arial" panose="020B0604020202020204" pitchFamily="34" charset="0"/>
                <a:cs typeface="Arial" panose="020B0604020202020204" pitchFamily="34" charset="0"/>
              </a:rPr>
              <a:t> y León</a:t>
            </a:r>
            <a:endParaRPr lang="es-ES" sz="1050">
              <a:latin typeface="Arial" panose="020B0604020202020204" pitchFamily="34" charset="0"/>
              <a:cs typeface="Arial" panose="020B0604020202020204" pitchFamily="34" charset="0"/>
            </a:endParaRPr>
          </a:p>
        </c:rich>
      </c:tx>
      <c:layout>
        <c:manualLayout>
          <c:xMode val="edge"/>
          <c:yMode val="edge"/>
          <c:x val="0.29437363609731015"/>
          <c:y val="6.694560669456066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lineChart>
        <c:grouping val="standard"/>
        <c:varyColors val="0"/>
        <c:ser>
          <c:idx val="0"/>
          <c:order val="0"/>
          <c:tx>
            <c:strRef>
              <c:f>'maiz-24-25'!$K$34</c:f>
              <c:strCache>
                <c:ptCount val="1"/>
                <c:pt idx="0">
                  <c:v>2023/2024</c:v>
                </c:pt>
              </c:strCache>
            </c:strRef>
          </c:tx>
          <c:spPr>
            <a:ln w="28575" cap="rnd">
              <a:solidFill>
                <a:schemeClr val="accent1"/>
              </a:solidFill>
              <a:round/>
            </a:ln>
            <a:effectLst/>
          </c:spPr>
          <c:marker>
            <c:symbol val="none"/>
          </c:marker>
          <c:cat>
            <c:strRef>
              <c:f>'maiz-24-25'!$J$35:$J$40</c:f>
              <c:strCache>
                <c:ptCount val="6"/>
                <c:pt idx="0">
                  <c:v>Nov</c:v>
                </c:pt>
                <c:pt idx="1">
                  <c:v>Dic</c:v>
                </c:pt>
                <c:pt idx="2">
                  <c:v>Ene</c:v>
                </c:pt>
                <c:pt idx="3">
                  <c:v>Feb</c:v>
                </c:pt>
                <c:pt idx="4">
                  <c:v>Mar</c:v>
                </c:pt>
                <c:pt idx="5">
                  <c:v>Nov</c:v>
                </c:pt>
              </c:strCache>
            </c:strRef>
          </c:cat>
          <c:val>
            <c:numRef>
              <c:f>'maiz-24-25'!$K$35:$K$40</c:f>
              <c:numCache>
                <c:formatCode>General</c:formatCode>
                <c:ptCount val="6"/>
                <c:pt idx="0">
                  <c:v>22.78</c:v>
                </c:pt>
                <c:pt idx="1">
                  <c:v>22.13</c:v>
                </c:pt>
                <c:pt idx="2">
                  <c:v>21.85</c:v>
                </c:pt>
                <c:pt idx="3">
                  <c:v>20.87</c:v>
                </c:pt>
                <c:pt idx="4">
                  <c:v>20.34</c:v>
                </c:pt>
                <c:pt idx="5">
                  <c:v>22.91</c:v>
                </c:pt>
              </c:numCache>
            </c:numRef>
          </c:val>
          <c:smooth val="0"/>
          <c:extLst>
            <c:ext xmlns:c16="http://schemas.microsoft.com/office/drawing/2014/chart" uri="{C3380CC4-5D6E-409C-BE32-E72D297353CC}">
              <c16:uniqueId val="{00000000-091F-481A-BD84-7FAF096D8D12}"/>
            </c:ext>
          </c:extLst>
        </c:ser>
        <c:ser>
          <c:idx val="1"/>
          <c:order val="1"/>
          <c:tx>
            <c:strRef>
              <c:f>'maiz-24-25'!$L$34</c:f>
              <c:strCache>
                <c:ptCount val="1"/>
                <c:pt idx="0">
                  <c:v>2024/2025</c:v>
                </c:pt>
              </c:strCache>
            </c:strRef>
          </c:tx>
          <c:spPr>
            <a:ln w="28575" cap="rnd">
              <a:solidFill>
                <a:schemeClr val="accent2"/>
              </a:solidFill>
              <a:round/>
            </a:ln>
            <a:effectLst/>
          </c:spPr>
          <c:marker>
            <c:symbol val="none"/>
          </c:marker>
          <c:cat>
            <c:strRef>
              <c:f>'maiz-24-25'!$J$35:$J$40</c:f>
              <c:strCache>
                <c:ptCount val="6"/>
                <c:pt idx="0">
                  <c:v>Nov</c:v>
                </c:pt>
                <c:pt idx="1">
                  <c:v>Dic</c:v>
                </c:pt>
                <c:pt idx="2">
                  <c:v>Ene</c:v>
                </c:pt>
                <c:pt idx="3">
                  <c:v>Feb</c:v>
                </c:pt>
                <c:pt idx="4">
                  <c:v>Mar</c:v>
                </c:pt>
                <c:pt idx="5">
                  <c:v>Nov</c:v>
                </c:pt>
              </c:strCache>
            </c:strRef>
          </c:cat>
          <c:val>
            <c:numRef>
              <c:f>'maiz-24-25'!$L$35:$L$40</c:f>
              <c:numCache>
                <c:formatCode>General</c:formatCode>
                <c:ptCount val="6"/>
                <c:pt idx="0">
                  <c:v>22.91</c:v>
                </c:pt>
                <c:pt idx="1">
                  <c:v>22.81</c:v>
                </c:pt>
                <c:pt idx="2">
                  <c:v>23.29</c:v>
                </c:pt>
                <c:pt idx="3">
                  <c:v>23.2</c:v>
                </c:pt>
                <c:pt idx="4">
                  <c:v>22.54</c:v>
                </c:pt>
                <c:pt idx="5">
                  <c:v>21.37</c:v>
                </c:pt>
              </c:numCache>
            </c:numRef>
          </c:val>
          <c:smooth val="0"/>
          <c:extLst>
            <c:ext xmlns:c16="http://schemas.microsoft.com/office/drawing/2014/chart" uri="{C3380CC4-5D6E-409C-BE32-E72D297353CC}">
              <c16:uniqueId val="{00000001-091F-481A-BD84-7FAF096D8D12}"/>
            </c:ext>
          </c:extLst>
        </c:ser>
        <c:dLbls>
          <c:showLegendKey val="0"/>
          <c:showVal val="0"/>
          <c:showCatName val="0"/>
          <c:showSerName val="0"/>
          <c:showPercent val="0"/>
          <c:showBubbleSize val="0"/>
        </c:dLbls>
        <c:smooth val="0"/>
        <c:axId val="1357440767"/>
        <c:axId val="1357441247"/>
      </c:lineChart>
      <c:catAx>
        <c:axId val="135744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357441247"/>
        <c:crosses val="autoZero"/>
        <c:auto val="1"/>
        <c:lblAlgn val="ctr"/>
        <c:lblOffset val="100"/>
        <c:noMultiLvlLbl val="0"/>
      </c:catAx>
      <c:valAx>
        <c:axId val="1357441247"/>
        <c:scaling>
          <c:orientation val="minMax"/>
          <c:max val="3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€/100 Kg</a:t>
                </a:r>
              </a:p>
            </c:rich>
          </c:tx>
          <c:layout>
            <c:manualLayout>
              <c:xMode val="edge"/>
              <c:yMode val="edge"/>
              <c:x val="2.2222222222222223E-2"/>
              <c:y val="0.3354086468358121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57440767"/>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 sz="1100">
                <a:latin typeface="Arial" panose="020B0604020202020204" pitchFamily="34" charset="0"/>
                <a:cs typeface="Arial" panose="020B0604020202020204" pitchFamily="34" charset="0"/>
              </a:rPr>
              <a:t>Superficie remolacha azucarera Castilla y León</a:t>
            </a:r>
          </a:p>
        </c:rich>
      </c:tx>
      <c:layout>
        <c:manualLayout>
          <c:xMode val="edge"/>
          <c:yMode val="edge"/>
          <c:x val="0.18240684285010692"/>
          <c:y val="3.524229074889868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'superficie remolacha'!$H$32</c:f>
              <c:strCache>
                <c:ptCount val="1"/>
                <c:pt idx="0">
                  <c:v>Superficie</c:v>
                </c:pt>
              </c:strCache>
            </c:strRef>
          </c:tx>
          <c:spPr>
            <a:solidFill>
              <a:schemeClr val="accent1"/>
            </a:solidFill>
            <a:ln>
              <a:noFill/>
            </a:ln>
            <a:effectLst/>
          </c:spPr>
          <c:invertIfNegative val="0"/>
          <c:dLbls>
            <c:dLbl>
              <c:idx val="0"/>
              <c:layout>
                <c:manualLayout>
                  <c:x val="-3.003003003003003E-3"/>
                  <c:y val="2.728694048379087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1E-41CC-AB4B-1A203DBC03FB}"/>
                </c:ext>
              </c:extLst>
            </c:dLbl>
            <c:dLbl>
              <c:idx val="1"/>
              <c:layout>
                <c:manualLayout>
                  <c:x val="0"/>
                  <c:y val="3.98507483861814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1E-41CC-AB4B-1A203DBC03FB}"/>
                </c:ext>
              </c:extLst>
            </c:dLbl>
            <c:dLbl>
              <c:idx val="2"/>
              <c:layout>
                <c:manualLayout>
                  <c:x val="-1.1010883812341616E-16"/>
                  <c:y val="2.5439738951549974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a:t>18.973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41E-41CC-AB4B-1A203DBC03F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'superficie remolacha'!$I$31:$K$31</c:f>
              <c:strCache>
                <c:ptCount val="3"/>
                <c:pt idx="0">
                  <c:v>2023/2024</c:v>
                </c:pt>
                <c:pt idx="1">
                  <c:v>2024/2025</c:v>
                </c:pt>
                <c:pt idx="2">
                  <c:v>2025/2026</c:v>
                </c:pt>
              </c:strCache>
            </c:strRef>
          </c:cat>
          <c:val>
            <c:numRef>
              <c:f>'superficie remolacha'!$I$32:$K$32</c:f>
              <c:numCache>
                <c:formatCode>#,##0</c:formatCode>
                <c:ptCount val="3"/>
                <c:pt idx="0">
                  <c:v>24369</c:v>
                </c:pt>
                <c:pt idx="1">
                  <c:v>31816</c:v>
                </c:pt>
                <c:pt idx="2">
                  <c:v>18850</c:v>
                </c:pt>
              </c:numCache>
            </c:numRef>
          </c:val>
          <c:extLst>
            <c:ext xmlns:c16="http://schemas.microsoft.com/office/drawing/2014/chart" uri="{C3380CC4-5D6E-409C-BE32-E72D297353CC}">
              <c16:uniqueId val="{00000000-141E-41CC-AB4B-1A203DBC03FB}"/>
            </c:ext>
          </c:extLst>
        </c:ser>
        <c:dLbls>
          <c:showLegendKey val="0"/>
          <c:showVal val="0"/>
          <c:showCatName val="0"/>
          <c:showSerName val="0"/>
          <c:showPercent val="0"/>
          <c:showBubbleSize val="0"/>
        </c:dLbls>
        <c:gapWidth val="219"/>
        <c:overlap val="-27"/>
        <c:axId val="71633615"/>
        <c:axId val="71626415"/>
      </c:barChart>
      <c:catAx>
        <c:axId val="716336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Campaña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1626415"/>
        <c:crosses val="autoZero"/>
        <c:auto val="1"/>
        <c:lblAlgn val="ctr"/>
        <c:lblOffset val="100"/>
        <c:noMultiLvlLbl val="0"/>
      </c:catAx>
      <c:valAx>
        <c:axId val="71626415"/>
        <c:scaling>
          <c:orientation val="minMax"/>
          <c:max val="4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900">
                    <a:latin typeface="Arial" panose="020B0604020202020204" pitchFamily="34" charset="0"/>
                    <a:cs typeface="Arial" panose="020B0604020202020204" pitchFamily="34" charset="0"/>
                  </a:rPr>
                  <a:t>Ha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71633615"/>
        <c:crosses val="autoZero"/>
        <c:crossBetween val="between"/>
        <c:majorUnit val="100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Precio remolacha azucarera Castilla</a:t>
            </a:r>
            <a:r>
              <a:rPr lang="en-US" sz="1200" baseline="0">
                <a:latin typeface="Arial" panose="020B0604020202020204" pitchFamily="34" charset="0"/>
                <a:cs typeface="Arial" panose="020B0604020202020204" pitchFamily="34" charset="0"/>
              </a:rPr>
              <a:t> y León</a:t>
            </a:r>
            <a:endParaRPr lang="en-US"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'precio-remolacha'!$G$4</c:f>
              <c:strCache>
                <c:ptCount val="1"/>
                <c:pt idx="0">
                  <c:v>precio (€/100 Kg)</c:v>
                </c:pt>
              </c:strCache>
            </c:strRef>
          </c:tx>
          <c:spPr>
            <a:solidFill>
              <a:schemeClr val="accent1"/>
            </a:solidFill>
            <a:ln>
              <a:noFill/>
            </a:ln>
            <a:effectLst/>
          </c:spPr>
          <c:invertIfNegative val="0"/>
          <c:dLbls>
            <c:dLbl>
              <c:idx val="0"/>
              <c:layout>
                <c:manualLayout>
                  <c:x val="2.9304029304029304E-3"/>
                  <c:y val="2.6533996683250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93-4F7E-90C1-8EE80BC6C2B8}"/>
                </c:ext>
              </c:extLst>
            </c:dLbl>
            <c:dLbl>
              <c:idx val="2"/>
              <c:layout>
                <c:manualLayout>
                  <c:x val="2.9304029304029304E-3"/>
                  <c:y val="2.6533996683250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93-4F7E-90C1-8EE80BC6C2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'precio-remolacha'!$H$3:$J$3</c:f>
              <c:strCache>
                <c:ptCount val="3"/>
                <c:pt idx="0">
                  <c:v>2022/2023</c:v>
                </c:pt>
                <c:pt idx="1">
                  <c:v>2023/2024</c:v>
                </c:pt>
                <c:pt idx="2">
                  <c:v>2024/2025</c:v>
                </c:pt>
              </c:strCache>
            </c:strRef>
          </c:cat>
          <c:val>
            <c:numRef>
              <c:f>'precio-remolacha'!$H$4:$J$4</c:f>
              <c:numCache>
                <c:formatCode>General</c:formatCode>
                <c:ptCount val="3"/>
                <c:pt idx="0">
                  <c:v>5.24</c:v>
                </c:pt>
                <c:pt idx="1">
                  <c:v>6.16</c:v>
                </c:pt>
                <c:pt idx="2">
                  <c:v>5.35</c:v>
                </c:pt>
              </c:numCache>
            </c:numRef>
          </c:val>
          <c:extLst>
            <c:ext xmlns:c16="http://schemas.microsoft.com/office/drawing/2014/chart" uri="{C3380CC4-5D6E-409C-BE32-E72D297353CC}">
              <c16:uniqueId val="{00000000-5993-4F7E-90C1-8EE80BC6C2B8}"/>
            </c:ext>
          </c:extLst>
        </c:ser>
        <c:dLbls>
          <c:showLegendKey val="0"/>
          <c:showVal val="0"/>
          <c:showCatName val="0"/>
          <c:showSerName val="0"/>
          <c:showPercent val="0"/>
          <c:showBubbleSize val="0"/>
        </c:dLbls>
        <c:gapWidth val="219"/>
        <c:overlap val="-27"/>
        <c:axId val="192157791"/>
        <c:axId val="192156351"/>
      </c:barChart>
      <c:catAx>
        <c:axId val="1921577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a:latin typeface="Arial" panose="020B0604020202020204" pitchFamily="34" charset="0"/>
                    <a:cs typeface="Arial" panose="020B0604020202020204" pitchFamily="34" charset="0"/>
                  </a:rPr>
                  <a:t>Campaña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2156351"/>
        <c:crosses val="autoZero"/>
        <c:auto val="1"/>
        <c:lblAlgn val="ctr"/>
        <c:lblOffset val="100"/>
        <c:noMultiLvlLbl val="0"/>
      </c:catAx>
      <c:valAx>
        <c:axId val="192156351"/>
        <c:scaling>
          <c:orientation val="minMax"/>
          <c:max val="6.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900">
                    <a:latin typeface="Arial" panose="020B0604020202020204" pitchFamily="34" charset="0"/>
                    <a:cs typeface="Arial" panose="020B0604020202020204" pitchFamily="34" charset="0"/>
                  </a:rPr>
                  <a:t>€/ 100 Kg</a:t>
                </a:r>
              </a:p>
            </c:rich>
          </c:tx>
          <c:layout>
            <c:manualLayout>
              <c:xMode val="edge"/>
              <c:yMode val="edge"/>
              <c:x val="2.3443223443223443E-2"/>
              <c:y val="0.319491779945417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92157791"/>
        <c:crosses val="autoZero"/>
        <c:crossBetween val="between"/>
        <c:majorUnit val="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36D2E-2F10-46E4-8598-5E54F58D7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16848</Words>
  <Characters>86450</Characters>
  <Application>Microsoft Office Word</Application>
  <DocSecurity>0</DocSecurity>
  <Lines>2531</Lines>
  <Paragraphs>917</Paragraphs>
  <ScaleCrop>false</ScaleCrop>
  <HeadingPairs>
    <vt:vector size="2" baseType="variant">
      <vt:variant>
        <vt:lpstr>Título</vt:lpstr>
      </vt:variant>
      <vt:variant>
        <vt:i4>1</vt:i4>
      </vt:variant>
    </vt:vector>
  </HeadingPairs>
  <TitlesOfParts>
    <vt:vector size="1" baseType="lpstr">
      <vt:lpstr>SUBSECTOR AGRÍCOLA</vt:lpstr>
    </vt:vector>
  </TitlesOfParts>
  <Company>Hewlett-Packard Company</Company>
  <LinksUpToDate>false</LinksUpToDate>
  <CharactersWithSpaces>102768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SUBSECTOR AGRÍCOLA</dc:title>
  <dc:subject/>
  <dc:creator>Andrés</dc:creator>
  <cp:keywords/>
  <dc:description/>
  <cp:lastModifiedBy>Asaja Castilla y León</cp:lastModifiedBy>
  <cp:revision>2</cp:revision>
  <cp:lastPrinted>2026-01-21T09:24:00Z</cp:lastPrinted>
  <dcterms:created xsi:type="dcterms:W3CDTF">2026-02-10T17:08:00Z</dcterms:created>
  <dcterms:modified xsi:type="dcterms:W3CDTF">2026-02-10T17:08:00Z</dcterms:modified>
</cp:coreProperties>
</file>